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59CF93">
      <w:pPr>
        <w:rPr>
          <w:rFonts w:eastAsia="仿宋_GB2312"/>
          <w:sz w:val="36"/>
          <w:szCs w:val="36"/>
        </w:rPr>
      </w:pPr>
      <w:bookmarkStart w:id="0" w:name="PageNo100010003"/>
    </w:p>
    <w:bookmarkEnd w:id="0"/>
    <w:p w14:paraId="337D28EC">
      <w:pPr>
        <w:rPr>
          <w:rFonts w:eastAsia="仿宋_GB2312"/>
          <w:sz w:val="36"/>
          <w:szCs w:val="36"/>
        </w:rPr>
      </w:pPr>
    </w:p>
    <w:p w14:paraId="6397BC93">
      <w:pPr>
        <w:rPr>
          <w:rFonts w:eastAsia="仿宋_GB2312"/>
          <w:sz w:val="36"/>
          <w:szCs w:val="36"/>
        </w:rPr>
      </w:pPr>
    </w:p>
    <w:p w14:paraId="4F2A413F">
      <w:pPr>
        <w:rPr>
          <w:rFonts w:eastAsia="仿宋_GB2312"/>
          <w:sz w:val="36"/>
          <w:szCs w:val="36"/>
        </w:rPr>
      </w:pPr>
    </w:p>
    <w:p w14:paraId="2315F2AB">
      <w:pPr>
        <w:rPr>
          <w:rFonts w:eastAsia="仿宋_GB2312"/>
          <w:sz w:val="36"/>
          <w:szCs w:val="36"/>
        </w:rPr>
      </w:pPr>
    </w:p>
    <w:p w14:paraId="1C0B495D">
      <w:pPr>
        <w:adjustRightInd w:val="0"/>
        <w:snapToGrid w:val="0"/>
        <w:jc w:val="center"/>
        <w:outlineLvl w:val="0"/>
        <w:rPr>
          <w:rFonts w:eastAsia="方正小标宋_GBK"/>
          <w:bCs/>
          <w:sz w:val="72"/>
          <w:szCs w:val="72"/>
        </w:rPr>
      </w:pPr>
      <w:r>
        <w:rPr>
          <w:rFonts w:hint="eastAsia" w:ascii="宋体" w:hAnsi="宋体" w:cs="宋体"/>
          <w:bCs/>
          <w:sz w:val="72"/>
          <w:szCs w:val="72"/>
        </w:rPr>
        <w:t>建设项目环境影响报告表</w:t>
      </w:r>
    </w:p>
    <w:p w14:paraId="780A33F2">
      <w:pPr>
        <w:adjustRightInd w:val="0"/>
        <w:snapToGrid w:val="0"/>
        <w:spacing w:before="192" w:beforeLines="80"/>
        <w:jc w:val="center"/>
        <w:rPr>
          <w:rFonts w:hint="eastAsia" w:ascii="宋体" w:hAnsi="宋体" w:cs="宋体"/>
          <w:bCs/>
          <w:sz w:val="48"/>
          <w:szCs w:val="48"/>
        </w:rPr>
      </w:pPr>
      <w:r>
        <w:rPr>
          <w:rFonts w:hint="eastAsia" w:ascii="宋体" w:hAnsi="宋体" w:cs="宋体"/>
          <w:bCs/>
          <w:sz w:val="48"/>
          <w:szCs w:val="48"/>
        </w:rPr>
        <w:t>（污染影响类）</w:t>
      </w:r>
    </w:p>
    <w:p w14:paraId="3A77CFD6">
      <w:pPr>
        <w:adjustRightInd w:val="0"/>
        <w:snapToGrid w:val="0"/>
        <w:spacing w:line="288" w:lineRule="auto"/>
        <w:jc w:val="center"/>
        <w:rPr>
          <w:rFonts w:eastAsia="华文仿宋"/>
          <w:kern w:val="44"/>
          <w:sz w:val="44"/>
          <w:szCs w:val="44"/>
        </w:rPr>
      </w:pPr>
    </w:p>
    <w:p w14:paraId="216D2793">
      <w:pPr>
        <w:jc w:val="center"/>
        <w:rPr>
          <w:rFonts w:eastAsia="仿宋"/>
          <w:sz w:val="52"/>
          <w:szCs w:val="52"/>
        </w:rPr>
      </w:pPr>
    </w:p>
    <w:p w14:paraId="7393FC47">
      <w:pPr>
        <w:ind w:firstLine="1040"/>
        <w:rPr>
          <w:rFonts w:eastAsia="仿宋"/>
          <w:sz w:val="44"/>
          <w:szCs w:val="44"/>
        </w:rPr>
      </w:pPr>
    </w:p>
    <w:p w14:paraId="0F4233BF">
      <w:pPr>
        <w:ind w:firstLine="1040"/>
        <w:rPr>
          <w:rFonts w:eastAsia="仿宋"/>
          <w:sz w:val="44"/>
          <w:szCs w:val="44"/>
        </w:rPr>
      </w:pPr>
    </w:p>
    <w:p w14:paraId="79C7D4EA">
      <w:pPr>
        <w:ind w:firstLine="1040"/>
        <w:rPr>
          <w:rFonts w:eastAsia="仿宋"/>
          <w:sz w:val="44"/>
          <w:szCs w:val="44"/>
        </w:rPr>
      </w:pPr>
    </w:p>
    <w:tbl>
      <w:tblPr>
        <w:tblStyle w:val="23"/>
        <w:tblW w:w="9216" w:type="dxa"/>
        <w:jc w:val="center"/>
        <w:tblLayout w:type="autofit"/>
        <w:tblCellMar>
          <w:top w:w="0" w:type="dxa"/>
          <w:left w:w="108" w:type="dxa"/>
          <w:bottom w:w="0" w:type="dxa"/>
          <w:right w:w="108" w:type="dxa"/>
        </w:tblCellMar>
      </w:tblPr>
      <w:tblGrid>
        <w:gridCol w:w="2796"/>
        <w:gridCol w:w="6420"/>
      </w:tblGrid>
      <w:tr w14:paraId="6CC37789">
        <w:tblPrEx>
          <w:tblCellMar>
            <w:top w:w="0" w:type="dxa"/>
            <w:left w:w="108" w:type="dxa"/>
            <w:bottom w:w="0" w:type="dxa"/>
            <w:right w:w="108" w:type="dxa"/>
          </w:tblCellMar>
        </w:tblPrEx>
        <w:trPr>
          <w:jc w:val="center"/>
        </w:trPr>
        <w:tc>
          <w:tcPr>
            <w:tcW w:w="2796" w:type="dxa"/>
          </w:tcPr>
          <w:p w14:paraId="02400D7F">
            <w:pPr>
              <w:spacing w:before="240"/>
              <w:jc w:val="distribute"/>
              <w:rPr>
                <w:sz w:val="32"/>
                <w:szCs w:val="32"/>
              </w:rPr>
            </w:pPr>
            <w:r>
              <w:rPr>
                <w:sz w:val="32"/>
                <w:szCs w:val="32"/>
              </w:rPr>
              <w:t>项目名称：</w:t>
            </w:r>
          </w:p>
        </w:tc>
        <w:tc>
          <w:tcPr>
            <w:tcW w:w="6420" w:type="dxa"/>
            <w:tcBorders>
              <w:bottom w:val="single" w:color="auto" w:sz="12" w:space="0"/>
            </w:tcBorders>
          </w:tcPr>
          <w:p w14:paraId="6E52779B">
            <w:pPr>
              <w:spacing w:before="240"/>
              <w:jc w:val="center"/>
              <w:rPr>
                <w:sz w:val="32"/>
                <w:szCs w:val="32"/>
              </w:rPr>
            </w:pPr>
            <w:r>
              <w:rPr>
                <w:rFonts w:hint="eastAsia"/>
                <w:snapToGrid w:val="0"/>
                <w:kern w:val="0"/>
                <w:sz w:val="32"/>
                <w:szCs w:val="32"/>
              </w:rPr>
              <w:t>标准物质研发中心建设项目</w:t>
            </w:r>
          </w:p>
        </w:tc>
      </w:tr>
      <w:tr w14:paraId="2E8C9AD4">
        <w:tblPrEx>
          <w:tblCellMar>
            <w:top w:w="0" w:type="dxa"/>
            <w:left w:w="108" w:type="dxa"/>
            <w:bottom w:w="0" w:type="dxa"/>
            <w:right w:w="108" w:type="dxa"/>
          </w:tblCellMar>
        </w:tblPrEx>
        <w:trPr>
          <w:jc w:val="center"/>
        </w:trPr>
        <w:tc>
          <w:tcPr>
            <w:tcW w:w="2796" w:type="dxa"/>
          </w:tcPr>
          <w:p w14:paraId="21CDA7DA">
            <w:pPr>
              <w:spacing w:before="240"/>
              <w:jc w:val="distribute"/>
              <w:rPr>
                <w:sz w:val="32"/>
                <w:szCs w:val="32"/>
              </w:rPr>
            </w:pPr>
            <w:r>
              <w:rPr>
                <w:sz w:val="32"/>
                <w:szCs w:val="32"/>
              </w:rPr>
              <w:t>建设单位（盖章）：</w:t>
            </w:r>
          </w:p>
        </w:tc>
        <w:tc>
          <w:tcPr>
            <w:tcW w:w="6420" w:type="dxa"/>
            <w:tcBorders>
              <w:top w:val="single" w:color="auto" w:sz="12" w:space="0"/>
              <w:bottom w:val="single" w:color="auto" w:sz="12" w:space="0"/>
            </w:tcBorders>
          </w:tcPr>
          <w:p w14:paraId="69AD0B04">
            <w:pPr>
              <w:spacing w:before="240"/>
              <w:jc w:val="center"/>
              <w:rPr>
                <w:sz w:val="32"/>
                <w:szCs w:val="32"/>
              </w:rPr>
            </w:pPr>
            <w:r>
              <w:rPr>
                <w:rFonts w:hint="eastAsia"/>
                <w:kern w:val="0"/>
                <w:sz w:val="32"/>
                <w:szCs w:val="32"/>
              </w:rPr>
              <w:t>江苏法恩生物科技有限公司</w:t>
            </w:r>
          </w:p>
        </w:tc>
      </w:tr>
      <w:tr w14:paraId="284C8CC3">
        <w:tblPrEx>
          <w:tblCellMar>
            <w:top w:w="0" w:type="dxa"/>
            <w:left w:w="108" w:type="dxa"/>
            <w:bottom w:w="0" w:type="dxa"/>
            <w:right w:w="108" w:type="dxa"/>
          </w:tblCellMar>
        </w:tblPrEx>
        <w:trPr>
          <w:jc w:val="center"/>
        </w:trPr>
        <w:tc>
          <w:tcPr>
            <w:tcW w:w="2796" w:type="dxa"/>
          </w:tcPr>
          <w:p w14:paraId="631C92F3">
            <w:pPr>
              <w:spacing w:before="240"/>
              <w:jc w:val="distribute"/>
              <w:rPr>
                <w:sz w:val="32"/>
                <w:szCs w:val="32"/>
              </w:rPr>
            </w:pPr>
            <w:r>
              <w:rPr>
                <w:sz w:val="32"/>
                <w:szCs w:val="32"/>
              </w:rPr>
              <w:t>编制日期：</w:t>
            </w:r>
          </w:p>
        </w:tc>
        <w:tc>
          <w:tcPr>
            <w:tcW w:w="6420" w:type="dxa"/>
            <w:tcBorders>
              <w:top w:val="single" w:color="auto" w:sz="12" w:space="0"/>
              <w:bottom w:val="single" w:color="auto" w:sz="12" w:space="0"/>
            </w:tcBorders>
          </w:tcPr>
          <w:p w14:paraId="5A3E6F9C">
            <w:pPr>
              <w:spacing w:before="240"/>
              <w:jc w:val="center"/>
              <w:rPr>
                <w:sz w:val="32"/>
                <w:szCs w:val="32"/>
              </w:rPr>
            </w:pPr>
            <w:r>
              <w:rPr>
                <w:sz w:val="32"/>
                <w:szCs w:val="32"/>
              </w:rPr>
              <w:t>202</w:t>
            </w:r>
            <w:r>
              <w:rPr>
                <w:rFonts w:hint="eastAsia"/>
                <w:sz w:val="32"/>
                <w:szCs w:val="32"/>
              </w:rPr>
              <w:t>5</w:t>
            </w:r>
            <w:r>
              <w:rPr>
                <w:sz w:val="32"/>
                <w:szCs w:val="32"/>
              </w:rPr>
              <w:t>年</w:t>
            </w:r>
            <w:r>
              <w:rPr>
                <w:rFonts w:hint="eastAsia"/>
                <w:sz w:val="32"/>
                <w:szCs w:val="32"/>
              </w:rPr>
              <w:t>8</w:t>
            </w:r>
            <w:r>
              <w:rPr>
                <w:sz w:val="32"/>
                <w:szCs w:val="32"/>
              </w:rPr>
              <w:t>月</w:t>
            </w:r>
          </w:p>
        </w:tc>
      </w:tr>
    </w:tbl>
    <w:p w14:paraId="1BC0ED8F">
      <w:pPr>
        <w:adjustRightInd w:val="0"/>
        <w:snapToGrid w:val="0"/>
        <w:spacing w:line="288" w:lineRule="auto"/>
        <w:ind w:firstLine="1040"/>
        <w:rPr>
          <w:rFonts w:eastAsia="仿宋_GB2312"/>
          <w:sz w:val="36"/>
          <w:szCs w:val="36"/>
          <w:u w:val="single"/>
        </w:rPr>
      </w:pPr>
    </w:p>
    <w:p w14:paraId="53663CD2">
      <w:pPr>
        <w:adjustRightInd w:val="0"/>
        <w:snapToGrid w:val="0"/>
        <w:spacing w:line="288" w:lineRule="auto"/>
        <w:ind w:firstLine="1040"/>
        <w:rPr>
          <w:rFonts w:eastAsia="仿宋_GB2312"/>
          <w:sz w:val="36"/>
          <w:szCs w:val="36"/>
        </w:rPr>
      </w:pPr>
    </w:p>
    <w:p w14:paraId="14383522">
      <w:pPr>
        <w:adjustRightInd w:val="0"/>
        <w:snapToGrid w:val="0"/>
        <w:spacing w:line="288" w:lineRule="auto"/>
        <w:ind w:firstLine="1040"/>
        <w:rPr>
          <w:rFonts w:eastAsia="仿宋_GB2312"/>
          <w:sz w:val="36"/>
          <w:szCs w:val="36"/>
        </w:rPr>
      </w:pPr>
    </w:p>
    <w:p w14:paraId="4B5B21F5">
      <w:pPr>
        <w:adjustRightInd w:val="0"/>
        <w:snapToGrid w:val="0"/>
        <w:spacing w:line="288" w:lineRule="auto"/>
        <w:jc w:val="center"/>
        <w:rPr>
          <w:rFonts w:eastAsia="楷体_GB2312"/>
          <w:sz w:val="36"/>
          <w:szCs w:val="36"/>
        </w:rPr>
        <w:sectPr>
          <w:footerReference r:id="rId3" w:type="default"/>
          <w:footerReference r:id="rId4" w:type="even"/>
          <w:pgSz w:w="11906" w:h="16838"/>
          <w:pgMar w:top="1417" w:right="1531" w:bottom="1417"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eastAsia="楷体_GB2312"/>
          <w:sz w:val="36"/>
          <w:szCs w:val="36"/>
        </w:rPr>
        <w:t>中华人民共和国生态环境部制</w:t>
      </w:r>
    </w:p>
    <w:p w14:paraId="02328E39">
      <w:pPr>
        <w:adjustRightInd w:val="0"/>
        <w:snapToGrid w:val="0"/>
        <w:spacing w:line="288" w:lineRule="auto"/>
        <w:jc w:val="center"/>
        <w:rPr>
          <w:rFonts w:eastAsia="楷体_GB2312"/>
          <w:sz w:val="36"/>
          <w:szCs w:val="36"/>
        </w:rPr>
      </w:pPr>
    </w:p>
    <w:p w14:paraId="6886C87E">
      <w:pPr>
        <w:adjustRightInd w:val="0"/>
        <w:snapToGrid w:val="0"/>
        <w:spacing w:line="288" w:lineRule="auto"/>
        <w:ind w:firstLine="1040"/>
        <w:rPr>
          <w:rFonts w:eastAsia="仿宋_GB2312"/>
          <w:sz w:val="36"/>
          <w:szCs w:val="36"/>
        </w:rPr>
        <w:sectPr>
          <w:type w:val="continuous"/>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15C674ED">
      <w:pPr>
        <w:pStyle w:val="18"/>
        <w:snapToGrid w:val="0"/>
        <w:spacing w:before="0" w:beforeAutospacing="0" w:after="120" w:afterLines="50" w:afterAutospacing="0"/>
        <w:jc w:val="center"/>
        <w:outlineLvl w:val="0"/>
        <w:rPr>
          <w:rFonts w:ascii="Times New Roman" w:hAnsi="Times New Roman" w:eastAsia="黑体"/>
          <w:snapToGrid w:val="0"/>
          <w:sz w:val="30"/>
          <w:szCs w:val="30"/>
        </w:rPr>
      </w:pPr>
      <w:bookmarkStart w:id="1" w:name="PageNo100020001"/>
      <w:r>
        <w:rPr>
          <w:rFonts w:ascii="Times New Roman" w:hAnsi="Times New Roman" w:eastAsia="黑体"/>
          <w:snapToGrid w:val="0"/>
          <w:sz w:val="30"/>
          <w:szCs w:val="30"/>
        </w:rPr>
        <w:t>一</w:t>
      </w:r>
      <w:bookmarkEnd w:id="1"/>
      <w:r>
        <w:rPr>
          <w:rFonts w:ascii="Times New Roman" w:hAnsi="Times New Roman" w:eastAsia="黑体"/>
          <w:snapToGrid w:val="0"/>
          <w:sz w:val="30"/>
          <w:szCs w:val="30"/>
        </w:rPr>
        <w:t>、建设项目基本情况</w:t>
      </w:r>
    </w:p>
    <w:tbl>
      <w:tblPr>
        <w:tblStyle w:val="23"/>
        <w:tblW w:w="938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420"/>
        <w:gridCol w:w="2599"/>
        <w:gridCol w:w="2090"/>
        <w:gridCol w:w="3276"/>
      </w:tblGrid>
      <w:tr w14:paraId="6F9431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53" w:hRule="atLeast"/>
          <w:jc w:val="center"/>
        </w:trPr>
        <w:tc>
          <w:tcPr>
            <w:tcW w:w="1420" w:type="dxa"/>
            <w:tcMar>
              <w:top w:w="16" w:type="dxa"/>
              <w:left w:w="16" w:type="dxa"/>
              <w:right w:w="16" w:type="dxa"/>
            </w:tcMar>
            <w:vAlign w:val="center"/>
          </w:tcPr>
          <w:p w14:paraId="798068D5">
            <w:pPr>
              <w:adjustRightInd w:val="0"/>
              <w:snapToGrid w:val="0"/>
              <w:jc w:val="center"/>
              <w:rPr>
                <w:color w:val="auto"/>
                <w:szCs w:val="21"/>
              </w:rPr>
            </w:pPr>
            <w:r>
              <w:rPr>
                <w:color w:val="auto"/>
                <w:szCs w:val="21"/>
              </w:rPr>
              <w:t>建设项目名称</w:t>
            </w:r>
          </w:p>
        </w:tc>
        <w:tc>
          <w:tcPr>
            <w:tcW w:w="7965" w:type="dxa"/>
            <w:gridSpan w:val="3"/>
            <w:vAlign w:val="center"/>
          </w:tcPr>
          <w:p w14:paraId="4E42B12F">
            <w:pPr>
              <w:adjustRightInd w:val="0"/>
              <w:snapToGrid w:val="0"/>
              <w:jc w:val="center"/>
              <w:rPr>
                <w:color w:val="auto"/>
                <w:szCs w:val="21"/>
              </w:rPr>
            </w:pPr>
            <w:r>
              <w:rPr>
                <w:rFonts w:hint="eastAsia"/>
                <w:color w:val="auto"/>
                <w:spacing w:val="6"/>
                <w:szCs w:val="21"/>
                <w:shd w:val="clear" w:color="auto" w:fill="FFFFFF"/>
              </w:rPr>
              <w:t>标准物质研发中心建设项目</w:t>
            </w:r>
          </w:p>
        </w:tc>
      </w:tr>
      <w:tr w14:paraId="3F6102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83" w:hRule="atLeast"/>
          <w:jc w:val="center"/>
        </w:trPr>
        <w:tc>
          <w:tcPr>
            <w:tcW w:w="1420" w:type="dxa"/>
            <w:tcMar>
              <w:top w:w="16" w:type="dxa"/>
              <w:left w:w="16" w:type="dxa"/>
              <w:right w:w="16" w:type="dxa"/>
            </w:tcMar>
            <w:vAlign w:val="center"/>
          </w:tcPr>
          <w:p w14:paraId="2329313C">
            <w:pPr>
              <w:adjustRightInd w:val="0"/>
              <w:snapToGrid w:val="0"/>
              <w:jc w:val="center"/>
              <w:rPr>
                <w:color w:val="auto"/>
                <w:szCs w:val="21"/>
              </w:rPr>
            </w:pPr>
            <w:r>
              <w:rPr>
                <w:color w:val="auto"/>
                <w:szCs w:val="21"/>
              </w:rPr>
              <w:t>项目代码</w:t>
            </w:r>
          </w:p>
        </w:tc>
        <w:tc>
          <w:tcPr>
            <w:tcW w:w="7965" w:type="dxa"/>
            <w:gridSpan w:val="3"/>
            <w:vAlign w:val="center"/>
          </w:tcPr>
          <w:p w14:paraId="7E52890F">
            <w:pPr>
              <w:adjustRightInd w:val="0"/>
              <w:snapToGrid w:val="0"/>
              <w:jc w:val="center"/>
              <w:rPr>
                <w:color w:val="auto"/>
                <w:szCs w:val="21"/>
              </w:rPr>
            </w:pPr>
            <w:r>
              <w:rPr>
                <w:rFonts w:hint="eastAsia"/>
                <w:color w:val="auto"/>
                <w:szCs w:val="21"/>
              </w:rPr>
              <w:t>2507-320685-89-01-290880</w:t>
            </w:r>
          </w:p>
        </w:tc>
      </w:tr>
      <w:tr w14:paraId="33C8E1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43" w:hRule="atLeast"/>
          <w:jc w:val="center"/>
        </w:trPr>
        <w:tc>
          <w:tcPr>
            <w:tcW w:w="1420" w:type="dxa"/>
            <w:tcMar>
              <w:top w:w="16" w:type="dxa"/>
              <w:left w:w="16" w:type="dxa"/>
              <w:right w:w="16" w:type="dxa"/>
            </w:tcMar>
            <w:vAlign w:val="center"/>
          </w:tcPr>
          <w:p w14:paraId="07A8F03E">
            <w:pPr>
              <w:adjustRightInd w:val="0"/>
              <w:snapToGrid w:val="0"/>
              <w:jc w:val="center"/>
              <w:rPr>
                <w:color w:val="auto"/>
                <w:szCs w:val="21"/>
              </w:rPr>
            </w:pPr>
            <w:r>
              <w:rPr>
                <w:color w:val="auto"/>
                <w:szCs w:val="21"/>
              </w:rPr>
              <w:t>建设单位</w:t>
            </w:r>
            <w:r>
              <w:rPr>
                <w:color w:val="auto"/>
                <w:szCs w:val="21"/>
              </w:rPr>
              <w:br w:type="textWrapping"/>
            </w:r>
            <w:r>
              <w:rPr>
                <w:color w:val="auto"/>
                <w:szCs w:val="21"/>
              </w:rPr>
              <w:t>联系人</w:t>
            </w:r>
          </w:p>
        </w:tc>
        <w:tc>
          <w:tcPr>
            <w:tcW w:w="2599" w:type="dxa"/>
            <w:vAlign w:val="center"/>
          </w:tcPr>
          <w:p w14:paraId="77153FE7">
            <w:pPr>
              <w:adjustRightInd w:val="0"/>
              <w:snapToGrid w:val="0"/>
              <w:jc w:val="center"/>
              <w:rPr>
                <w:color w:val="auto"/>
                <w:szCs w:val="21"/>
              </w:rPr>
            </w:pPr>
            <w:r>
              <w:rPr>
                <w:rFonts w:hint="eastAsia"/>
                <w:color w:val="auto"/>
                <w:szCs w:val="21"/>
              </w:rPr>
              <w:t>张英志</w:t>
            </w:r>
          </w:p>
        </w:tc>
        <w:tc>
          <w:tcPr>
            <w:tcW w:w="2090" w:type="dxa"/>
            <w:vAlign w:val="center"/>
          </w:tcPr>
          <w:p w14:paraId="054188C4">
            <w:pPr>
              <w:adjustRightInd w:val="0"/>
              <w:snapToGrid w:val="0"/>
              <w:jc w:val="center"/>
              <w:rPr>
                <w:color w:val="auto"/>
                <w:szCs w:val="21"/>
              </w:rPr>
            </w:pPr>
            <w:r>
              <w:rPr>
                <w:color w:val="auto"/>
                <w:szCs w:val="21"/>
              </w:rPr>
              <w:t>联系方式</w:t>
            </w:r>
          </w:p>
        </w:tc>
        <w:tc>
          <w:tcPr>
            <w:tcW w:w="3276" w:type="dxa"/>
            <w:vAlign w:val="center"/>
          </w:tcPr>
          <w:p w14:paraId="3E2886D1">
            <w:pPr>
              <w:adjustRightInd w:val="0"/>
              <w:snapToGrid w:val="0"/>
              <w:jc w:val="center"/>
              <w:rPr>
                <w:color w:val="auto"/>
                <w:szCs w:val="21"/>
              </w:rPr>
            </w:pPr>
            <w:r>
              <w:rPr>
                <w:rFonts w:hint="eastAsia"/>
                <w:color w:val="auto"/>
                <w:sz w:val="24"/>
              </w:rPr>
              <w:t>13773768887</w:t>
            </w:r>
          </w:p>
        </w:tc>
      </w:tr>
      <w:tr w14:paraId="5744C2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420" w:type="dxa"/>
            <w:tcMar>
              <w:top w:w="16" w:type="dxa"/>
              <w:left w:w="16" w:type="dxa"/>
              <w:right w:w="16" w:type="dxa"/>
            </w:tcMar>
            <w:vAlign w:val="center"/>
          </w:tcPr>
          <w:p w14:paraId="3C9057C7">
            <w:pPr>
              <w:adjustRightInd w:val="0"/>
              <w:snapToGrid w:val="0"/>
              <w:jc w:val="center"/>
              <w:rPr>
                <w:color w:val="auto"/>
                <w:szCs w:val="21"/>
              </w:rPr>
            </w:pPr>
            <w:r>
              <w:rPr>
                <w:color w:val="auto"/>
                <w:szCs w:val="21"/>
              </w:rPr>
              <w:t>建设地点</w:t>
            </w:r>
          </w:p>
        </w:tc>
        <w:tc>
          <w:tcPr>
            <w:tcW w:w="7965" w:type="dxa"/>
            <w:gridSpan w:val="3"/>
            <w:vAlign w:val="center"/>
          </w:tcPr>
          <w:p w14:paraId="088451DA">
            <w:pPr>
              <w:adjustRightInd w:val="0"/>
              <w:snapToGrid w:val="0"/>
              <w:jc w:val="center"/>
              <w:rPr>
                <w:color w:val="auto"/>
                <w:szCs w:val="21"/>
              </w:rPr>
            </w:pPr>
            <w:r>
              <w:rPr>
                <w:rFonts w:hint="eastAsia"/>
                <w:color w:val="auto"/>
              </w:rPr>
              <w:t>江苏省南通市海安市李堡镇富庄村7组（江海路23号）</w:t>
            </w:r>
          </w:p>
        </w:tc>
      </w:tr>
      <w:tr w14:paraId="26095D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420" w:type="dxa"/>
            <w:tcMar>
              <w:top w:w="16" w:type="dxa"/>
              <w:left w:w="16" w:type="dxa"/>
              <w:right w:w="16" w:type="dxa"/>
            </w:tcMar>
            <w:vAlign w:val="center"/>
          </w:tcPr>
          <w:p w14:paraId="03E7A6F0">
            <w:pPr>
              <w:adjustRightInd w:val="0"/>
              <w:snapToGrid w:val="0"/>
              <w:jc w:val="center"/>
              <w:rPr>
                <w:color w:val="auto"/>
                <w:szCs w:val="21"/>
              </w:rPr>
            </w:pPr>
            <w:r>
              <w:rPr>
                <w:color w:val="auto"/>
                <w:szCs w:val="21"/>
              </w:rPr>
              <w:t>地理坐标</w:t>
            </w:r>
          </w:p>
        </w:tc>
        <w:tc>
          <w:tcPr>
            <w:tcW w:w="7965" w:type="dxa"/>
            <w:gridSpan w:val="3"/>
            <w:vAlign w:val="center"/>
          </w:tcPr>
          <w:p w14:paraId="68FBFC42">
            <w:pPr>
              <w:jc w:val="center"/>
              <w:rPr>
                <w:color w:val="auto"/>
                <w:szCs w:val="21"/>
              </w:rPr>
            </w:pPr>
            <w:r>
              <w:rPr>
                <w:rFonts w:hint="eastAsia"/>
                <w:color w:val="auto"/>
                <w:szCs w:val="21"/>
                <w:u w:val="single"/>
              </w:rPr>
              <w:t>120</w:t>
            </w:r>
            <w:r>
              <w:rPr>
                <w:rFonts w:hint="eastAsia"/>
                <w:color w:val="auto"/>
                <w:szCs w:val="21"/>
              </w:rPr>
              <w:t>度</w:t>
            </w:r>
            <w:r>
              <w:rPr>
                <w:rFonts w:hint="eastAsia"/>
                <w:color w:val="auto"/>
                <w:szCs w:val="21"/>
                <w:u w:val="single"/>
              </w:rPr>
              <w:t>41</w:t>
            </w:r>
            <w:r>
              <w:rPr>
                <w:rFonts w:hint="eastAsia"/>
                <w:color w:val="auto"/>
                <w:szCs w:val="21"/>
              </w:rPr>
              <w:t>分</w:t>
            </w:r>
            <w:r>
              <w:rPr>
                <w:rFonts w:hint="eastAsia"/>
                <w:color w:val="auto"/>
                <w:szCs w:val="21"/>
                <w:u w:val="single"/>
              </w:rPr>
              <w:t>18.960</w:t>
            </w:r>
            <w:r>
              <w:rPr>
                <w:rFonts w:hint="eastAsia"/>
                <w:color w:val="auto"/>
                <w:szCs w:val="21"/>
              </w:rPr>
              <w:t>秒，</w:t>
            </w:r>
            <w:r>
              <w:rPr>
                <w:rFonts w:hint="eastAsia"/>
                <w:color w:val="auto"/>
                <w:szCs w:val="21"/>
                <w:u w:val="single"/>
              </w:rPr>
              <w:t>32</w:t>
            </w:r>
            <w:r>
              <w:rPr>
                <w:rFonts w:hint="eastAsia"/>
                <w:color w:val="auto"/>
                <w:szCs w:val="21"/>
              </w:rPr>
              <w:t>度</w:t>
            </w:r>
            <w:r>
              <w:rPr>
                <w:rFonts w:hint="eastAsia"/>
                <w:color w:val="auto"/>
                <w:szCs w:val="21"/>
                <w:u w:val="single"/>
              </w:rPr>
              <w:t>32</w:t>
            </w:r>
            <w:r>
              <w:rPr>
                <w:rFonts w:hint="eastAsia"/>
                <w:color w:val="auto"/>
                <w:szCs w:val="21"/>
              </w:rPr>
              <w:t>分</w:t>
            </w:r>
            <w:r>
              <w:rPr>
                <w:rFonts w:hint="eastAsia"/>
                <w:color w:val="auto"/>
                <w:szCs w:val="21"/>
                <w:u w:val="single"/>
              </w:rPr>
              <w:t>39.487</w:t>
            </w:r>
            <w:r>
              <w:rPr>
                <w:rFonts w:hint="eastAsia"/>
                <w:color w:val="auto"/>
                <w:szCs w:val="21"/>
              </w:rPr>
              <w:t>秒</w:t>
            </w:r>
          </w:p>
        </w:tc>
      </w:tr>
      <w:tr w14:paraId="4ED006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100" w:hRule="atLeast"/>
          <w:jc w:val="center"/>
        </w:trPr>
        <w:tc>
          <w:tcPr>
            <w:tcW w:w="1420" w:type="dxa"/>
            <w:tcMar>
              <w:top w:w="16" w:type="dxa"/>
              <w:left w:w="16" w:type="dxa"/>
              <w:right w:w="16" w:type="dxa"/>
            </w:tcMar>
            <w:vAlign w:val="center"/>
          </w:tcPr>
          <w:p w14:paraId="504A271A">
            <w:pPr>
              <w:adjustRightInd w:val="0"/>
              <w:snapToGrid w:val="0"/>
              <w:jc w:val="center"/>
              <w:rPr>
                <w:color w:val="auto"/>
                <w:szCs w:val="21"/>
              </w:rPr>
            </w:pPr>
            <w:r>
              <w:rPr>
                <w:color w:val="auto"/>
                <w:szCs w:val="21"/>
              </w:rPr>
              <w:t>国民经济</w:t>
            </w:r>
          </w:p>
          <w:p w14:paraId="47CAF0A7">
            <w:pPr>
              <w:adjustRightInd w:val="0"/>
              <w:snapToGrid w:val="0"/>
              <w:jc w:val="center"/>
              <w:rPr>
                <w:color w:val="auto"/>
                <w:szCs w:val="21"/>
              </w:rPr>
            </w:pPr>
            <w:r>
              <w:rPr>
                <w:color w:val="auto"/>
                <w:szCs w:val="21"/>
              </w:rPr>
              <w:t>行业类别</w:t>
            </w:r>
          </w:p>
        </w:tc>
        <w:tc>
          <w:tcPr>
            <w:tcW w:w="2599" w:type="dxa"/>
            <w:vAlign w:val="center"/>
          </w:tcPr>
          <w:p w14:paraId="4F7F1933">
            <w:pPr>
              <w:adjustRightInd w:val="0"/>
              <w:snapToGrid w:val="0"/>
              <w:jc w:val="center"/>
              <w:rPr>
                <w:color w:val="auto"/>
              </w:rPr>
            </w:pPr>
            <w:r>
              <w:rPr>
                <w:rFonts w:hint="eastAsia"/>
                <w:color w:val="auto"/>
                <w:spacing w:val="6"/>
                <w:szCs w:val="21"/>
                <w:shd w:val="clear" w:color="auto" w:fill="FFFFFF"/>
              </w:rPr>
              <w:t>M7320工程和技术研究和试验发展</w:t>
            </w:r>
          </w:p>
        </w:tc>
        <w:tc>
          <w:tcPr>
            <w:tcW w:w="2090" w:type="dxa"/>
            <w:vAlign w:val="center"/>
          </w:tcPr>
          <w:p w14:paraId="59F68DE5">
            <w:pPr>
              <w:adjustRightInd w:val="0"/>
              <w:snapToGrid w:val="0"/>
              <w:jc w:val="center"/>
              <w:rPr>
                <w:color w:val="auto"/>
                <w:szCs w:val="21"/>
              </w:rPr>
            </w:pPr>
            <w:r>
              <w:rPr>
                <w:color w:val="auto"/>
                <w:szCs w:val="21"/>
              </w:rPr>
              <w:t>建设项目</w:t>
            </w:r>
          </w:p>
          <w:p w14:paraId="62AE7842">
            <w:pPr>
              <w:adjustRightInd w:val="0"/>
              <w:snapToGrid w:val="0"/>
              <w:jc w:val="center"/>
              <w:rPr>
                <w:color w:val="auto"/>
                <w:szCs w:val="21"/>
              </w:rPr>
            </w:pPr>
            <w:r>
              <w:rPr>
                <w:color w:val="auto"/>
                <w:szCs w:val="21"/>
              </w:rPr>
              <w:t>行业类别</w:t>
            </w:r>
          </w:p>
        </w:tc>
        <w:tc>
          <w:tcPr>
            <w:tcW w:w="3276" w:type="dxa"/>
            <w:vAlign w:val="center"/>
          </w:tcPr>
          <w:p w14:paraId="5A4875A9">
            <w:pPr>
              <w:adjustRightInd w:val="0"/>
              <w:snapToGrid w:val="0"/>
              <w:rPr>
                <w:color w:val="auto"/>
                <w:szCs w:val="21"/>
              </w:rPr>
            </w:pPr>
            <w:r>
              <w:rPr>
                <w:rFonts w:hint="eastAsia"/>
                <w:color w:val="auto"/>
                <w:szCs w:val="21"/>
              </w:rPr>
              <w:t>四十五</w:t>
            </w:r>
            <w:r>
              <w:rPr>
                <w:color w:val="auto"/>
                <w:szCs w:val="21"/>
              </w:rPr>
              <w:t>、</w:t>
            </w:r>
            <w:r>
              <w:rPr>
                <w:rFonts w:hint="eastAsia"/>
                <w:color w:val="auto"/>
                <w:szCs w:val="21"/>
              </w:rPr>
              <w:t>研究和试验发展</w:t>
            </w:r>
          </w:p>
          <w:p w14:paraId="28D6ADA3">
            <w:pPr>
              <w:adjustRightInd w:val="0"/>
              <w:snapToGrid w:val="0"/>
              <w:rPr>
                <w:color w:val="auto"/>
                <w:szCs w:val="21"/>
              </w:rPr>
            </w:pPr>
            <w:r>
              <w:rPr>
                <w:rFonts w:hint="eastAsia"/>
                <w:color w:val="auto"/>
                <w:szCs w:val="21"/>
              </w:rPr>
              <w:t>98、专业实验室、研发（试验）基地：其他（不产生实验废气、废水、危险废物的除外）</w:t>
            </w:r>
          </w:p>
        </w:tc>
      </w:tr>
      <w:tr w14:paraId="59388F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219" w:hRule="atLeast"/>
          <w:jc w:val="center"/>
        </w:trPr>
        <w:tc>
          <w:tcPr>
            <w:tcW w:w="1420" w:type="dxa"/>
            <w:tcMar>
              <w:top w:w="16" w:type="dxa"/>
              <w:left w:w="16" w:type="dxa"/>
              <w:right w:w="16" w:type="dxa"/>
            </w:tcMar>
            <w:vAlign w:val="center"/>
          </w:tcPr>
          <w:p w14:paraId="1D9656DC">
            <w:pPr>
              <w:adjustRightInd w:val="0"/>
              <w:snapToGrid w:val="0"/>
              <w:jc w:val="center"/>
              <w:rPr>
                <w:color w:val="auto"/>
                <w:szCs w:val="21"/>
              </w:rPr>
            </w:pPr>
            <w:r>
              <w:rPr>
                <w:color w:val="auto"/>
                <w:szCs w:val="21"/>
              </w:rPr>
              <w:t>建设性质</w:t>
            </w:r>
          </w:p>
        </w:tc>
        <w:tc>
          <w:tcPr>
            <w:tcW w:w="2599" w:type="dxa"/>
            <w:vAlign w:val="center"/>
          </w:tcPr>
          <w:p w14:paraId="2B8F0127">
            <w:pPr>
              <w:jc w:val="left"/>
              <w:rPr>
                <w:color w:val="auto"/>
                <w:szCs w:val="21"/>
              </w:rPr>
            </w:pPr>
            <w:r>
              <w:rPr>
                <w:rFonts w:ascii="Segoe UI Symbol" w:hAnsi="Segoe UI Symbol" w:cs="Segoe UI Symbol"/>
                <w:color w:val="auto"/>
                <w:szCs w:val="21"/>
              </w:rPr>
              <w:t>☑</w:t>
            </w:r>
            <w:r>
              <w:rPr>
                <w:color w:val="auto"/>
                <w:szCs w:val="21"/>
              </w:rPr>
              <w:t>新建</w:t>
            </w:r>
          </w:p>
          <w:p w14:paraId="282BF6BB">
            <w:pPr>
              <w:jc w:val="left"/>
              <w:rPr>
                <w:color w:val="auto"/>
                <w:szCs w:val="21"/>
              </w:rPr>
            </w:pPr>
            <w:r>
              <w:rPr>
                <w:color w:val="auto"/>
                <w:szCs w:val="21"/>
              </w:rPr>
              <w:t>□改建</w:t>
            </w:r>
          </w:p>
          <w:p w14:paraId="39A53B4D">
            <w:pPr>
              <w:jc w:val="left"/>
              <w:rPr>
                <w:color w:val="auto"/>
                <w:szCs w:val="21"/>
              </w:rPr>
            </w:pPr>
            <w:r>
              <w:rPr>
                <w:color w:val="auto"/>
                <w:szCs w:val="21"/>
              </w:rPr>
              <w:t>□扩建</w:t>
            </w:r>
          </w:p>
          <w:p w14:paraId="12E0CADF">
            <w:pPr>
              <w:jc w:val="left"/>
              <w:rPr>
                <w:color w:val="auto"/>
                <w:szCs w:val="21"/>
              </w:rPr>
            </w:pPr>
            <w:r>
              <w:rPr>
                <w:color w:val="auto"/>
                <w:szCs w:val="21"/>
              </w:rPr>
              <w:t>□技术改造</w:t>
            </w:r>
          </w:p>
        </w:tc>
        <w:tc>
          <w:tcPr>
            <w:tcW w:w="2090" w:type="dxa"/>
            <w:vAlign w:val="center"/>
          </w:tcPr>
          <w:p w14:paraId="54D394F1">
            <w:pPr>
              <w:adjustRightInd w:val="0"/>
              <w:snapToGrid w:val="0"/>
              <w:jc w:val="center"/>
              <w:rPr>
                <w:color w:val="auto"/>
                <w:szCs w:val="21"/>
              </w:rPr>
            </w:pPr>
            <w:r>
              <w:rPr>
                <w:color w:val="auto"/>
                <w:szCs w:val="21"/>
              </w:rPr>
              <w:t>建设项目</w:t>
            </w:r>
          </w:p>
          <w:p w14:paraId="5405C9C6">
            <w:pPr>
              <w:adjustRightInd w:val="0"/>
              <w:snapToGrid w:val="0"/>
              <w:jc w:val="center"/>
              <w:rPr>
                <w:color w:val="auto"/>
                <w:szCs w:val="21"/>
              </w:rPr>
            </w:pPr>
            <w:r>
              <w:rPr>
                <w:color w:val="auto"/>
                <w:szCs w:val="21"/>
              </w:rPr>
              <w:t>申报情形</w:t>
            </w:r>
          </w:p>
        </w:tc>
        <w:tc>
          <w:tcPr>
            <w:tcW w:w="3276" w:type="dxa"/>
            <w:vAlign w:val="center"/>
          </w:tcPr>
          <w:p w14:paraId="7D1AA42A">
            <w:pPr>
              <w:jc w:val="left"/>
              <w:rPr>
                <w:color w:val="auto"/>
                <w:szCs w:val="21"/>
              </w:rPr>
            </w:pPr>
            <w:r>
              <w:rPr>
                <w:rFonts w:ascii="Segoe UI Symbol" w:hAnsi="Segoe UI Symbol" w:cs="Segoe UI Symbol"/>
                <w:color w:val="auto"/>
                <w:szCs w:val="21"/>
              </w:rPr>
              <w:t>☑</w:t>
            </w:r>
            <w:r>
              <w:rPr>
                <w:color w:val="auto"/>
                <w:szCs w:val="21"/>
              </w:rPr>
              <w:t xml:space="preserve">首次申报项目             </w:t>
            </w:r>
          </w:p>
          <w:p w14:paraId="0218ED67">
            <w:pPr>
              <w:jc w:val="left"/>
              <w:rPr>
                <w:color w:val="auto"/>
                <w:szCs w:val="21"/>
              </w:rPr>
            </w:pPr>
            <w:r>
              <w:rPr>
                <w:color w:val="auto"/>
                <w:szCs w:val="21"/>
              </w:rPr>
              <w:t>□不予批准后再次申报项目</w:t>
            </w:r>
          </w:p>
          <w:p w14:paraId="11582B90">
            <w:pPr>
              <w:jc w:val="left"/>
              <w:rPr>
                <w:color w:val="auto"/>
                <w:szCs w:val="21"/>
              </w:rPr>
            </w:pPr>
            <w:r>
              <w:rPr>
                <w:color w:val="auto"/>
                <w:szCs w:val="21"/>
              </w:rPr>
              <w:t xml:space="preserve">□超五年重新审核项目     </w:t>
            </w:r>
          </w:p>
          <w:p w14:paraId="7E8BEE0E">
            <w:pPr>
              <w:jc w:val="left"/>
              <w:rPr>
                <w:color w:val="auto"/>
                <w:szCs w:val="21"/>
              </w:rPr>
            </w:pPr>
            <w:r>
              <w:rPr>
                <w:color w:val="auto"/>
                <w:szCs w:val="21"/>
              </w:rPr>
              <w:t>□重大变动重新报批项目</w:t>
            </w:r>
          </w:p>
        </w:tc>
      </w:tr>
      <w:tr w14:paraId="4241EC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51" w:hRule="atLeast"/>
          <w:jc w:val="center"/>
        </w:trPr>
        <w:tc>
          <w:tcPr>
            <w:tcW w:w="1420" w:type="dxa"/>
            <w:tcMar>
              <w:top w:w="16" w:type="dxa"/>
              <w:left w:w="16" w:type="dxa"/>
              <w:right w:w="16" w:type="dxa"/>
            </w:tcMar>
            <w:vAlign w:val="center"/>
          </w:tcPr>
          <w:p w14:paraId="69E67B50">
            <w:pPr>
              <w:adjustRightInd w:val="0"/>
              <w:snapToGrid w:val="0"/>
              <w:jc w:val="center"/>
              <w:rPr>
                <w:color w:val="auto"/>
                <w:szCs w:val="21"/>
              </w:rPr>
            </w:pPr>
            <w:r>
              <w:rPr>
                <w:color w:val="auto"/>
                <w:szCs w:val="21"/>
              </w:rPr>
              <w:t>项目审批（核准/备案）部门（选填）</w:t>
            </w:r>
          </w:p>
        </w:tc>
        <w:tc>
          <w:tcPr>
            <w:tcW w:w="2599" w:type="dxa"/>
            <w:vAlign w:val="center"/>
          </w:tcPr>
          <w:p w14:paraId="4A15AD63">
            <w:pPr>
              <w:adjustRightInd w:val="0"/>
              <w:snapToGrid w:val="0"/>
              <w:jc w:val="center"/>
              <w:rPr>
                <w:color w:val="auto"/>
                <w:szCs w:val="21"/>
              </w:rPr>
            </w:pPr>
            <w:r>
              <w:rPr>
                <w:rFonts w:hint="eastAsia"/>
                <w:color w:val="auto"/>
                <w:szCs w:val="21"/>
              </w:rPr>
              <w:t>海安市数据局</w:t>
            </w:r>
          </w:p>
        </w:tc>
        <w:tc>
          <w:tcPr>
            <w:tcW w:w="2090" w:type="dxa"/>
            <w:vAlign w:val="center"/>
          </w:tcPr>
          <w:p w14:paraId="3CA99C70">
            <w:pPr>
              <w:adjustRightInd w:val="0"/>
              <w:snapToGrid w:val="0"/>
              <w:jc w:val="center"/>
              <w:rPr>
                <w:color w:val="auto"/>
                <w:szCs w:val="21"/>
              </w:rPr>
            </w:pPr>
            <w:r>
              <w:rPr>
                <w:color w:val="auto"/>
                <w:szCs w:val="21"/>
              </w:rPr>
              <w:t>项目审批（核准/</w:t>
            </w:r>
          </w:p>
          <w:p w14:paraId="51E336A0">
            <w:pPr>
              <w:adjustRightInd w:val="0"/>
              <w:snapToGrid w:val="0"/>
              <w:jc w:val="center"/>
              <w:rPr>
                <w:color w:val="auto"/>
                <w:szCs w:val="21"/>
              </w:rPr>
            </w:pPr>
            <w:r>
              <w:rPr>
                <w:color w:val="auto"/>
                <w:szCs w:val="21"/>
              </w:rPr>
              <w:t>备案）文号（选填）</w:t>
            </w:r>
          </w:p>
        </w:tc>
        <w:tc>
          <w:tcPr>
            <w:tcW w:w="3276" w:type="dxa"/>
            <w:vAlign w:val="center"/>
          </w:tcPr>
          <w:p w14:paraId="14B36BF9">
            <w:pPr>
              <w:adjustRightInd w:val="0"/>
              <w:snapToGrid w:val="0"/>
              <w:jc w:val="center"/>
              <w:rPr>
                <w:color w:val="auto"/>
                <w:szCs w:val="21"/>
              </w:rPr>
            </w:pPr>
            <w:r>
              <w:rPr>
                <w:rFonts w:hint="eastAsia"/>
                <w:color w:val="auto"/>
                <w:szCs w:val="21"/>
              </w:rPr>
              <w:t>海安数据备〔2025〕1815号</w:t>
            </w:r>
          </w:p>
        </w:tc>
      </w:tr>
      <w:tr w14:paraId="10C8CD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420" w:type="dxa"/>
            <w:tcMar>
              <w:top w:w="16" w:type="dxa"/>
              <w:left w:w="16" w:type="dxa"/>
              <w:right w:w="16" w:type="dxa"/>
            </w:tcMar>
            <w:vAlign w:val="center"/>
          </w:tcPr>
          <w:p w14:paraId="76244B8D">
            <w:pPr>
              <w:adjustRightInd w:val="0"/>
              <w:snapToGrid w:val="0"/>
              <w:jc w:val="center"/>
              <w:rPr>
                <w:color w:val="auto"/>
                <w:szCs w:val="21"/>
              </w:rPr>
            </w:pPr>
            <w:r>
              <w:rPr>
                <w:color w:val="auto"/>
                <w:szCs w:val="21"/>
              </w:rPr>
              <w:t>总投资（万元）</w:t>
            </w:r>
          </w:p>
        </w:tc>
        <w:tc>
          <w:tcPr>
            <w:tcW w:w="2599" w:type="dxa"/>
            <w:vAlign w:val="center"/>
          </w:tcPr>
          <w:p w14:paraId="69735D33">
            <w:pPr>
              <w:adjustRightInd w:val="0"/>
              <w:snapToGrid w:val="0"/>
              <w:jc w:val="center"/>
              <w:rPr>
                <w:color w:val="auto"/>
                <w:szCs w:val="21"/>
              </w:rPr>
            </w:pPr>
            <w:r>
              <w:rPr>
                <w:rFonts w:hint="eastAsia"/>
                <w:color w:val="auto"/>
                <w:szCs w:val="21"/>
              </w:rPr>
              <w:t>1000</w:t>
            </w:r>
          </w:p>
        </w:tc>
        <w:tc>
          <w:tcPr>
            <w:tcW w:w="2090" w:type="dxa"/>
            <w:tcMar>
              <w:top w:w="16" w:type="dxa"/>
              <w:left w:w="16" w:type="dxa"/>
              <w:right w:w="16" w:type="dxa"/>
            </w:tcMar>
            <w:vAlign w:val="center"/>
          </w:tcPr>
          <w:p w14:paraId="09CB6CD6">
            <w:pPr>
              <w:adjustRightInd w:val="0"/>
              <w:snapToGrid w:val="0"/>
              <w:jc w:val="center"/>
              <w:rPr>
                <w:color w:val="auto"/>
                <w:szCs w:val="21"/>
              </w:rPr>
            </w:pPr>
            <w:r>
              <w:rPr>
                <w:color w:val="auto"/>
                <w:szCs w:val="21"/>
              </w:rPr>
              <w:t>环保投资（万元）</w:t>
            </w:r>
          </w:p>
        </w:tc>
        <w:tc>
          <w:tcPr>
            <w:tcW w:w="3276" w:type="dxa"/>
            <w:vAlign w:val="center"/>
          </w:tcPr>
          <w:p w14:paraId="5C1AF228">
            <w:pPr>
              <w:adjustRightInd w:val="0"/>
              <w:snapToGrid w:val="0"/>
              <w:jc w:val="center"/>
              <w:rPr>
                <w:color w:val="auto"/>
                <w:szCs w:val="21"/>
              </w:rPr>
            </w:pPr>
            <w:r>
              <w:rPr>
                <w:rFonts w:hint="eastAsia"/>
                <w:color w:val="auto"/>
                <w:szCs w:val="21"/>
              </w:rPr>
              <w:t>20</w:t>
            </w:r>
          </w:p>
        </w:tc>
      </w:tr>
      <w:tr w14:paraId="3DB33F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420" w:type="dxa"/>
            <w:tcMar>
              <w:top w:w="16" w:type="dxa"/>
              <w:left w:w="16" w:type="dxa"/>
              <w:right w:w="16" w:type="dxa"/>
            </w:tcMar>
            <w:vAlign w:val="center"/>
          </w:tcPr>
          <w:p w14:paraId="026DB5D3">
            <w:pPr>
              <w:adjustRightInd w:val="0"/>
              <w:snapToGrid w:val="0"/>
              <w:jc w:val="center"/>
              <w:rPr>
                <w:color w:val="auto"/>
                <w:szCs w:val="21"/>
              </w:rPr>
            </w:pPr>
            <w:r>
              <w:rPr>
                <w:color w:val="auto"/>
                <w:szCs w:val="21"/>
              </w:rPr>
              <w:t>环保投资占比（%）</w:t>
            </w:r>
          </w:p>
        </w:tc>
        <w:tc>
          <w:tcPr>
            <w:tcW w:w="2599" w:type="dxa"/>
            <w:vAlign w:val="center"/>
          </w:tcPr>
          <w:p w14:paraId="45E508F0">
            <w:pPr>
              <w:adjustRightInd w:val="0"/>
              <w:snapToGrid w:val="0"/>
              <w:jc w:val="center"/>
              <w:rPr>
                <w:color w:val="auto"/>
                <w:szCs w:val="21"/>
              </w:rPr>
            </w:pPr>
            <w:r>
              <w:rPr>
                <w:rFonts w:hint="eastAsia"/>
                <w:color w:val="auto"/>
                <w:szCs w:val="21"/>
              </w:rPr>
              <w:t>2.0</w:t>
            </w:r>
          </w:p>
        </w:tc>
        <w:tc>
          <w:tcPr>
            <w:tcW w:w="2090" w:type="dxa"/>
            <w:tcMar>
              <w:top w:w="16" w:type="dxa"/>
              <w:left w:w="16" w:type="dxa"/>
              <w:right w:w="16" w:type="dxa"/>
            </w:tcMar>
            <w:vAlign w:val="center"/>
          </w:tcPr>
          <w:p w14:paraId="7E94BC3F">
            <w:pPr>
              <w:adjustRightInd w:val="0"/>
              <w:snapToGrid w:val="0"/>
              <w:jc w:val="center"/>
              <w:rPr>
                <w:color w:val="auto"/>
                <w:szCs w:val="21"/>
              </w:rPr>
            </w:pPr>
            <w:r>
              <w:rPr>
                <w:color w:val="auto"/>
                <w:szCs w:val="21"/>
              </w:rPr>
              <w:t>施工工期</w:t>
            </w:r>
          </w:p>
        </w:tc>
        <w:tc>
          <w:tcPr>
            <w:tcW w:w="3276" w:type="dxa"/>
            <w:vAlign w:val="center"/>
          </w:tcPr>
          <w:p w14:paraId="2B06C4A9">
            <w:pPr>
              <w:adjustRightInd w:val="0"/>
              <w:snapToGrid w:val="0"/>
              <w:jc w:val="center"/>
              <w:rPr>
                <w:color w:val="auto"/>
                <w:szCs w:val="21"/>
              </w:rPr>
            </w:pPr>
            <w:r>
              <w:rPr>
                <w:rFonts w:hint="eastAsia"/>
                <w:color w:val="auto"/>
                <w:szCs w:val="21"/>
              </w:rPr>
              <w:t>7</w:t>
            </w:r>
            <w:r>
              <w:rPr>
                <w:color w:val="auto"/>
                <w:szCs w:val="21"/>
              </w:rPr>
              <w:t>个月</w:t>
            </w:r>
          </w:p>
        </w:tc>
      </w:tr>
      <w:tr w14:paraId="4F78C1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33" w:hRule="atLeast"/>
          <w:jc w:val="center"/>
        </w:trPr>
        <w:tc>
          <w:tcPr>
            <w:tcW w:w="1420" w:type="dxa"/>
            <w:tcMar>
              <w:top w:w="16" w:type="dxa"/>
              <w:left w:w="16" w:type="dxa"/>
              <w:right w:w="16" w:type="dxa"/>
            </w:tcMar>
            <w:vAlign w:val="center"/>
          </w:tcPr>
          <w:p w14:paraId="20A9C5E4">
            <w:pPr>
              <w:adjustRightInd w:val="0"/>
              <w:snapToGrid w:val="0"/>
              <w:jc w:val="center"/>
              <w:rPr>
                <w:color w:val="auto"/>
                <w:szCs w:val="21"/>
              </w:rPr>
            </w:pPr>
            <w:r>
              <w:rPr>
                <w:color w:val="auto"/>
                <w:szCs w:val="21"/>
              </w:rPr>
              <w:t>是否开工建设</w:t>
            </w:r>
          </w:p>
        </w:tc>
        <w:tc>
          <w:tcPr>
            <w:tcW w:w="2599" w:type="dxa"/>
            <w:vAlign w:val="center"/>
          </w:tcPr>
          <w:p w14:paraId="2C198988">
            <w:pPr>
              <w:adjustRightInd w:val="0"/>
              <w:snapToGrid w:val="0"/>
              <w:rPr>
                <w:color w:val="auto"/>
                <w:szCs w:val="21"/>
              </w:rPr>
            </w:pPr>
            <w:r>
              <w:rPr>
                <w:rFonts w:ascii="Segoe UI Symbol" w:hAnsi="Segoe UI Symbol" w:cs="Segoe UI Symbol"/>
                <w:color w:val="auto"/>
                <w:szCs w:val="21"/>
              </w:rPr>
              <w:t>☑</w:t>
            </w:r>
            <w:r>
              <w:rPr>
                <w:color w:val="auto"/>
                <w:szCs w:val="21"/>
              </w:rPr>
              <w:t>否</w:t>
            </w:r>
          </w:p>
          <w:p w14:paraId="6ABDE7BE">
            <w:pPr>
              <w:adjustRightInd w:val="0"/>
              <w:snapToGrid w:val="0"/>
              <w:rPr>
                <w:color w:val="auto"/>
                <w:sz w:val="15"/>
                <w:szCs w:val="15"/>
              </w:rPr>
            </w:pPr>
            <w:r>
              <w:rPr>
                <w:color w:val="auto"/>
                <w:szCs w:val="21"/>
              </w:rPr>
              <w:t>□是</w:t>
            </w:r>
            <w:r>
              <w:rPr>
                <w:rFonts w:hint="eastAsia"/>
                <w:color w:val="auto"/>
                <w:szCs w:val="21"/>
              </w:rPr>
              <w:t>:</w:t>
            </w:r>
            <w:r>
              <w:rPr>
                <w:color w:val="auto"/>
                <w:szCs w:val="21"/>
                <w:u w:val="single"/>
              </w:rPr>
              <w:t xml:space="preserve">         </w:t>
            </w:r>
          </w:p>
        </w:tc>
        <w:tc>
          <w:tcPr>
            <w:tcW w:w="2090" w:type="dxa"/>
            <w:tcMar>
              <w:top w:w="16" w:type="dxa"/>
              <w:left w:w="16" w:type="dxa"/>
              <w:right w:w="16" w:type="dxa"/>
            </w:tcMar>
            <w:vAlign w:val="center"/>
          </w:tcPr>
          <w:p w14:paraId="12704CDA">
            <w:pPr>
              <w:adjustRightInd w:val="0"/>
              <w:snapToGrid w:val="0"/>
              <w:jc w:val="center"/>
              <w:rPr>
                <w:color w:val="auto"/>
                <w:spacing w:val="-6"/>
                <w:szCs w:val="21"/>
              </w:rPr>
            </w:pPr>
            <w:r>
              <w:rPr>
                <w:color w:val="auto"/>
                <w:spacing w:val="-6"/>
                <w:szCs w:val="21"/>
              </w:rPr>
              <w:t>用地（用海）</w:t>
            </w:r>
          </w:p>
          <w:p w14:paraId="7940FF17">
            <w:pPr>
              <w:adjustRightInd w:val="0"/>
              <w:snapToGrid w:val="0"/>
              <w:jc w:val="center"/>
              <w:rPr>
                <w:color w:val="auto"/>
                <w:szCs w:val="21"/>
              </w:rPr>
            </w:pPr>
            <w:r>
              <w:rPr>
                <w:color w:val="auto"/>
                <w:spacing w:val="-6"/>
                <w:szCs w:val="21"/>
              </w:rPr>
              <w:t>面积（m</w:t>
            </w:r>
            <w:r>
              <w:rPr>
                <w:color w:val="auto"/>
                <w:spacing w:val="-6"/>
                <w:szCs w:val="21"/>
                <w:vertAlign w:val="superscript"/>
              </w:rPr>
              <w:t>2</w:t>
            </w:r>
            <w:r>
              <w:rPr>
                <w:color w:val="auto"/>
                <w:spacing w:val="-6"/>
                <w:szCs w:val="21"/>
              </w:rPr>
              <w:t>）</w:t>
            </w:r>
          </w:p>
        </w:tc>
        <w:tc>
          <w:tcPr>
            <w:tcW w:w="3276" w:type="dxa"/>
            <w:vAlign w:val="center"/>
          </w:tcPr>
          <w:p w14:paraId="4D870287">
            <w:pPr>
              <w:adjustRightInd w:val="0"/>
              <w:snapToGrid w:val="0"/>
              <w:jc w:val="center"/>
              <w:rPr>
                <w:color w:val="auto"/>
                <w:szCs w:val="21"/>
              </w:rPr>
            </w:pPr>
            <w:r>
              <w:rPr>
                <w:rFonts w:hint="eastAsia"/>
                <w:color w:val="auto"/>
                <w:spacing w:val="6"/>
                <w:szCs w:val="21"/>
                <w:shd w:val="clear" w:color="auto" w:fill="FFFFFF"/>
              </w:rPr>
              <w:t>2000（租赁）</w:t>
            </w:r>
          </w:p>
        </w:tc>
      </w:tr>
      <w:tr w14:paraId="166011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70" w:hRule="atLeast"/>
          <w:jc w:val="center"/>
        </w:trPr>
        <w:tc>
          <w:tcPr>
            <w:tcW w:w="1420" w:type="dxa"/>
            <w:vAlign w:val="center"/>
          </w:tcPr>
          <w:p w14:paraId="66A5DCCB">
            <w:pPr>
              <w:autoSpaceDE w:val="0"/>
              <w:autoSpaceDN w:val="0"/>
              <w:adjustRightInd w:val="0"/>
              <w:snapToGrid w:val="0"/>
              <w:jc w:val="center"/>
              <w:rPr>
                <w:color w:val="auto"/>
                <w:kern w:val="0"/>
                <w:szCs w:val="21"/>
              </w:rPr>
            </w:pPr>
            <w:r>
              <w:rPr>
                <w:color w:val="auto"/>
                <w:kern w:val="0"/>
                <w:szCs w:val="21"/>
              </w:rPr>
              <w:t>专项评价设置情况</w:t>
            </w:r>
          </w:p>
        </w:tc>
        <w:tc>
          <w:tcPr>
            <w:tcW w:w="7965" w:type="dxa"/>
            <w:gridSpan w:val="3"/>
            <w:vAlign w:val="center"/>
          </w:tcPr>
          <w:p w14:paraId="041435C9">
            <w:pPr>
              <w:autoSpaceDE w:val="0"/>
              <w:autoSpaceDN w:val="0"/>
              <w:adjustRightInd w:val="0"/>
              <w:snapToGrid w:val="0"/>
              <w:jc w:val="center"/>
              <w:rPr>
                <w:color w:val="auto"/>
                <w:kern w:val="0"/>
                <w:szCs w:val="21"/>
              </w:rPr>
            </w:pPr>
            <w:r>
              <w:rPr>
                <w:color w:val="auto"/>
                <w:kern w:val="0"/>
                <w:szCs w:val="21"/>
              </w:rPr>
              <w:t>无</w:t>
            </w:r>
          </w:p>
        </w:tc>
      </w:tr>
      <w:tr w14:paraId="15B340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272" w:hRule="atLeast"/>
          <w:jc w:val="center"/>
        </w:trPr>
        <w:tc>
          <w:tcPr>
            <w:tcW w:w="1420" w:type="dxa"/>
            <w:vAlign w:val="center"/>
          </w:tcPr>
          <w:p w14:paraId="7E9C6385">
            <w:pPr>
              <w:autoSpaceDE w:val="0"/>
              <w:autoSpaceDN w:val="0"/>
              <w:adjustRightInd w:val="0"/>
              <w:snapToGrid w:val="0"/>
              <w:jc w:val="center"/>
              <w:rPr>
                <w:color w:val="auto"/>
                <w:kern w:val="0"/>
                <w:szCs w:val="21"/>
              </w:rPr>
            </w:pPr>
            <w:r>
              <w:rPr>
                <w:color w:val="auto"/>
                <w:szCs w:val="21"/>
              </w:rPr>
              <w:t>规划情况</w:t>
            </w:r>
          </w:p>
        </w:tc>
        <w:tc>
          <w:tcPr>
            <w:tcW w:w="7965" w:type="dxa"/>
            <w:gridSpan w:val="3"/>
            <w:vAlign w:val="center"/>
          </w:tcPr>
          <w:p w14:paraId="50A2EEE2">
            <w:pPr>
              <w:autoSpaceDE w:val="0"/>
              <w:autoSpaceDN w:val="0"/>
              <w:adjustRightInd w:val="0"/>
              <w:snapToGrid w:val="0"/>
              <w:spacing w:before="240" w:line="360" w:lineRule="auto"/>
              <w:ind w:firstLine="420" w:firstLineChars="200"/>
              <w:rPr>
                <w:color w:val="auto"/>
              </w:rPr>
            </w:pPr>
            <w:r>
              <w:rPr>
                <w:rFonts w:hint="eastAsia"/>
                <w:color w:val="auto"/>
              </w:rPr>
              <w:t>《海安市李堡镇工业集中区规划（2022-2030）》；《海安市人民政府关于同意设立角斜高端装备产业园等17个产业园的批复》（海安市人民政府，海政〔2021〕73号）</w:t>
            </w:r>
          </w:p>
        </w:tc>
      </w:tr>
      <w:tr w14:paraId="397255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322" w:hRule="atLeast"/>
          <w:jc w:val="center"/>
        </w:trPr>
        <w:tc>
          <w:tcPr>
            <w:tcW w:w="1420" w:type="dxa"/>
            <w:vAlign w:val="center"/>
          </w:tcPr>
          <w:p w14:paraId="18CAA7A3">
            <w:pPr>
              <w:adjustRightInd w:val="0"/>
              <w:snapToGrid w:val="0"/>
              <w:jc w:val="center"/>
              <w:rPr>
                <w:color w:val="auto"/>
                <w:kern w:val="0"/>
                <w:szCs w:val="21"/>
              </w:rPr>
            </w:pPr>
            <w:r>
              <w:rPr>
                <w:color w:val="auto"/>
                <w:szCs w:val="21"/>
              </w:rPr>
              <w:t>规划环境影响评价情况</w:t>
            </w:r>
          </w:p>
        </w:tc>
        <w:tc>
          <w:tcPr>
            <w:tcW w:w="7965" w:type="dxa"/>
            <w:gridSpan w:val="3"/>
            <w:vAlign w:val="center"/>
          </w:tcPr>
          <w:p w14:paraId="318DC88B">
            <w:pPr>
              <w:pStyle w:val="18"/>
              <w:adjustRightInd w:val="0"/>
              <w:snapToGrid w:val="0"/>
              <w:spacing w:before="0" w:beforeAutospacing="0" w:after="0" w:afterAutospacing="0" w:line="360" w:lineRule="auto"/>
              <w:jc w:val="both"/>
              <w:rPr>
                <w:rFonts w:ascii="Times New Roman" w:hAnsi="Times New Roman"/>
                <w:color w:val="auto"/>
                <w:sz w:val="21"/>
                <w:szCs w:val="21"/>
              </w:rPr>
            </w:pPr>
            <w:r>
              <w:rPr>
                <w:rFonts w:ascii="Times New Roman" w:hAnsi="Times New Roman"/>
                <w:color w:val="auto"/>
                <w:sz w:val="21"/>
                <w:szCs w:val="21"/>
              </w:rPr>
              <w:t>规划环境影响评价名称：</w:t>
            </w:r>
            <w:r>
              <w:rPr>
                <w:rFonts w:hint="eastAsia" w:ascii="Times New Roman" w:hAnsi="Times New Roman"/>
                <w:color w:val="auto"/>
                <w:sz w:val="21"/>
                <w:szCs w:val="21"/>
              </w:rPr>
              <w:t>《海安市李堡镇工业集中区规划环境影响报告书》；</w:t>
            </w:r>
          </w:p>
          <w:p w14:paraId="27535C68">
            <w:pPr>
              <w:pStyle w:val="18"/>
              <w:adjustRightInd w:val="0"/>
              <w:snapToGrid w:val="0"/>
              <w:spacing w:before="0" w:beforeAutospacing="0" w:after="0" w:afterAutospacing="0" w:line="360" w:lineRule="auto"/>
              <w:jc w:val="both"/>
              <w:rPr>
                <w:rFonts w:ascii="Times New Roman" w:hAnsi="Times New Roman"/>
                <w:color w:val="auto"/>
                <w:sz w:val="21"/>
                <w:szCs w:val="21"/>
              </w:rPr>
            </w:pPr>
            <w:r>
              <w:rPr>
                <w:rFonts w:ascii="Times New Roman" w:hAnsi="Times New Roman"/>
                <w:color w:val="auto"/>
                <w:sz w:val="21"/>
                <w:szCs w:val="21"/>
              </w:rPr>
              <w:t>召集审查机关：</w:t>
            </w:r>
            <w:r>
              <w:rPr>
                <w:rFonts w:hint="eastAsia" w:ascii="Times New Roman" w:hAnsi="Times New Roman"/>
                <w:color w:val="auto"/>
                <w:sz w:val="21"/>
                <w:szCs w:val="21"/>
              </w:rPr>
              <w:t>南通市海安生态环境局</w:t>
            </w:r>
            <w:r>
              <w:rPr>
                <w:rFonts w:ascii="Times New Roman" w:hAnsi="Times New Roman"/>
                <w:color w:val="auto"/>
                <w:sz w:val="21"/>
                <w:szCs w:val="21"/>
              </w:rPr>
              <w:t>；</w:t>
            </w:r>
          </w:p>
          <w:p w14:paraId="440CC870">
            <w:pPr>
              <w:autoSpaceDE w:val="0"/>
              <w:autoSpaceDN w:val="0"/>
              <w:adjustRightInd w:val="0"/>
              <w:snapToGrid w:val="0"/>
              <w:spacing w:line="360" w:lineRule="auto"/>
              <w:rPr>
                <w:color w:val="auto"/>
              </w:rPr>
            </w:pPr>
            <w:r>
              <w:rPr>
                <w:color w:val="auto"/>
                <w:szCs w:val="21"/>
              </w:rPr>
              <w:t>审查文件名称及文号：</w:t>
            </w:r>
            <w:r>
              <w:rPr>
                <w:rFonts w:hint="eastAsia"/>
                <w:color w:val="auto"/>
                <w:szCs w:val="21"/>
              </w:rPr>
              <w:t>关于海安市李堡镇工业集中区规划环境影响报告书的</w:t>
            </w:r>
            <w:r>
              <w:rPr>
                <w:color w:val="auto"/>
                <w:szCs w:val="21"/>
              </w:rPr>
              <w:t>审查意见（</w:t>
            </w:r>
            <w:r>
              <w:rPr>
                <w:rFonts w:hint="eastAsia"/>
                <w:color w:val="auto"/>
                <w:szCs w:val="21"/>
              </w:rPr>
              <w:t>通海安</w:t>
            </w:r>
            <w:r>
              <w:rPr>
                <w:color w:val="auto"/>
                <w:szCs w:val="21"/>
              </w:rPr>
              <w:t>环审</w:t>
            </w:r>
            <w:r>
              <w:rPr>
                <w:rFonts w:hint="eastAsia"/>
                <w:color w:val="auto"/>
                <w:szCs w:val="21"/>
              </w:rPr>
              <w:t>〔2023〕8号</w:t>
            </w:r>
            <w:r>
              <w:rPr>
                <w:color w:val="auto"/>
                <w:szCs w:val="21"/>
              </w:rPr>
              <w:t>）。</w:t>
            </w:r>
          </w:p>
        </w:tc>
      </w:tr>
      <w:tr w14:paraId="433EF2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3649" w:hRule="atLeast"/>
          <w:jc w:val="center"/>
        </w:trPr>
        <w:tc>
          <w:tcPr>
            <w:tcW w:w="1420" w:type="dxa"/>
            <w:vAlign w:val="center"/>
          </w:tcPr>
          <w:p w14:paraId="72487BB3">
            <w:pPr>
              <w:autoSpaceDE w:val="0"/>
              <w:autoSpaceDN w:val="0"/>
              <w:adjustRightInd w:val="0"/>
              <w:snapToGrid w:val="0"/>
              <w:jc w:val="center"/>
              <w:rPr>
                <w:color w:val="auto"/>
                <w:kern w:val="0"/>
                <w:szCs w:val="21"/>
              </w:rPr>
            </w:pPr>
            <w:r>
              <w:rPr>
                <w:color w:val="auto"/>
                <w:kern w:val="0"/>
                <w:szCs w:val="21"/>
              </w:rPr>
              <w:t>规划及规划环境影响评价符合性分析</w:t>
            </w:r>
          </w:p>
        </w:tc>
        <w:tc>
          <w:tcPr>
            <w:tcW w:w="7965" w:type="dxa"/>
            <w:gridSpan w:val="3"/>
            <w:vAlign w:val="center"/>
          </w:tcPr>
          <w:p w14:paraId="61BE89CC">
            <w:pPr>
              <w:pStyle w:val="2"/>
              <w:spacing w:before="0" w:after="0" w:line="360" w:lineRule="auto"/>
              <w:ind w:left="0" w:firstLine="422" w:firstLineChars="200"/>
              <w:rPr>
                <w:rFonts w:eastAsia="宋体"/>
                <w:color w:val="auto"/>
                <w:kern w:val="2"/>
                <w:sz w:val="21"/>
                <w:szCs w:val="21"/>
              </w:rPr>
            </w:pPr>
            <w:r>
              <w:rPr>
                <w:color w:val="auto"/>
                <w:sz w:val="21"/>
                <w:szCs w:val="21"/>
              </w:rPr>
              <w:t>1</w:t>
            </w:r>
            <w:r>
              <w:rPr>
                <w:rFonts w:hint="eastAsia"/>
                <w:color w:val="auto"/>
                <w:sz w:val="21"/>
                <w:szCs w:val="21"/>
              </w:rPr>
              <w:t>、</w:t>
            </w:r>
            <w:r>
              <w:rPr>
                <w:rFonts w:hint="eastAsia" w:eastAsia="宋体"/>
                <w:color w:val="auto"/>
                <w:kern w:val="2"/>
                <w:sz w:val="21"/>
                <w:szCs w:val="21"/>
              </w:rPr>
              <w:t>与《海安市李堡镇工业集中区规划（2022-2030）》相符性分析</w:t>
            </w:r>
          </w:p>
          <w:p w14:paraId="65B9360B">
            <w:pPr>
              <w:autoSpaceDE w:val="0"/>
              <w:autoSpaceDN w:val="0"/>
              <w:adjustRightInd w:val="0"/>
              <w:snapToGrid w:val="0"/>
              <w:spacing w:line="360" w:lineRule="auto"/>
              <w:ind w:firstLine="420" w:firstLineChars="200"/>
              <w:rPr>
                <w:color w:val="auto"/>
                <w:szCs w:val="21"/>
              </w:rPr>
            </w:pPr>
            <w:r>
              <w:rPr>
                <w:color w:val="auto"/>
                <w:szCs w:val="21"/>
              </w:rPr>
              <w:t>根据</w:t>
            </w:r>
            <w:r>
              <w:rPr>
                <w:rFonts w:hint="eastAsia"/>
                <w:color w:val="auto"/>
                <w:szCs w:val="21"/>
              </w:rPr>
              <w:t>《海安市李堡镇工业集中区规划（2022-2030）</w:t>
            </w:r>
            <w:r>
              <w:rPr>
                <w:color w:val="auto"/>
                <w:szCs w:val="21"/>
              </w:rPr>
              <w:t>》，</w:t>
            </w:r>
            <w:r>
              <w:rPr>
                <w:rFonts w:hint="eastAsia"/>
                <w:color w:val="auto"/>
              </w:rPr>
              <w:t>李堡镇工业集中区四至范围为北至镇南河、南抵328国道、西临曹丁河、东达226省道-蒋</w:t>
            </w:r>
            <w:r>
              <w:rPr>
                <w:rFonts w:hint="eastAsia"/>
                <w:color w:val="auto"/>
                <w:szCs w:val="21"/>
              </w:rPr>
              <w:t>富路-丁堡河，面积554.78公顷，产业定位为装备制造业、纺织服装业、橡胶和塑料制品业、建材业等行业。</w:t>
            </w:r>
          </w:p>
          <w:p w14:paraId="0D5B2329">
            <w:pPr>
              <w:autoSpaceDE w:val="0"/>
              <w:autoSpaceDN w:val="0"/>
              <w:adjustRightInd w:val="0"/>
              <w:snapToGrid w:val="0"/>
              <w:spacing w:line="360" w:lineRule="auto"/>
              <w:ind w:firstLine="420" w:firstLineChars="200"/>
              <w:rPr>
                <w:color w:val="auto"/>
                <w:szCs w:val="21"/>
              </w:rPr>
            </w:pPr>
            <w:r>
              <w:rPr>
                <w:rFonts w:hint="eastAsia"/>
                <w:color w:val="auto"/>
                <w:szCs w:val="21"/>
              </w:rPr>
              <w:t>根据园区未来发展所需功能，按照园区空间布局细分，形成四大园区功能区。</w:t>
            </w:r>
          </w:p>
          <w:p w14:paraId="7C60833B">
            <w:pPr>
              <w:autoSpaceDE w:val="0"/>
              <w:autoSpaceDN w:val="0"/>
              <w:adjustRightInd w:val="0"/>
              <w:snapToGrid w:val="0"/>
              <w:spacing w:line="360" w:lineRule="auto"/>
              <w:ind w:firstLine="420" w:firstLineChars="200"/>
              <w:rPr>
                <w:color w:val="auto"/>
                <w:szCs w:val="21"/>
              </w:rPr>
            </w:pPr>
            <w:r>
              <w:rPr>
                <w:rFonts w:hint="eastAsia"/>
                <w:color w:val="auto"/>
                <w:szCs w:val="21"/>
              </w:rPr>
              <w:t>装备制造产业聚集区：突出以江海机床等为龙头的锻压机械全产业链板块布局，打造全国有影响力的锻压机械（装备制造）生产基地；突出以明诺电动为龙头的环卫保洁机械全产业链板块布局，打造全国最专业的环卫保洁装备生产基地；同时发展船舶机械设备制造等高端装备制造产业。</w:t>
            </w:r>
          </w:p>
          <w:p w14:paraId="1D975623">
            <w:pPr>
              <w:autoSpaceDE w:val="0"/>
              <w:autoSpaceDN w:val="0"/>
              <w:adjustRightInd w:val="0"/>
              <w:snapToGrid w:val="0"/>
              <w:spacing w:line="360" w:lineRule="auto"/>
              <w:ind w:firstLine="420" w:firstLineChars="200"/>
              <w:rPr>
                <w:color w:val="auto"/>
                <w:szCs w:val="21"/>
              </w:rPr>
            </w:pPr>
            <w:r>
              <w:rPr>
                <w:rFonts w:hint="eastAsia"/>
                <w:color w:val="auto"/>
                <w:szCs w:val="21"/>
              </w:rPr>
              <w:t>橡胶和塑料制品产业聚集区：突出以广达医材为龙头的医材类项目集中，形成5家以上医材产业板块集聚区；同时发展塑料零部件、塑料丝绳等其他橡胶和塑料制品业。</w:t>
            </w:r>
          </w:p>
          <w:p w14:paraId="51D03F2D">
            <w:pPr>
              <w:autoSpaceDE w:val="0"/>
              <w:autoSpaceDN w:val="0"/>
              <w:adjustRightInd w:val="0"/>
              <w:snapToGrid w:val="0"/>
              <w:spacing w:line="360" w:lineRule="auto"/>
              <w:ind w:firstLine="420" w:firstLineChars="200"/>
              <w:rPr>
                <w:color w:val="auto"/>
                <w:szCs w:val="21"/>
              </w:rPr>
            </w:pPr>
            <w:r>
              <w:rPr>
                <w:rFonts w:hint="eastAsia"/>
                <w:color w:val="auto"/>
                <w:szCs w:val="21"/>
              </w:rPr>
              <w:t>纺织服装产业聚集区：将传统纺织服装产业集约化发展，做精做强；不包含印染及含印染工序的纺织项目。</w:t>
            </w:r>
          </w:p>
          <w:p w14:paraId="3D147F9C">
            <w:pPr>
              <w:pStyle w:val="2"/>
              <w:spacing w:before="0" w:after="0" w:line="360" w:lineRule="auto"/>
              <w:ind w:left="0" w:firstLine="420" w:firstLineChars="200"/>
              <w:rPr>
                <w:rFonts w:eastAsia="宋体"/>
                <w:b w:val="0"/>
                <w:bCs w:val="0"/>
                <w:color w:val="auto"/>
                <w:kern w:val="2"/>
                <w:sz w:val="21"/>
                <w:szCs w:val="21"/>
              </w:rPr>
            </w:pPr>
            <w:r>
              <w:rPr>
                <w:rFonts w:hint="eastAsia" w:eastAsia="宋体"/>
                <w:b w:val="0"/>
                <w:bCs w:val="0"/>
                <w:color w:val="auto"/>
                <w:kern w:val="2"/>
                <w:sz w:val="21"/>
                <w:szCs w:val="21"/>
              </w:rPr>
              <w:t>建材产业聚集区：积极引导铝材项目向集中区集聚，同时发展其他新型建材业。</w:t>
            </w:r>
          </w:p>
          <w:p w14:paraId="56704A7A">
            <w:pPr>
              <w:pStyle w:val="2"/>
              <w:spacing w:before="0" w:after="0" w:line="360" w:lineRule="auto"/>
              <w:ind w:left="0" w:firstLine="420" w:firstLineChars="200"/>
              <w:rPr>
                <w:rFonts w:eastAsia="宋体"/>
                <w:b w:val="0"/>
                <w:bCs w:val="0"/>
                <w:color w:val="auto"/>
                <w:kern w:val="2"/>
                <w:sz w:val="21"/>
                <w:szCs w:val="21"/>
              </w:rPr>
            </w:pPr>
            <w:r>
              <w:rPr>
                <w:rFonts w:hint="eastAsia" w:eastAsia="宋体"/>
                <w:b w:val="0"/>
                <w:bCs w:val="0"/>
                <w:color w:val="auto"/>
                <w:kern w:val="2"/>
                <w:sz w:val="21"/>
                <w:szCs w:val="21"/>
              </w:rPr>
              <w:t>本项目位于海安市李堡镇富庄村7组（江海路23号），项目租赁南通市金宏电化设备有限公司空置厂房。根据租赁厂房的不动产权证【苏（2017）海安县不动产权第0009563号】，项目用地为工业工地。项目位于</w:t>
            </w:r>
            <w:r>
              <w:rPr>
                <w:rFonts w:eastAsia="宋体"/>
                <w:b w:val="0"/>
                <w:bCs w:val="0"/>
                <w:color w:val="auto"/>
                <w:kern w:val="2"/>
                <w:sz w:val="21"/>
                <w:szCs w:val="21"/>
              </w:rPr>
              <w:t>装备制造产业聚集区，</w:t>
            </w:r>
            <w:r>
              <w:rPr>
                <w:rFonts w:hint="eastAsia" w:eastAsia="宋体"/>
                <w:b w:val="0"/>
                <w:bCs w:val="0"/>
                <w:color w:val="auto"/>
                <w:kern w:val="2"/>
                <w:sz w:val="21"/>
                <w:szCs w:val="21"/>
              </w:rPr>
              <w:t>本项目为M7320工程和技术研究和试验发展，装备设计、制造、检测等环节涉及精密测量，本项目研发的标准物质，作为测量结果的“标尺”，用于校准仪器精度，确保数据准确性，为主导产业配套服务，本项目已通过预审并备案</w:t>
            </w:r>
            <w:r>
              <w:rPr>
                <w:rFonts w:eastAsia="宋体"/>
                <w:b w:val="0"/>
                <w:bCs w:val="0"/>
                <w:color w:val="auto"/>
                <w:kern w:val="2"/>
                <w:sz w:val="21"/>
                <w:szCs w:val="21"/>
              </w:rPr>
              <w:t>。结合《</w:t>
            </w:r>
            <w:r>
              <w:rPr>
                <w:rFonts w:hint="eastAsia" w:eastAsia="宋体"/>
                <w:b w:val="0"/>
                <w:bCs w:val="0"/>
                <w:color w:val="auto"/>
                <w:kern w:val="2"/>
                <w:sz w:val="21"/>
                <w:szCs w:val="21"/>
              </w:rPr>
              <w:t>海安市李堡镇工业集中区规划（2022-2030）</w:t>
            </w:r>
            <w:r>
              <w:rPr>
                <w:rFonts w:eastAsia="宋体"/>
                <w:b w:val="0"/>
                <w:bCs w:val="0"/>
                <w:color w:val="auto"/>
                <w:kern w:val="2"/>
                <w:sz w:val="21"/>
                <w:szCs w:val="21"/>
              </w:rPr>
              <w:t>》，本项目用地属于工业用地，因此本项目选址符合要求。</w:t>
            </w:r>
          </w:p>
          <w:p w14:paraId="2CE61D1D">
            <w:pPr>
              <w:autoSpaceDE w:val="0"/>
              <w:autoSpaceDN w:val="0"/>
              <w:adjustRightInd w:val="0"/>
              <w:snapToGrid w:val="0"/>
              <w:spacing w:line="360" w:lineRule="auto"/>
              <w:ind w:firstLine="422" w:firstLineChars="200"/>
              <w:rPr>
                <w:b/>
                <w:bCs/>
                <w:color w:val="auto"/>
                <w:szCs w:val="21"/>
              </w:rPr>
            </w:pPr>
            <w:r>
              <w:rPr>
                <w:rFonts w:hint="eastAsia"/>
                <w:b/>
                <w:bCs/>
                <w:color w:val="auto"/>
                <w:szCs w:val="21"/>
              </w:rPr>
              <w:t>2、</w:t>
            </w:r>
            <w:r>
              <w:rPr>
                <w:b/>
                <w:bCs/>
                <w:color w:val="auto"/>
                <w:szCs w:val="21"/>
              </w:rPr>
              <w:t>与</w:t>
            </w:r>
            <w:r>
              <w:rPr>
                <w:rFonts w:hint="eastAsia"/>
                <w:b/>
                <w:bCs/>
                <w:color w:val="auto"/>
                <w:szCs w:val="21"/>
              </w:rPr>
              <w:t>《海安市李堡镇工业集中区规划环境影响报告书》</w:t>
            </w:r>
            <w:r>
              <w:rPr>
                <w:b/>
                <w:bCs/>
                <w:color w:val="auto"/>
                <w:szCs w:val="21"/>
              </w:rPr>
              <w:t>结论及审查意见（</w:t>
            </w:r>
            <w:r>
              <w:rPr>
                <w:rFonts w:hint="eastAsia"/>
                <w:b/>
                <w:bCs/>
                <w:color w:val="auto"/>
                <w:szCs w:val="21"/>
              </w:rPr>
              <w:t>通海安</w:t>
            </w:r>
            <w:r>
              <w:rPr>
                <w:b/>
                <w:bCs/>
                <w:color w:val="auto"/>
                <w:szCs w:val="21"/>
              </w:rPr>
              <w:t>环审</w:t>
            </w:r>
            <w:r>
              <w:rPr>
                <w:rFonts w:hint="eastAsia"/>
                <w:b/>
                <w:bCs/>
                <w:color w:val="auto"/>
                <w:szCs w:val="21"/>
              </w:rPr>
              <w:t>〔2023〕8号</w:t>
            </w:r>
            <w:r>
              <w:rPr>
                <w:b/>
                <w:bCs/>
                <w:color w:val="auto"/>
                <w:szCs w:val="21"/>
              </w:rPr>
              <w:t>）相符性</w:t>
            </w:r>
          </w:p>
          <w:p w14:paraId="12F79F81">
            <w:pPr>
              <w:widowControl/>
              <w:spacing w:line="360" w:lineRule="auto"/>
              <w:ind w:firstLine="420" w:firstLineChars="200"/>
              <w:jc w:val="left"/>
              <w:rPr>
                <w:color w:val="auto"/>
              </w:rPr>
            </w:pPr>
            <w:r>
              <w:rPr>
                <w:rFonts w:hint="eastAsia"/>
                <w:color w:val="auto"/>
              </w:rPr>
              <w:t>根据《海安市李堡镇工业集中区规划环境影响报告书》，本项目海安市李堡镇工业集中区生态环境准入清单相符性分析如下：</w:t>
            </w:r>
          </w:p>
          <w:p w14:paraId="3D7E9F71">
            <w:pPr>
              <w:pStyle w:val="8"/>
              <w:adjustRightInd w:val="0"/>
              <w:spacing w:after="0"/>
              <w:ind w:right="0"/>
              <w:jc w:val="center"/>
              <w:rPr>
                <w:rFonts w:hint="eastAsia" w:ascii="宋体" w:hAnsi="宋体" w:cs="宋体"/>
                <w:b/>
                <w:color w:val="auto"/>
                <w:sz w:val="21"/>
                <w:szCs w:val="21"/>
              </w:rPr>
            </w:pPr>
            <w:r>
              <w:rPr>
                <w:rFonts w:hint="eastAsia" w:ascii="宋体" w:hAnsi="宋体" w:cs="宋体"/>
                <w:b/>
                <w:color w:val="auto"/>
                <w:sz w:val="21"/>
                <w:szCs w:val="21"/>
              </w:rPr>
              <w:t>表1-1与海安市李堡镇工业集中区生态环境准入清单相符性分析</w:t>
            </w:r>
          </w:p>
          <w:tbl>
            <w:tblPr>
              <w:tblStyle w:val="23"/>
              <w:tblW w:w="495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349"/>
              <w:gridCol w:w="2678"/>
              <w:gridCol w:w="2436"/>
              <w:gridCol w:w="636"/>
            </w:tblGrid>
            <w:tr w14:paraId="71A5DA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37" w:type="pct"/>
                  <w:tcBorders>
                    <w:top w:val="single" w:color="auto" w:sz="4" w:space="0"/>
                    <w:left w:val="nil"/>
                    <w:bottom w:val="single" w:color="auto" w:sz="4" w:space="0"/>
                    <w:right w:val="single" w:color="auto" w:sz="4" w:space="0"/>
                  </w:tcBorders>
                  <w:vAlign w:val="center"/>
                </w:tcPr>
                <w:p w14:paraId="623D733C">
                  <w:pPr>
                    <w:pStyle w:val="125"/>
                    <w:adjustRightInd w:val="0"/>
                    <w:snapToGrid w:val="0"/>
                    <w:rPr>
                      <w:rFonts w:hint="eastAsia" w:ascii="宋体" w:hAnsi="宋体" w:cs="宋体"/>
                      <w:b/>
                      <w:color w:val="auto"/>
                      <w:sz w:val="18"/>
                      <w:szCs w:val="18"/>
                    </w:rPr>
                  </w:pPr>
                  <w:r>
                    <w:rPr>
                      <w:rFonts w:hint="eastAsia" w:ascii="宋体" w:hAnsi="宋体" w:cs="宋体"/>
                      <w:b/>
                      <w:color w:val="auto"/>
                      <w:sz w:val="18"/>
                      <w:szCs w:val="18"/>
                    </w:rPr>
                    <w:t>项目</w:t>
                  </w:r>
                </w:p>
              </w:tc>
              <w:tc>
                <w:tcPr>
                  <w:tcW w:w="2587" w:type="pct"/>
                  <w:gridSpan w:val="2"/>
                  <w:tcBorders>
                    <w:top w:val="single" w:color="auto" w:sz="4" w:space="0"/>
                    <w:left w:val="nil"/>
                    <w:bottom w:val="single" w:color="auto" w:sz="4" w:space="0"/>
                    <w:right w:val="single" w:color="auto" w:sz="4" w:space="0"/>
                  </w:tcBorders>
                  <w:vAlign w:val="center"/>
                </w:tcPr>
                <w:p w14:paraId="617EBB9C">
                  <w:pPr>
                    <w:pStyle w:val="125"/>
                    <w:adjustRightInd w:val="0"/>
                    <w:snapToGrid w:val="0"/>
                    <w:rPr>
                      <w:rFonts w:hint="eastAsia" w:ascii="宋体" w:hAnsi="宋体" w:cs="宋体"/>
                      <w:b/>
                      <w:color w:val="auto"/>
                      <w:sz w:val="18"/>
                      <w:szCs w:val="18"/>
                    </w:rPr>
                  </w:pPr>
                  <w:r>
                    <w:rPr>
                      <w:rFonts w:hint="eastAsia" w:ascii="宋体" w:hAnsi="宋体" w:cs="宋体"/>
                      <w:b/>
                      <w:color w:val="auto"/>
                      <w:sz w:val="18"/>
                      <w:szCs w:val="18"/>
                    </w:rPr>
                    <w:t>准入内容</w:t>
                  </w:r>
                </w:p>
              </w:tc>
              <w:tc>
                <w:tcPr>
                  <w:tcW w:w="1565" w:type="pct"/>
                  <w:tcBorders>
                    <w:top w:val="single" w:color="auto" w:sz="4" w:space="0"/>
                    <w:left w:val="single" w:color="auto" w:sz="4" w:space="0"/>
                    <w:bottom w:val="single" w:color="auto" w:sz="4" w:space="0"/>
                    <w:right w:val="single" w:color="auto" w:sz="4" w:space="0"/>
                  </w:tcBorders>
                  <w:vAlign w:val="center"/>
                </w:tcPr>
                <w:p w14:paraId="220BDF39">
                  <w:pPr>
                    <w:pStyle w:val="125"/>
                    <w:adjustRightInd w:val="0"/>
                    <w:snapToGrid w:val="0"/>
                    <w:rPr>
                      <w:rFonts w:hint="eastAsia" w:ascii="宋体" w:hAnsi="宋体" w:cs="宋体"/>
                      <w:b/>
                      <w:color w:val="auto"/>
                      <w:sz w:val="18"/>
                      <w:szCs w:val="18"/>
                    </w:rPr>
                  </w:pPr>
                  <w:r>
                    <w:rPr>
                      <w:rFonts w:hint="eastAsia" w:ascii="宋体" w:hAnsi="宋体" w:cs="宋体"/>
                      <w:b/>
                      <w:color w:val="auto"/>
                      <w:sz w:val="18"/>
                      <w:szCs w:val="18"/>
                    </w:rPr>
                    <w:t>本项目情况</w:t>
                  </w:r>
                </w:p>
              </w:tc>
              <w:tc>
                <w:tcPr>
                  <w:tcW w:w="409" w:type="pct"/>
                  <w:tcBorders>
                    <w:top w:val="single" w:color="auto" w:sz="4" w:space="0"/>
                    <w:left w:val="single" w:color="auto" w:sz="4" w:space="0"/>
                    <w:bottom w:val="single" w:color="auto" w:sz="4" w:space="0"/>
                    <w:right w:val="nil"/>
                  </w:tcBorders>
                  <w:vAlign w:val="center"/>
                </w:tcPr>
                <w:p w14:paraId="1E512BC3">
                  <w:pPr>
                    <w:pStyle w:val="125"/>
                    <w:adjustRightInd w:val="0"/>
                    <w:snapToGrid w:val="0"/>
                    <w:rPr>
                      <w:rFonts w:hint="eastAsia" w:ascii="宋体" w:hAnsi="宋体" w:cs="宋体"/>
                      <w:b/>
                      <w:color w:val="auto"/>
                      <w:sz w:val="18"/>
                      <w:szCs w:val="18"/>
                    </w:rPr>
                  </w:pPr>
                  <w:r>
                    <w:rPr>
                      <w:rFonts w:hint="eastAsia" w:ascii="宋体" w:hAnsi="宋体" w:cs="宋体"/>
                      <w:b/>
                      <w:color w:val="auto"/>
                      <w:sz w:val="18"/>
                      <w:szCs w:val="18"/>
                    </w:rPr>
                    <w:t>相符性</w:t>
                  </w:r>
                </w:p>
              </w:tc>
            </w:tr>
            <w:tr w14:paraId="5C41DA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restart"/>
                  <w:tcBorders>
                    <w:top w:val="nil"/>
                    <w:left w:val="nil"/>
                    <w:bottom w:val="single" w:color="auto" w:sz="4" w:space="0"/>
                    <w:right w:val="single" w:color="auto" w:sz="4" w:space="0"/>
                  </w:tcBorders>
                  <w:vAlign w:val="center"/>
                </w:tcPr>
                <w:p w14:paraId="3EB22EF6">
                  <w:pPr>
                    <w:pStyle w:val="125"/>
                    <w:adjustRightInd w:val="0"/>
                    <w:snapToGrid w:val="0"/>
                    <w:rPr>
                      <w:rFonts w:hint="eastAsia" w:ascii="宋体" w:hAnsi="宋体" w:cs="宋体"/>
                      <w:color w:val="auto"/>
                      <w:sz w:val="18"/>
                      <w:szCs w:val="18"/>
                    </w:rPr>
                  </w:pPr>
                  <w:r>
                    <w:rPr>
                      <w:rFonts w:hint="eastAsia" w:ascii="宋体" w:hAnsi="宋体" w:cs="宋体"/>
                      <w:color w:val="auto"/>
                      <w:sz w:val="18"/>
                      <w:szCs w:val="18"/>
                    </w:rPr>
                    <w:t>主导产业定位</w:t>
                  </w:r>
                </w:p>
              </w:tc>
              <w:tc>
                <w:tcPr>
                  <w:tcW w:w="2587" w:type="pct"/>
                  <w:gridSpan w:val="2"/>
                  <w:tcBorders>
                    <w:top w:val="single" w:color="auto" w:sz="4" w:space="0"/>
                    <w:left w:val="nil"/>
                    <w:bottom w:val="single" w:color="auto" w:sz="4" w:space="0"/>
                    <w:right w:val="single" w:color="auto" w:sz="4" w:space="0"/>
                  </w:tcBorders>
                  <w:vAlign w:val="center"/>
                </w:tcPr>
                <w:p w14:paraId="433EC25C">
                  <w:pPr>
                    <w:pStyle w:val="125"/>
                    <w:adjustRightInd w:val="0"/>
                    <w:snapToGrid w:val="0"/>
                    <w:jc w:val="left"/>
                    <w:rPr>
                      <w:rFonts w:hint="eastAsia" w:ascii="宋体" w:hAnsi="宋体" w:cs="宋体"/>
                      <w:color w:val="auto"/>
                      <w:sz w:val="18"/>
                      <w:szCs w:val="18"/>
                    </w:rPr>
                  </w:pPr>
                  <w:r>
                    <w:rPr>
                      <w:rFonts w:hint="eastAsia" w:ascii="宋体" w:hAnsi="宋体" w:cs="宋体"/>
                      <w:color w:val="auto"/>
                      <w:kern w:val="2"/>
                      <w:sz w:val="18"/>
                      <w:szCs w:val="18"/>
                    </w:rPr>
                    <w:t>重点发展装备制造业、纺织服装业、橡胶和塑料制品业、建材业等行业。</w:t>
                  </w:r>
                </w:p>
              </w:tc>
              <w:tc>
                <w:tcPr>
                  <w:tcW w:w="1565" w:type="pct"/>
                  <w:vMerge w:val="restart"/>
                  <w:tcBorders>
                    <w:top w:val="single" w:color="auto" w:sz="4" w:space="0"/>
                    <w:left w:val="single" w:color="auto" w:sz="4" w:space="0"/>
                    <w:right w:val="single" w:color="auto" w:sz="4" w:space="0"/>
                  </w:tcBorders>
                  <w:vAlign w:val="center"/>
                </w:tcPr>
                <w:p w14:paraId="7602D085">
                  <w:pPr>
                    <w:pStyle w:val="125"/>
                    <w:adjustRightInd w:val="0"/>
                    <w:snapToGrid w:val="0"/>
                    <w:jc w:val="left"/>
                    <w:rPr>
                      <w:rFonts w:hint="eastAsia" w:ascii="宋体" w:hAnsi="宋体" w:cs="宋体"/>
                      <w:color w:val="auto"/>
                      <w:kern w:val="2"/>
                      <w:sz w:val="18"/>
                      <w:szCs w:val="18"/>
                    </w:rPr>
                  </w:pPr>
                  <w:r>
                    <w:rPr>
                      <w:rFonts w:hint="eastAsia" w:ascii="宋体" w:hAnsi="宋体" w:cs="宋体"/>
                      <w:color w:val="auto"/>
                      <w:kern w:val="2"/>
                      <w:sz w:val="18"/>
                      <w:szCs w:val="18"/>
                    </w:rPr>
                    <w:t>本项目行业类别为M7320工程和技术研究和试验发展，为研发项目，研发的标准物质用于装备设计、制造、检测等环节涉及精密测量的领域，是主导产业配套服务。</w:t>
                  </w:r>
                </w:p>
                <w:p w14:paraId="10C9AAE0">
                  <w:pPr>
                    <w:pStyle w:val="125"/>
                    <w:adjustRightInd w:val="0"/>
                    <w:snapToGrid w:val="0"/>
                    <w:jc w:val="left"/>
                    <w:rPr>
                      <w:rFonts w:hint="eastAsia" w:ascii="宋体" w:hAnsi="宋体" w:cs="宋体"/>
                      <w:color w:val="auto"/>
                      <w:kern w:val="2"/>
                      <w:sz w:val="18"/>
                      <w:szCs w:val="18"/>
                    </w:rPr>
                  </w:pPr>
                </w:p>
              </w:tc>
              <w:tc>
                <w:tcPr>
                  <w:tcW w:w="409" w:type="pct"/>
                  <w:vMerge w:val="restart"/>
                  <w:tcBorders>
                    <w:top w:val="single" w:color="auto" w:sz="4" w:space="0"/>
                    <w:left w:val="single" w:color="auto" w:sz="4" w:space="0"/>
                    <w:right w:val="nil"/>
                  </w:tcBorders>
                  <w:vAlign w:val="center"/>
                </w:tcPr>
                <w:p w14:paraId="209692CF">
                  <w:pPr>
                    <w:pStyle w:val="125"/>
                    <w:adjustRightInd w:val="0"/>
                    <w:snapToGrid w:val="0"/>
                    <w:rPr>
                      <w:rFonts w:hint="eastAsia" w:ascii="宋体" w:hAnsi="宋体" w:cs="宋体"/>
                      <w:color w:val="auto"/>
                      <w:kern w:val="2"/>
                      <w:sz w:val="18"/>
                      <w:szCs w:val="18"/>
                    </w:rPr>
                  </w:pPr>
                  <w:r>
                    <w:rPr>
                      <w:rFonts w:hint="eastAsia" w:ascii="宋体" w:hAnsi="宋体" w:cs="宋体"/>
                      <w:color w:val="auto"/>
                      <w:kern w:val="2"/>
                      <w:sz w:val="18"/>
                      <w:szCs w:val="18"/>
                    </w:rPr>
                    <w:t>相符</w:t>
                  </w:r>
                </w:p>
              </w:tc>
            </w:tr>
            <w:tr w14:paraId="32E783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tcBorders>
                    <w:top w:val="nil"/>
                    <w:left w:val="nil"/>
                    <w:bottom w:val="single" w:color="auto" w:sz="4" w:space="0"/>
                    <w:right w:val="single" w:color="auto" w:sz="4" w:space="0"/>
                  </w:tcBorders>
                  <w:vAlign w:val="center"/>
                </w:tcPr>
                <w:p w14:paraId="6F2F5D99">
                  <w:pPr>
                    <w:adjustRightInd w:val="0"/>
                    <w:snapToGrid w:val="0"/>
                    <w:rPr>
                      <w:rFonts w:hint="eastAsia" w:ascii="宋体" w:hAnsi="宋体" w:cs="宋体"/>
                      <w:color w:val="auto"/>
                      <w:sz w:val="18"/>
                      <w:szCs w:val="18"/>
                    </w:rPr>
                  </w:pPr>
                </w:p>
              </w:tc>
              <w:tc>
                <w:tcPr>
                  <w:tcW w:w="867" w:type="pct"/>
                  <w:tcBorders>
                    <w:top w:val="single" w:color="auto" w:sz="4" w:space="0"/>
                    <w:left w:val="nil"/>
                    <w:bottom w:val="single" w:color="auto" w:sz="4" w:space="0"/>
                    <w:right w:val="single" w:color="auto" w:sz="4" w:space="0"/>
                  </w:tcBorders>
                  <w:vAlign w:val="center"/>
                </w:tcPr>
                <w:p w14:paraId="5539A1E5">
                  <w:pPr>
                    <w:pStyle w:val="125"/>
                    <w:adjustRightInd w:val="0"/>
                    <w:snapToGrid w:val="0"/>
                    <w:rPr>
                      <w:rFonts w:hint="eastAsia" w:ascii="宋体" w:hAnsi="宋体" w:cs="宋体"/>
                      <w:color w:val="auto"/>
                      <w:kern w:val="2"/>
                      <w:sz w:val="18"/>
                      <w:szCs w:val="18"/>
                    </w:rPr>
                  </w:pPr>
                  <w:r>
                    <w:rPr>
                      <w:rFonts w:hint="eastAsia" w:ascii="宋体" w:hAnsi="宋体" w:cs="宋体"/>
                      <w:color w:val="auto"/>
                      <w:kern w:val="2"/>
                      <w:sz w:val="18"/>
                      <w:szCs w:val="18"/>
                    </w:rPr>
                    <w:t>装备制造业</w:t>
                  </w:r>
                </w:p>
              </w:tc>
              <w:tc>
                <w:tcPr>
                  <w:tcW w:w="1720" w:type="pct"/>
                  <w:tcBorders>
                    <w:top w:val="single" w:color="auto" w:sz="4" w:space="0"/>
                    <w:left w:val="nil"/>
                    <w:bottom w:val="single" w:color="auto" w:sz="4" w:space="0"/>
                    <w:right w:val="single" w:color="auto" w:sz="4" w:space="0"/>
                  </w:tcBorders>
                  <w:vAlign w:val="center"/>
                </w:tcPr>
                <w:p w14:paraId="7C787BA8">
                  <w:pPr>
                    <w:pStyle w:val="125"/>
                    <w:adjustRightInd w:val="0"/>
                    <w:snapToGrid w:val="0"/>
                    <w:jc w:val="left"/>
                    <w:rPr>
                      <w:rFonts w:hint="eastAsia" w:ascii="宋体" w:hAnsi="宋体" w:cs="宋体"/>
                      <w:color w:val="auto"/>
                      <w:kern w:val="2"/>
                      <w:sz w:val="18"/>
                      <w:szCs w:val="18"/>
                    </w:rPr>
                  </w:pPr>
                  <w:r>
                    <w:rPr>
                      <w:rFonts w:hint="eastAsia" w:ascii="宋体" w:hAnsi="宋体" w:cs="宋体"/>
                      <w:color w:val="auto"/>
                      <w:kern w:val="2"/>
                      <w:sz w:val="18"/>
                      <w:szCs w:val="18"/>
                    </w:rPr>
                    <w:t>锻压机械、环卫保洁装备、船舶机械设备制造等高端装备制造</w:t>
                  </w:r>
                </w:p>
              </w:tc>
              <w:tc>
                <w:tcPr>
                  <w:tcW w:w="1565" w:type="pct"/>
                  <w:vMerge w:val="continue"/>
                  <w:tcBorders>
                    <w:left w:val="single" w:color="auto" w:sz="4" w:space="0"/>
                    <w:right w:val="single" w:color="auto" w:sz="4" w:space="0"/>
                  </w:tcBorders>
                  <w:vAlign w:val="center"/>
                </w:tcPr>
                <w:p w14:paraId="34DEFAB7">
                  <w:pPr>
                    <w:pStyle w:val="125"/>
                    <w:adjustRightInd w:val="0"/>
                    <w:snapToGrid w:val="0"/>
                    <w:jc w:val="left"/>
                    <w:rPr>
                      <w:rFonts w:hint="eastAsia" w:ascii="宋体" w:hAnsi="宋体" w:cs="宋体"/>
                      <w:color w:val="auto"/>
                      <w:kern w:val="2"/>
                      <w:sz w:val="18"/>
                      <w:szCs w:val="18"/>
                    </w:rPr>
                  </w:pPr>
                </w:p>
              </w:tc>
              <w:tc>
                <w:tcPr>
                  <w:tcW w:w="409" w:type="pct"/>
                  <w:vMerge w:val="continue"/>
                  <w:tcBorders>
                    <w:left w:val="single" w:color="auto" w:sz="4" w:space="0"/>
                    <w:right w:val="nil"/>
                  </w:tcBorders>
                  <w:vAlign w:val="center"/>
                </w:tcPr>
                <w:p w14:paraId="074D12C0">
                  <w:pPr>
                    <w:pStyle w:val="125"/>
                    <w:adjustRightInd w:val="0"/>
                    <w:snapToGrid w:val="0"/>
                    <w:rPr>
                      <w:rFonts w:hint="eastAsia" w:ascii="宋体" w:hAnsi="宋体" w:cs="宋体"/>
                      <w:color w:val="auto"/>
                      <w:kern w:val="2"/>
                      <w:sz w:val="18"/>
                      <w:szCs w:val="18"/>
                    </w:rPr>
                  </w:pPr>
                </w:p>
              </w:tc>
            </w:tr>
            <w:tr w14:paraId="3188BC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7" w:type="pct"/>
                  <w:vMerge w:val="continue"/>
                  <w:tcBorders>
                    <w:top w:val="nil"/>
                    <w:left w:val="nil"/>
                    <w:bottom w:val="single" w:color="auto" w:sz="4" w:space="0"/>
                    <w:right w:val="single" w:color="auto" w:sz="4" w:space="0"/>
                  </w:tcBorders>
                  <w:vAlign w:val="center"/>
                </w:tcPr>
                <w:p w14:paraId="0F73CBA1">
                  <w:pPr>
                    <w:adjustRightInd w:val="0"/>
                    <w:snapToGrid w:val="0"/>
                    <w:rPr>
                      <w:rFonts w:hint="eastAsia" w:ascii="宋体" w:hAnsi="宋体" w:cs="宋体"/>
                      <w:color w:val="auto"/>
                      <w:sz w:val="18"/>
                      <w:szCs w:val="18"/>
                    </w:rPr>
                  </w:pPr>
                </w:p>
              </w:tc>
              <w:tc>
                <w:tcPr>
                  <w:tcW w:w="867" w:type="pct"/>
                  <w:tcBorders>
                    <w:top w:val="single" w:color="auto" w:sz="4" w:space="0"/>
                    <w:left w:val="nil"/>
                    <w:bottom w:val="single" w:color="auto" w:sz="4" w:space="0"/>
                    <w:right w:val="single" w:color="auto" w:sz="4" w:space="0"/>
                  </w:tcBorders>
                  <w:vAlign w:val="center"/>
                </w:tcPr>
                <w:p w14:paraId="6E36326F">
                  <w:pPr>
                    <w:pStyle w:val="125"/>
                    <w:adjustRightInd w:val="0"/>
                    <w:snapToGrid w:val="0"/>
                    <w:rPr>
                      <w:rFonts w:hint="eastAsia" w:ascii="宋体" w:hAnsi="宋体" w:cs="宋体"/>
                      <w:color w:val="auto"/>
                      <w:kern w:val="2"/>
                      <w:sz w:val="18"/>
                      <w:szCs w:val="18"/>
                    </w:rPr>
                  </w:pPr>
                  <w:r>
                    <w:rPr>
                      <w:rFonts w:hint="eastAsia" w:ascii="宋体" w:hAnsi="宋体" w:cs="宋体"/>
                      <w:color w:val="auto"/>
                      <w:kern w:val="2"/>
                      <w:sz w:val="18"/>
                      <w:szCs w:val="18"/>
                    </w:rPr>
                    <w:t>纺织服装业</w:t>
                  </w:r>
                </w:p>
              </w:tc>
              <w:tc>
                <w:tcPr>
                  <w:tcW w:w="1720" w:type="pct"/>
                  <w:tcBorders>
                    <w:top w:val="single" w:color="auto" w:sz="4" w:space="0"/>
                    <w:left w:val="nil"/>
                    <w:bottom w:val="single" w:color="auto" w:sz="4" w:space="0"/>
                    <w:right w:val="single" w:color="auto" w:sz="4" w:space="0"/>
                  </w:tcBorders>
                  <w:vAlign w:val="center"/>
                </w:tcPr>
                <w:p w14:paraId="60E71DCC">
                  <w:pPr>
                    <w:pStyle w:val="125"/>
                    <w:adjustRightInd w:val="0"/>
                    <w:snapToGrid w:val="0"/>
                    <w:jc w:val="left"/>
                    <w:rPr>
                      <w:rFonts w:hint="eastAsia" w:ascii="宋体" w:hAnsi="宋体" w:cs="宋体"/>
                      <w:color w:val="auto"/>
                      <w:kern w:val="2"/>
                      <w:sz w:val="18"/>
                      <w:szCs w:val="18"/>
                    </w:rPr>
                  </w:pPr>
                  <w:r>
                    <w:rPr>
                      <w:rFonts w:hint="eastAsia" w:ascii="宋体" w:hAnsi="宋体" w:cs="宋体"/>
                      <w:color w:val="auto"/>
                      <w:kern w:val="2"/>
                      <w:sz w:val="18"/>
                      <w:szCs w:val="18"/>
                    </w:rPr>
                    <w:t>纺织服装产业</w:t>
                  </w:r>
                </w:p>
              </w:tc>
              <w:tc>
                <w:tcPr>
                  <w:tcW w:w="1565" w:type="pct"/>
                  <w:vMerge w:val="continue"/>
                  <w:tcBorders>
                    <w:left w:val="single" w:color="auto" w:sz="4" w:space="0"/>
                    <w:right w:val="single" w:color="auto" w:sz="4" w:space="0"/>
                  </w:tcBorders>
                  <w:vAlign w:val="center"/>
                </w:tcPr>
                <w:p w14:paraId="7B7A93C2">
                  <w:pPr>
                    <w:pStyle w:val="125"/>
                    <w:adjustRightInd w:val="0"/>
                    <w:snapToGrid w:val="0"/>
                    <w:jc w:val="left"/>
                    <w:rPr>
                      <w:rFonts w:hint="eastAsia" w:ascii="宋体" w:hAnsi="宋体" w:cs="宋体"/>
                      <w:color w:val="auto"/>
                      <w:kern w:val="2"/>
                      <w:sz w:val="18"/>
                      <w:szCs w:val="18"/>
                    </w:rPr>
                  </w:pPr>
                </w:p>
              </w:tc>
              <w:tc>
                <w:tcPr>
                  <w:tcW w:w="409" w:type="pct"/>
                  <w:vMerge w:val="continue"/>
                  <w:tcBorders>
                    <w:left w:val="single" w:color="auto" w:sz="4" w:space="0"/>
                    <w:right w:val="nil"/>
                  </w:tcBorders>
                  <w:vAlign w:val="center"/>
                </w:tcPr>
                <w:p w14:paraId="1689D4DB">
                  <w:pPr>
                    <w:pStyle w:val="125"/>
                    <w:adjustRightInd w:val="0"/>
                    <w:snapToGrid w:val="0"/>
                    <w:rPr>
                      <w:rFonts w:hint="eastAsia" w:ascii="宋体" w:hAnsi="宋体" w:cs="宋体"/>
                      <w:color w:val="auto"/>
                      <w:kern w:val="2"/>
                      <w:sz w:val="18"/>
                      <w:szCs w:val="18"/>
                    </w:rPr>
                  </w:pPr>
                </w:p>
              </w:tc>
            </w:tr>
            <w:tr w14:paraId="5354AF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tcBorders>
                    <w:top w:val="nil"/>
                    <w:left w:val="nil"/>
                    <w:bottom w:val="single" w:color="auto" w:sz="4" w:space="0"/>
                    <w:right w:val="single" w:color="auto" w:sz="4" w:space="0"/>
                  </w:tcBorders>
                  <w:vAlign w:val="center"/>
                </w:tcPr>
                <w:p w14:paraId="2D371785">
                  <w:pPr>
                    <w:adjustRightInd w:val="0"/>
                    <w:snapToGrid w:val="0"/>
                    <w:rPr>
                      <w:rFonts w:hint="eastAsia" w:ascii="宋体" w:hAnsi="宋体" w:cs="宋体"/>
                      <w:color w:val="auto"/>
                      <w:sz w:val="18"/>
                      <w:szCs w:val="18"/>
                    </w:rPr>
                  </w:pPr>
                </w:p>
              </w:tc>
              <w:tc>
                <w:tcPr>
                  <w:tcW w:w="867" w:type="pct"/>
                  <w:tcBorders>
                    <w:top w:val="single" w:color="auto" w:sz="4" w:space="0"/>
                    <w:left w:val="nil"/>
                    <w:bottom w:val="single" w:color="auto" w:sz="4" w:space="0"/>
                    <w:right w:val="single" w:color="auto" w:sz="4" w:space="0"/>
                  </w:tcBorders>
                  <w:vAlign w:val="center"/>
                </w:tcPr>
                <w:p w14:paraId="507D305D">
                  <w:pPr>
                    <w:pStyle w:val="125"/>
                    <w:adjustRightInd w:val="0"/>
                    <w:snapToGrid w:val="0"/>
                    <w:rPr>
                      <w:rFonts w:hint="eastAsia" w:ascii="宋体" w:hAnsi="宋体" w:cs="宋体"/>
                      <w:color w:val="auto"/>
                      <w:kern w:val="2"/>
                      <w:sz w:val="18"/>
                      <w:szCs w:val="18"/>
                    </w:rPr>
                  </w:pPr>
                  <w:r>
                    <w:rPr>
                      <w:rFonts w:hint="eastAsia" w:ascii="宋体" w:hAnsi="宋体" w:cs="宋体"/>
                      <w:color w:val="auto"/>
                      <w:kern w:val="2"/>
                      <w:sz w:val="18"/>
                      <w:szCs w:val="18"/>
                    </w:rPr>
                    <w:t>橡胶和塑料制品业</w:t>
                  </w:r>
                </w:p>
              </w:tc>
              <w:tc>
                <w:tcPr>
                  <w:tcW w:w="1720" w:type="pct"/>
                  <w:tcBorders>
                    <w:top w:val="single" w:color="auto" w:sz="4" w:space="0"/>
                    <w:left w:val="nil"/>
                    <w:bottom w:val="single" w:color="auto" w:sz="4" w:space="0"/>
                    <w:right w:val="single" w:color="auto" w:sz="4" w:space="0"/>
                  </w:tcBorders>
                  <w:vAlign w:val="center"/>
                </w:tcPr>
                <w:p w14:paraId="330301CE">
                  <w:pPr>
                    <w:pStyle w:val="125"/>
                    <w:adjustRightInd w:val="0"/>
                    <w:snapToGrid w:val="0"/>
                    <w:jc w:val="left"/>
                    <w:rPr>
                      <w:rFonts w:hint="eastAsia" w:ascii="宋体" w:hAnsi="宋体" w:cs="宋体"/>
                      <w:color w:val="auto"/>
                      <w:kern w:val="2"/>
                      <w:sz w:val="18"/>
                      <w:szCs w:val="18"/>
                    </w:rPr>
                  </w:pPr>
                  <w:r>
                    <w:rPr>
                      <w:rFonts w:hint="eastAsia" w:ascii="宋体" w:hAnsi="宋体" w:cs="宋体"/>
                      <w:color w:val="auto"/>
                      <w:kern w:val="2"/>
                      <w:sz w:val="18"/>
                      <w:szCs w:val="18"/>
                    </w:rPr>
                    <w:t>医材产业、塑料零部件、塑料丝绳等其他橡胶和塑料制品业</w:t>
                  </w:r>
                </w:p>
              </w:tc>
              <w:tc>
                <w:tcPr>
                  <w:tcW w:w="1565" w:type="pct"/>
                  <w:vMerge w:val="continue"/>
                  <w:tcBorders>
                    <w:left w:val="single" w:color="auto" w:sz="4" w:space="0"/>
                    <w:right w:val="single" w:color="auto" w:sz="4" w:space="0"/>
                  </w:tcBorders>
                  <w:vAlign w:val="center"/>
                </w:tcPr>
                <w:p w14:paraId="2D718CA4">
                  <w:pPr>
                    <w:pStyle w:val="125"/>
                    <w:adjustRightInd w:val="0"/>
                    <w:snapToGrid w:val="0"/>
                    <w:jc w:val="left"/>
                    <w:rPr>
                      <w:rFonts w:hint="eastAsia" w:ascii="宋体" w:hAnsi="宋体" w:cs="宋体"/>
                      <w:color w:val="auto"/>
                      <w:kern w:val="2"/>
                      <w:sz w:val="18"/>
                      <w:szCs w:val="18"/>
                    </w:rPr>
                  </w:pPr>
                </w:p>
              </w:tc>
              <w:tc>
                <w:tcPr>
                  <w:tcW w:w="409" w:type="pct"/>
                  <w:vMerge w:val="continue"/>
                  <w:tcBorders>
                    <w:left w:val="single" w:color="auto" w:sz="4" w:space="0"/>
                    <w:right w:val="nil"/>
                  </w:tcBorders>
                  <w:vAlign w:val="center"/>
                </w:tcPr>
                <w:p w14:paraId="11D4A5E1">
                  <w:pPr>
                    <w:pStyle w:val="125"/>
                    <w:adjustRightInd w:val="0"/>
                    <w:snapToGrid w:val="0"/>
                    <w:rPr>
                      <w:rFonts w:hint="eastAsia" w:ascii="宋体" w:hAnsi="宋体" w:cs="宋体"/>
                      <w:color w:val="auto"/>
                      <w:kern w:val="2"/>
                      <w:sz w:val="18"/>
                      <w:szCs w:val="18"/>
                    </w:rPr>
                  </w:pPr>
                </w:p>
              </w:tc>
            </w:tr>
            <w:tr w14:paraId="3E400C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437" w:type="pct"/>
                  <w:vMerge w:val="continue"/>
                  <w:tcBorders>
                    <w:top w:val="nil"/>
                    <w:left w:val="nil"/>
                    <w:bottom w:val="single" w:color="auto" w:sz="4" w:space="0"/>
                    <w:right w:val="single" w:color="auto" w:sz="4" w:space="0"/>
                  </w:tcBorders>
                  <w:vAlign w:val="center"/>
                </w:tcPr>
                <w:p w14:paraId="6F708C13">
                  <w:pPr>
                    <w:adjustRightInd w:val="0"/>
                    <w:snapToGrid w:val="0"/>
                    <w:rPr>
                      <w:rFonts w:hint="eastAsia" w:ascii="宋体" w:hAnsi="宋体" w:cs="宋体"/>
                      <w:color w:val="auto"/>
                      <w:sz w:val="18"/>
                      <w:szCs w:val="18"/>
                    </w:rPr>
                  </w:pPr>
                </w:p>
              </w:tc>
              <w:tc>
                <w:tcPr>
                  <w:tcW w:w="867" w:type="pct"/>
                  <w:tcBorders>
                    <w:top w:val="single" w:color="auto" w:sz="4" w:space="0"/>
                    <w:left w:val="nil"/>
                    <w:bottom w:val="single" w:color="auto" w:sz="4" w:space="0"/>
                    <w:right w:val="single" w:color="auto" w:sz="4" w:space="0"/>
                  </w:tcBorders>
                  <w:vAlign w:val="center"/>
                </w:tcPr>
                <w:p w14:paraId="3749D060">
                  <w:pPr>
                    <w:pStyle w:val="125"/>
                    <w:adjustRightInd w:val="0"/>
                    <w:snapToGrid w:val="0"/>
                    <w:rPr>
                      <w:rFonts w:hint="eastAsia" w:ascii="宋体" w:hAnsi="宋体" w:cs="宋体"/>
                      <w:color w:val="auto"/>
                      <w:kern w:val="2"/>
                      <w:sz w:val="18"/>
                      <w:szCs w:val="18"/>
                    </w:rPr>
                  </w:pPr>
                  <w:r>
                    <w:rPr>
                      <w:rFonts w:hint="eastAsia" w:ascii="宋体" w:hAnsi="宋体" w:cs="宋体"/>
                      <w:color w:val="auto"/>
                      <w:kern w:val="2"/>
                      <w:sz w:val="18"/>
                      <w:szCs w:val="18"/>
                    </w:rPr>
                    <w:t>建材业</w:t>
                  </w:r>
                </w:p>
              </w:tc>
              <w:tc>
                <w:tcPr>
                  <w:tcW w:w="1720" w:type="pct"/>
                  <w:tcBorders>
                    <w:top w:val="single" w:color="auto" w:sz="4" w:space="0"/>
                    <w:left w:val="nil"/>
                    <w:bottom w:val="single" w:color="auto" w:sz="4" w:space="0"/>
                    <w:right w:val="single" w:color="auto" w:sz="4" w:space="0"/>
                  </w:tcBorders>
                  <w:vAlign w:val="center"/>
                </w:tcPr>
                <w:p w14:paraId="7972D738">
                  <w:pPr>
                    <w:pStyle w:val="125"/>
                    <w:adjustRightInd w:val="0"/>
                    <w:snapToGrid w:val="0"/>
                    <w:jc w:val="left"/>
                    <w:rPr>
                      <w:rFonts w:hint="eastAsia" w:ascii="宋体" w:hAnsi="宋体" w:cs="宋体"/>
                      <w:color w:val="auto"/>
                      <w:kern w:val="2"/>
                      <w:sz w:val="18"/>
                      <w:szCs w:val="18"/>
                    </w:rPr>
                  </w:pPr>
                  <w:r>
                    <w:rPr>
                      <w:rFonts w:hint="eastAsia" w:ascii="宋体" w:hAnsi="宋体" w:cs="宋体"/>
                      <w:color w:val="auto"/>
                      <w:kern w:val="2"/>
                      <w:sz w:val="18"/>
                      <w:szCs w:val="18"/>
                    </w:rPr>
                    <w:t>铝材、其他新型建材业</w:t>
                  </w:r>
                </w:p>
              </w:tc>
              <w:tc>
                <w:tcPr>
                  <w:tcW w:w="1565" w:type="pct"/>
                  <w:vMerge w:val="continue"/>
                  <w:tcBorders>
                    <w:left w:val="single" w:color="auto" w:sz="4" w:space="0"/>
                    <w:bottom w:val="single" w:color="auto" w:sz="4" w:space="0"/>
                    <w:right w:val="single" w:color="auto" w:sz="4" w:space="0"/>
                  </w:tcBorders>
                  <w:vAlign w:val="center"/>
                </w:tcPr>
                <w:p w14:paraId="0DDBF4BA">
                  <w:pPr>
                    <w:pStyle w:val="125"/>
                    <w:adjustRightInd w:val="0"/>
                    <w:snapToGrid w:val="0"/>
                    <w:jc w:val="left"/>
                    <w:rPr>
                      <w:rFonts w:hint="eastAsia" w:ascii="宋体" w:hAnsi="宋体" w:cs="宋体"/>
                      <w:color w:val="auto"/>
                      <w:kern w:val="2"/>
                      <w:sz w:val="18"/>
                      <w:szCs w:val="18"/>
                    </w:rPr>
                  </w:pPr>
                </w:p>
              </w:tc>
              <w:tc>
                <w:tcPr>
                  <w:tcW w:w="409" w:type="pct"/>
                  <w:vMerge w:val="continue"/>
                  <w:tcBorders>
                    <w:left w:val="single" w:color="auto" w:sz="4" w:space="0"/>
                    <w:bottom w:val="single" w:color="auto" w:sz="4" w:space="0"/>
                    <w:right w:val="nil"/>
                  </w:tcBorders>
                  <w:vAlign w:val="center"/>
                </w:tcPr>
                <w:p w14:paraId="48461BCD">
                  <w:pPr>
                    <w:pStyle w:val="125"/>
                    <w:adjustRightInd w:val="0"/>
                    <w:snapToGrid w:val="0"/>
                    <w:rPr>
                      <w:rFonts w:hint="eastAsia" w:ascii="宋体" w:hAnsi="宋体" w:cs="宋体"/>
                      <w:color w:val="auto"/>
                      <w:kern w:val="2"/>
                      <w:sz w:val="18"/>
                      <w:szCs w:val="18"/>
                    </w:rPr>
                  </w:pPr>
                </w:p>
              </w:tc>
            </w:tr>
            <w:tr w14:paraId="6422F9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restart"/>
                  <w:tcBorders>
                    <w:top w:val="nil"/>
                    <w:left w:val="nil"/>
                    <w:bottom w:val="single" w:color="auto" w:sz="4" w:space="0"/>
                    <w:right w:val="single" w:color="auto" w:sz="4" w:space="0"/>
                  </w:tcBorders>
                  <w:vAlign w:val="center"/>
                </w:tcPr>
                <w:p w14:paraId="0AB24F19">
                  <w:pPr>
                    <w:pStyle w:val="125"/>
                    <w:adjustRightInd w:val="0"/>
                    <w:snapToGrid w:val="0"/>
                    <w:rPr>
                      <w:rFonts w:hint="eastAsia" w:ascii="宋体" w:hAnsi="宋体" w:cs="宋体"/>
                      <w:color w:val="auto"/>
                      <w:sz w:val="18"/>
                      <w:szCs w:val="18"/>
                    </w:rPr>
                  </w:pPr>
                  <w:r>
                    <w:rPr>
                      <w:rFonts w:hint="eastAsia" w:ascii="宋体" w:hAnsi="宋体" w:cs="宋体"/>
                      <w:color w:val="auto"/>
                      <w:sz w:val="18"/>
                      <w:szCs w:val="18"/>
                    </w:rPr>
                    <w:t>禁止引入类项目</w:t>
                  </w:r>
                </w:p>
              </w:tc>
              <w:tc>
                <w:tcPr>
                  <w:tcW w:w="2587" w:type="pct"/>
                  <w:gridSpan w:val="2"/>
                  <w:tcBorders>
                    <w:top w:val="single" w:color="auto" w:sz="4" w:space="0"/>
                    <w:left w:val="nil"/>
                    <w:bottom w:val="single" w:color="auto" w:sz="4" w:space="0"/>
                    <w:right w:val="single" w:color="auto" w:sz="4" w:space="0"/>
                  </w:tcBorders>
                  <w:vAlign w:val="center"/>
                </w:tcPr>
                <w:p w14:paraId="1B3F5A9F">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列入《产业结构调整指导目录》及修订、《南通市工业结构调整指导目录》淘汰类产业；列入《市场准入负面清单（2022年版）》、《外商投资准入特别管理措施（负面清单）（2021年版）》禁止类的产业；列入《南通市工业产业技术改造负面清单》严格禁止的技术改造工艺装备及产品；采用落后的、淘汰的生产工艺或生产设备，清洁生产达不到国内先进水平的项目；不符合《长江经济带发展负面清单指南（试行，2022年版）》、《&lt;长江经济带发展负面清单指南（试行，2022年版）&gt;江苏省实施细则》（苏长江办发[2022]55号）产业发展要求的项目。</w:t>
                  </w:r>
                </w:p>
              </w:tc>
              <w:tc>
                <w:tcPr>
                  <w:tcW w:w="1565" w:type="pct"/>
                  <w:vMerge w:val="restart"/>
                  <w:tcBorders>
                    <w:top w:val="single" w:color="auto" w:sz="4" w:space="0"/>
                    <w:left w:val="single" w:color="auto" w:sz="4" w:space="0"/>
                    <w:right w:val="single" w:color="auto" w:sz="4" w:space="0"/>
                  </w:tcBorders>
                  <w:vAlign w:val="center"/>
                </w:tcPr>
                <w:p w14:paraId="5294C13C">
                  <w:pPr>
                    <w:pStyle w:val="125"/>
                    <w:tabs>
                      <w:tab w:val="center" w:pos="848"/>
                    </w:tabs>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对照《产业结构调整指导目录（2024年本）》，本项目为鼓励类；对照《南通市工业结构调整指导目录（2007年本）》，本项目不属于限制及淘汰类。本项目不属于列入《市场准入负面清单（2025年版）》、《外商投资准入特别管理措施（负面清单）（2021年版）》禁止类的产业；不生产列入《南通市工业产业技术改造负面清单》严格禁止的技术改造工艺装备及产品；不采用落后的、淘汰的生产工艺或生产设备，清洁生产达不到国内先进水平的项目；不符合《长江经济带发展负面清单指南（试行，2022年版）》、《&lt;长江经济带发展负面清单指南（试行，2022年版）&gt;江苏省实施细则》（苏长江办发[2022]55号）产业发展要求的项目。</w:t>
                  </w:r>
                </w:p>
                <w:p w14:paraId="5A8E84F0">
                  <w:pPr>
                    <w:pStyle w:val="125"/>
                    <w:tabs>
                      <w:tab w:val="center" w:pos="848"/>
                    </w:tabs>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本项目不属于钢铁、化工、化学制浆造纸、制革、发酵、印染、电镀项目。</w:t>
                  </w:r>
                </w:p>
              </w:tc>
              <w:tc>
                <w:tcPr>
                  <w:tcW w:w="409" w:type="pct"/>
                  <w:vMerge w:val="restart"/>
                  <w:tcBorders>
                    <w:top w:val="single" w:color="auto" w:sz="4" w:space="0"/>
                    <w:left w:val="single" w:color="auto" w:sz="4" w:space="0"/>
                    <w:right w:val="nil"/>
                  </w:tcBorders>
                  <w:vAlign w:val="center"/>
                </w:tcPr>
                <w:p w14:paraId="1E6C0747">
                  <w:pPr>
                    <w:pStyle w:val="125"/>
                    <w:adjustRightInd w:val="0"/>
                    <w:snapToGrid w:val="0"/>
                    <w:rPr>
                      <w:rFonts w:hint="eastAsia" w:ascii="宋体" w:hAnsi="宋体" w:cs="宋体"/>
                      <w:color w:val="auto"/>
                      <w:sz w:val="18"/>
                      <w:szCs w:val="18"/>
                    </w:rPr>
                  </w:pPr>
                  <w:r>
                    <w:rPr>
                      <w:rFonts w:hint="eastAsia" w:ascii="宋体" w:hAnsi="宋体" w:cs="宋体"/>
                      <w:color w:val="auto"/>
                      <w:kern w:val="2"/>
                      <w:sz w:val="18"/>
                      <w:szCs w:val="18"/>
                    </w:rPr>
                    <w:t>相符</w:t>
                  </w:r>
                </w:p>
              </w:tc>
            </w:tr>
            <w:tr w14:paraId="2B0CE9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tcBorders>
                    <w:top w:val="nil"/>
                    <w:left w:val="nil"/>
                    <w:bottom w:val="single" w:color="auto" w:sz="4" w:space="0"/>
                    <w:right w:val="single" w:color="auto" w:sz="4" w:space="0"/>
                  </w:tcBorders>
                  <w:vAlign w:val="center"/>
                </w:tcPr>
                <w:p w14:paraId="3B0E5F8C">
                  <w:pPr>
                    <w:adjustRightInd w:val="0"/>
                    <w:snapToGrid w:val="0"/>
                    <w:rPr>
                      <w:rFonts w:hint="eastAsia" w:ascii="宋体" w:hAnsi="宋体" w:cs="宋体"/>
                      <w:color w:val="auto"/>
                      <w:sz w:val="18"/>
                      <w:szCs w:val="18"/>
                    </w:rPr>
                  </w:pPr>
                </w:p>
              </w:tc>
              <w:tc>
                <w:tcPr>
                  <w:tcW w:w="2587" w:type="pct"/>
                  <w:gridSpan w:val="2"/>
                  <w:tcBorders>
                    <w:top w:val="single" w:color="auto" w:sz="4" w:space="0"/>
                    <w:left w:val="nil"/>
                    <w:bottom w:val="single" w:color="auto" w:sz="4" w:space="0"/>
                    <w:right w:val="single" w:color="auto" w:sz="4" w:space="0"/>
                  </w:tcBorders>
                  <w:vAlign w:val="center"/>
                </w:tcPr>
                <w:p w14:paraId="0CF2A6D5">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所有行业：钢铁、化工、化学制浆造纸、制革、发酵、印染、电镀项目。</w:t>
                  </w:r>
                </w:p>
              </w:tc>
              <w:tc>
                <w:tcPr>
                  <w:tcW w:w="1565" w:type="pct"/>
                  <w:vMerge w:val="continue"/>
                  <w:tcBorders>
                    <w:left w:val="single" w:color="auto" w:sz="4" w:space="0"/>
                    <w:right w:val="single" w:color="auto" w:sz="4" w:space="0"/>
                  </w:tcBorders>
                  <w:vAlign w:val="center"/>
                </w:tcPr>
                <w:p w14:paraId="59F59EC9">
                  <w:pPr>
                    <w:pStyle w:val="125"/>
                    <w:adjustRightInd w:val="0"/>
                    <w:snapToGrid w:val="0"/>
                    <w:jc w:val="left"/>
                    <w:rPr>
                      <w:rFonts w:hint="eastAsia" w:ascii="宋体" w:hAnsi="宋体" w:cs="宋体"/>
                      <w:color w:val="auto"/>
                      <w:sz w:val="18"/>
                      <w:szCs w:val="18"/>
                    </w:rPr>
                  </w:pPr>
                </w:p>
              </w:tc>
              <w:tc>
                <w:tcPr>
                  <w:tcW w:w="409" w:type="pct"/>
                  <w:vMerge w:val="continue"/>
                  <w:tcBorders>
                    <w:left w:val="single" w:color="auto" w:sz="4" w:space="0"/>
                    <w:right w:val="nil"/>
                  </w:tcBorders>
                  <w:vAlign w:val="center"/>
                </w:tcPr>
                <w:p w14:paraId="1E53CB0C">
                  <w:pPr>
                    <w:pStyle w:val="125"/>
                    <w:adjustRightInd w:val="0"/>
                    <w:snapToGrid w:val="0"/>
                    <w:rPr>
                      <w:rFonts w:hint="eastAsia" w:ascii="宋体" w:hAnsi="宋体" w:cs="宋体"/>
                      <w:color w:val="auto"/>
                      <w:sz w:val="18"/>
                      <w:szCs w:val="18"/>
                    </w:rPr>
                  </w:pPr>
                </w:p>
              </w:tc>
            </w:tr>
            <w:tr w14:paraId="26B339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tcBorders>
                    <w:top w:val="nil"/>
                    <w:left w:val="nil"/>
                    <w:bottom w:val="single" w:color="auto" w:sz="4" w:space="0"/>
                    <w:right w:val="single" w:color="auto" w:sz="4" w:space="0"/>
                  </w:tcBorders>
                  <w:vAlign w:val="center"/>
                </w:tcPr>
                <w:p w14:paraId="5A07A98E">
                  <w:pPr>
                    <w:adjustRightInd w:val="0"/>
                    <w:snapToGrid w:val="0"/>
                    <w:rPr>
                      <w:rFonts w:hint="eastAsia" w:ascii="宋体" w:hAnsi="宋体" w:cs="宋体"/>
                      <w:color w:val="auto"/>
                      <w:sz w:val="18"/>
                      <w:szCs w:val="18"/>
                    </w:rPr>
                  </w:pPr>
                </w:p>
              </w:tc>
              <w:tc>
                <w:tcPr>
                  <w:tcW w:w="867" w:type="pct"/>
                  <w:tcBorders>
                    <w:top w:val="single" w:color="auto" w:sz="4" w:space="0"/>
                    <w:left w:val="nil"/>
                    <w:bottom w:val="single" w:color="auto" w:sz="4" w:space="0"/>
                    <w:right w:val="single" w:color="auto" w:sz="4" w:space="0"/>
                  </w:tcBorders>
                  <w:vAlign w:val="center"/>
                </w:tcPr>
                <w:p w14:paraId="62E6B79D">
                  <w:pPr>
                    <w:pStyle w:val="125"/>
                    <w:adjustRightInd w:val="0"/>
                    <w:snapToGrid w:val="0"/>
                    <w:rPr>
                      <w:rFonts w:hint="eastAsia" w:ascii="宋体" w:hAnsi="宋体" w:cs="宋体"/>
                      <w:color w:val="auto"/>
                      <w:sz w:val="18"/>
                      <w:szCs w:val="18"/>
                    </w:rPr>
                  </w:pPr>
                  <w:r>
                    <w:rPr>
                      <w:rFonts w:hint="eastAsia" w:ascii="宋体" w:hAnsi="宋体" w:cs="宋体"/>
                      <w:color w:val="auto"/>
                      <w:kern w:val="2"/>
                      <w:sz w:val="18"/>
                      <w:szCs w:val="18"/>
                    </w:rPr>
                    <w:t>装备制造业</w:t>
                  </w:r>
                </w:p>
              </w:tc>
              <w:tc>
                <w:tcPr>
                  <w:tcW w:w="1720" w:type="pct"/>
                  <w:tcBorders>
                    <w:top w:val="single" w:color="auto" w:sz="4" w:space="0"/>
                    <w:left w:val="nil"/>
                    <w:bottom w:val="single" w:color="auto" w:sz="4" w:space="0"/>
                    <w:right w:val="single" w:color="auto" w:sz="4" w:space="0"/>
                  </w:tcBorders>
                  <w:vAlign w:val="center"/>
                </w:tcPr>
                <w:p w14:paraId="6DA2C135">
                  <w:pPr>
                    <w:adjustRightInd w:val="0"/>
                    <w:snapToGrid w:val="0"/>
                    <w:rPr>
                      <w:rFonts w:hint="eastAsia" w:ascii="宋体" w:hAnsi="宋体" w:cs="宋体"/>
                      <w:color w:val="auto"/>
                      <w:sz w:val="18"/>
                      <w:szCs w:val="18"/>
                    </w:rPr>
                  </w:pPr>
                  <w:bookmarkStart w:id="2" w:name="_Toc2765"/>
                  <w:r>
                    <w:rPr>
                      <w:rFonts w:hint="eastAsia" w:ascii="宋体" w:hAnsi="宋体" w:cs="宋体"/>
                      <w:color w:val="auto"/>
                      <w:sz w:val="18"/>
                      <w:szCs w:val="18"/>
                    </w:rPr>
                    <w:t>使用高有机含量的涂料、胶黏剂的项目；</w:t>
                  </w:r>
                  <w:bookmarkEnd w:id="2"/>
                </w:p>
                <w:p w14:paraId="0744789C">
                  <w:pPr>
                    <w:adjustRightInd w:val="0"/>
                    <w:snapToGrid w:val="0"/>
                    <w:rPr>
                      <w:rFonts w:hint="eastAsia" w:ascii="宋体" w:hAnsi="宋体" w:cs="宋体"/>
                      <w:color w:val="auto"/>
                      <w:sz w:val="18"/>
                      <w:szCs w:val="18"/>
                    </w:rPr>
                  </w:pPr>
                  <w:bookmarkStart w:id="3" w:name="_Toc9235"/>
                  <w:r>
                    <w:rPr>
                      <w:rFonts w:hint="eastAsia" w:ascii="宋体" w:hAnsi="宋体" w:cs="宋体"/>
                      <w:color w:val="auto"/>
                      <w:sz w:val="18"/>
                      <w:szCs w:val="18"/>
                    </w:rPr>
                    <w:t>污染治理措施达不到《挥发性有机物（VOCs）污染防治技术政策》、《重点行业挥发性有机物综合治理方案》等要求的项目；</w:t>
                  </w:r>
                  <w:bookmarkEnd w:id="3"/>
                </w:p>
                <w:p w14:paraId="2083B5F4">
                  <w:pPr>
                    <w:adjustRightInd w:val="0"/>
                    <w:snapToGrid w:val="0"/>
                    <w:rPr>
                      <w:rFonts w:hint="eastAsia" w:ascii="宋体" w:hAnsi="宋体" w:cs="宋体"/>
                      <w:color w:val="auto"/>
                      <w:sz w:val="18"/>
                      <w:szCs w:val="18"/>
                    </w:rPr>
                  </w:pPr>
                  <w:r>
                    <w:rPr>
                      <w:rFonts w:hint="eastAsia" w:ascii="宋体" w:hAnsi="宋体" w:cs="宋体"/>
                      <w:color w:val="auto"/>
                      <w:sz w:val="18"/>
                      <w:szCs w:val="18"/>
                    </w:rPr>
                    <w:t>亩均工业产值＜120万元/亩、亩均税收＜13.3万元/亩的新建项目；</w:t>
                  </w:r>
                </w:p>
                <w:p w14:paraId="59FD13B6">
                  <w:pPr>
                    <w:adjustRightInd w:val="0"/>
                    <w:snapToGrid w:val="0"/>
                    <w:rPr>
                      <w:rFonts w:hint="eastAsia" w:ascii="宋体" w:hAnsi="宋体" w:cs="宋体"/>
                      <w:color w:val="auto"/>
                      <w:sz w:val="18"/>
                      <w:szCs w:val="18"/>
                    </w:rPr>
                  </w:pPr>
                  <w:r>
                    <w:rPr>
                      <w:rFonts w:hint="eastAsia" w:ascii="宋体" w:hAnsi="宋体" w:cs="宋体"/>
                      <w:color w:val="auto"/>
                      <w:sz w:val="18"/>
                      <w:szCs w:val="18"/>
                    </w:rPr>
                    <w:t>纯电镀项目。</w:t>
                  </w:r>
                </w:p>
              </w:tc>
              <w:tc>
                <w:tcPr>
                  <w:tcW w:w="1565" w:type="pct"/>
                  <w:vMerge w:val="continue"/>
                  <w:tcBorders>
                    <w:left w:val="single" w:color="auto" w:sz="4" w:space="0"/>
                    <w:right w:val="single" w:color="auto" w:sz="4" w:space="0"/>
                  </w:tcBorders>
                  <w:vAlign w:val="center"/>
                </w:tcPr>
                <w:p w14:paraId="2442E2BA">
                  <w:pPr>
                    <w:adjustRightInd w:val="0"/>
                    <w:snapToGrid w:val="0"/>
                    <w:rPr>
                      <w:rFonts w:hint="eastAsia" w:ascii="宋体" w:hAnsi="宋体" w:cs="宋体"/>
                      <w:color w:val="auto"/>
                      <w:sz w:val="18"/>
                      <w:szCs w:val="18"/>
                    </w:rPr>
                  </w:pPr>
                </w:p>
              </w:tc>
              <w:tc>
                <w:tcPr>
                  <w:tcW w:w="409" w:type="pct"/>
                  <w:vMerge w:val="continue"/>
                  <w:tcBorders>
                    <w:left w:val="single" w:color="auto" w:sz="4" w:space="0"/>
                    <w:right w:val="nil"/>
                  </w:tcBorders>
                  <w:vAlign w:val="center"/>
                </w:tcPr>
                <w:p w14:paraId="6EA0213C">
                  <w:pPr>
                    <w:adjustRightInd w:val="0"/>
                    <w:snapToGrid w:val="0"/>
                    <w:jc w:val="center"/>
                    <w:rPr>
                      <w:rFonts w:hint="eastAsia" w:ascii="宋体" w:hAnsi="宋体" w:cs="宋体"/>
                      <w:color w:val="auto"/>
                      <w:sz w:val="18"/>
                      <w:szCs w:val="18"/>
                    </w:rPr>
                  </w:pPr>
                </w:p>
              </w:tc>
            </w:tr>
            <w:tr w14:paraId="1795A0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tcBorders>
                    <w:top w:val="nil"/>
                    <w:left w:val="nil"/>
                    <w:bottom w:val="single" w:color="auto" w:sz="4" w:space="0"/>
                    <w:right w:val="single" w:color="auto" w:sz="4" w:space="0"/>
                  </w:tcBorders>
                  <w:vAlign w:val="center"/>
                </w:tcPr>
                <w:p w14:paraId="5B849D1D">
                  <w:pPr>
                    <w:adjustRightInd w:val="0"/>
                    <w:snapToGrid w:val="0"/>
                    <w:rPr>
                      <w:rFonts w:hint="eastAsia" w:ascii="宋体" w:hAnsi="宋体" w:cs="宋体"/>
                      <w:color w:val="auto"/>
                      <w:sz w:val="18"/>
                      <w:szCs w:val="18"/>
                    </w:rPr>
                  </w:pPr>
                </w:p>
              </w:tc>
              <w:tc>
                <w:tcPr>
                  <w:tcW w:w="867" w:type="pct"/>
                  <w:tcBorders>
                    <w:top w:val="single" w:color="auto" w:sz="4" w:space="0"/>
                    <w:left w:val="nil"/>
                    <w:bottom w:val="single" w:color="auto" w:sz="4" w:space="0"/>
                    <w:right w:val="single" w:color="auto" w:sz="4" w:space="0"/>
                  </w:tcBorders>
                  <w:vAlign w:val="center"/>
                </w:tcPr>
                <w:p w14:paraId="0DD7A282">
                  <w:pPr>
                    <w:pStyle w:val="125"/>
                    <w:adjustRightInd w:val="0"/>
                    <w:snapToGrid w:val="0"/>
                    <w:rPr>
                      <w:rFonts w:hint="eastAsia" w:ascii="宋体" w:hAnsi="宋体" w:cs="宋体"/>
                      <w:color w:val="auto"/>
                      <w:sz w:val="18"/>
                      <w:szCs w:val="18"/>
                    </w:rPr>
                  </w:pPr>
                  <w:r>
                    <w:rPr>
                      <w:rFonts w:hint="eastAsia" w:ascii="宋体" w:hAnsi="宋体" w:cs="宋体"/>
                      <w:color w:val="auto"/>
                      <w:kern w:val="2"/>
                      <w:sz w:val="18"/>
                      <w:szCs w:val="18"/>
                    </w:rPr>
                    <w:t>橡胶和塑料制品业</w:t>
                  </w:r>
                </w:p>
              </w:tc>
              <w:tc>
                <w:tcPr>
                  <w:tcW w:w="1720" w:type="pct"/>
                  <w:tcBorders>
                    <w:top w:val="single" w:color="auto" w:sz="4" w:space="0"/>
                    <w:left w:val="nil"/>
                    <w:bottom w:val="single" w:color="auto" w:sz="4" w:space="0"/>
                    <w:right w:val="single" w:color="auto" w:sz="4" w:space="0"/>
                  </w:tcBorders>
                  <w:vAlign w:val="center"/>
                </w:tcPr>
                <w:p w14:paraId="6B43D451">
                  <w:pPr>
                    <w:adjustRightInd w:val="0"/>
                    <w:snapToGrid w:val="0"/>
                    <w:rPr>
                      <w:rFonts w:hint="eastAsia" w:ascii="宋体" w:hAnsi="宋体" w:cs="宋体"/>
                      <w:color w:val="auto"/>
                      <w:sz w:val="18"/>
                      <w:szCs w:val="18"/>
                    </w:rPr>
                  </w:pPr>
                  <w:bookmarkStart w:id="4" w:name="OLE_LINK247"/>
                  <w:r>
                    <w:rPr>
                      <w:rFonts w:hint="eastAsia" w:ascii="宋体" w:hAnsi="宋体" w:cs="宋体"/>
                      <w:color w:val="auto"/>
                      <w:sz w:val="18"/>
                      <w:szCs w:val="18"/>
                    </w:rPr>
                    <w:t>使用废旧塑料、废旧橡胶作为生产原料的项目；</w:t>
                  </w:r>
                  <w:bookmarkEnd w:id="4"/>
                </w:p>
                <w:p w14:paraId="55FA0915">
                  <w:pPr>
                    <w:adjustRightInd w:val="0"/>
                    <w:snapToGrid w:val="0"/>
                    <w:rPr>
                      <w:rFonts w:hint="eastAsia" w:ascii="宋体" w:hAnsi="宋体" w:cs="宋体"/>
                      <w:color w:val="auto"/>
                      <w:sz w:val="18"/>
                      <w:szCs w:val="18"/>
                    </w:rPr>
                  </w:pPr>
                  <w:r>
                    <w:rPr>
                      <w:rFonts w:hint="eastAsia" w:ascii="宋体" w:hAnsi="宋体" w:cs="宋体"/>
                      <w:color w:val="auto"/>
                      <w:sz w:val="18"/>
                      <w:szCs w:val="18"/>
                    </w:rPr>
                    <w:t>污染治理措施达不到《挥发性有机物（VOCs）污染防治技术政策》、《重点行业挥发性有机物综合治理方案》等要求的项目。</w:t>
                  </w:r>
                </w:p>
              </w:tc>
              <w:tc>
                <w:tcPr>
                  <w:tcW w:w="1565" w:type="pct"/>
                  <w:vMerge w:val="continue"/>
                  <w:tcBorders>
                    <w:left w:val="single" w:color="auto" w:sz="4" w:space="0"/>
                    <w:right w:val="single" w:color="auto" w:sz="4" w:space="0"/>
                  </w:tcBorders>
                  <w:vAlign w:val="center"/>
                </w:tcPr>
                <w:p w14:paraId="6242569F">
                  <w:pPr>
                    <w:adjustRightInd w:val="0"/>
                    <w:snapToGrid w:val="0"/>
                    <w:rPr>
                      <w:rFonts w:hint="eastAsia" w:ascii="宋体" w:hAnsi="宋体" w:cs="宋体"/>
                      <w:color w:val="auto"/>
                      <w:sz w:val="18"/>
                      <w:szCs w:val="18"/>
                    </w:rPr>
                  </w:pPr>
                </w:p>
              </w:tc>
              <w:tc>
                <w:tcPr>
                  <w:tcW w:w="409" w:type="pct"/>
                  <w:vMerge w:val="continue"/>
                  <w:tcBorders>
                    <w:left w:val="single" w:color="auto" w:sz="4" w:space="0"/>
                    <w:right w:val="nil"/>
                  </w:tcBorders>
                  <w:vAlign w:val="center"/>
                </w:tcPr>
                <w:p w14:paraId="7162D2C6">
                  <w:pPr>
                    <w:adjustRightInd w:val="0"/>
                    <w:snapToGrid w:val="0"/>
                    <w:jc w:val="center"/>
                    <w:rPr>
                      <w:rFonts w:hint="eastAsia" w:ascii="宋体" w:hAnsi="宋体" w:cs="宋体"/>
                      <w:color w:val="auto"/>
                      <w:sz w:val="18"/>
                      <w:szCs w:val="18"/>
                    </w:rPr>
                  </w:pPr>
                </w:p>
              </w:tc>
            </w:tr>
            <w:tr w14:paraId="13DB48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tcBorders>
                    <w:top w:val="nil"/>
                    <w:left w:val="nil"/>
                    <w:bottom w:val="single" w:color="auto" w:sz="4" w:space="0"/>
                    <w:right w:val="single" w:color="auto" w:sz="4" w:space="0"/>
                  </w:tcBorders>
                  <w:vAlign w:val="center"/>
                </w:tcPr>
                <w:p w14:paraId="6154F4F5">
                  <w:pPr>
                    <w:adjustRightInd w:val="0"/>
                    <w:snapToGrid w:val="0"/>
                    <w:rPr>
                      <w:rFonts w:hint="eastAsia" w:ascii="宋体" w:hAnsi="宋体" w:cs="宋体"/>
                      <w:color w:val="auto"/>
                      <w:sz w:val="18"/>
                      <w:szCs w:val="18"/>
                    </w:rPr>
                  </w:pPr>
                </w:p>
              </w:tc>
              <w:tc>
                <w:tcPr>
                  <w:tcW w:w="867" w:type="pct"/>
                  <w:tcBorders>
                    <w:top w:val="single" w:color="auto" w:sz="4" w:space="0"/>
                    <w:left w:val="nil"/>
                    <w:bottom w:val="single" w:color="auto" w:sz="4" w:space="0"/>
                    <w:right w:val="single" w:color="auto" w:sz="4" w:space="0"/>
                  </w:tcBorders>
                  <w:vAlign w:val="center"/>
                </w:tcPr>
                <w:p w14:paraId="4C34E3C3">
                  <w:pPr>
                    <w:pStyle w:val="125"/>
                    <w:adjustRightInd w:val="0"/>
                    <w:snapToGrid w:val="0"/>
                    <w:rPr>
                      <w:rFonts w:hint="eastAsia" w:ascii="宋体" w:hAnsi="宋体" w:cs="宋体"/>
                      <w:color w:val="auto"/>
                      <w:sz w:val="18"/>
                      <w:szCs w:val="18"/>
                    </w:rPr>
                  </w:pPr>
                  <w:r>
                    <w:rPr>
                      <w:rFonts w:hint="eastAsia" w:ascii="宋体" w:hAnsi="宋体" w:cs="宋体"/>
                      <w:color w:val="auto"/>
                      <w:kern w:val="2"/>
                      <w:sz w:val="18"/>
                      <w:szCs w:val="18"/>
                    </w:rPr>
                    <w:t>纺织服装业</w:t>
                  </w:r>
                </w:p>
              </w:tc>
              <w:tc>
                <w:tcPr>
                  <w:tcW w:w="1720" w:type="pct"/>
                  <w:tcBorders>
                    <w:top w:val="single" w:color="auto" w:sz="4" w:space="0"/>
                    <w:left w:val="nil"/>
                    <w:bottom w:val="single" w:color="auto" w:sz="4" w:space="0"/>
                    <w:right w:val="single" w:color="auto" w:sz="4" w:space="0"/>
                  </w:tcBorders>
                  <w:vAlign w:val="center"/>
                </w:tcPr>
                <w:p w14:paraId="34AF13CE">
                  <w:pPr>
                    <w:adjustRightInd w:val="0"/>
                    <w:snapToGrid w:val="0"/>
                    <w:rPr>
                      <w:rFonts w:hint="eastAsia" w:ascii="宋体" w:hAnsi="宋体" w:cs="宋体"/>
                      <w:color w:val="auto"/>
                      <w:sz w:val="18"/>
                      <w:szCs w:val="18"/>
                    </w:rPr>
                  </w:pPr>
                  <w:r>
                    <w:rPr>
                      <w:rFonts w:hint="eastAsia" w:ascii="宋体" w:hAnsi="宋体" w:cs="宋体"/>
                      <w:color w:val="auto"/>
                      <w:sz w:val="18"/>
                      <w:szCs w:val="18"/>
                    </w:rPr>
                    <w:t>印染项目。</w:t>
                  </w:r>
                </w:p>
              </w:tc>
              <w:tc>
                <w:tcPr>
                  <w:tcW w:w="1565" w:type="pct"/>
                  <w:vMerge w:val="continue"/>
                  <w:tcBorders>
                    <w:left w:val="single" w:color="auto" w:sz="4" w:space="0"/>
                    <w:right w:val="single" w:color="auto" w:sz="4" w:space="0"/>
                  </w:tcBorders>
                  <w:vAlign w:val="center"/>
                </w:tcPr>
                <w:p w14:paraId="4EB09A55">
                  <w:pPr>
                    <w:adjustRightInd w:val="0"/>
                    <w:snapToGrid w:val="0"/>
                    <w:rPr>
                      <w:rFonts w:hint="eastAsia" w:ascii="宋体" w:hAnsi="宋体" w:cs="宋体"/>
                      <w:color w:val="auto"/>
                      <w:sz w:val="18"/>
                      <w:szCs w:val="18"/>
                    </w:rPr>
                  </w:pPr>
                </w:p>
              </w:tc>
              <w:tc>
                <w:tcPr>
                  <w:tcW w:w="409" w:type="pct"/>
                  <w:vMerge w:val="continue"/>
                  <w:tcBorders>
                    <w:left w:val="single" w:color="auto" w:sz="4" w:space="0"/>
                    <w:right w:val="nil"/>
                  </w:tcBorders>
                  <w:vAlign w:val="center"/>
                </w:tcPr>
                <w:p w14:paraId="5B3DF4D8">
                  <w:pPr>
                    <w:adjustRightInd w:val="0"/>
                    <w:snapToGrid w:val="0"/>
                    <w:jc w:val="center"/>
                    <w:rPr>
                      <w:rFonts w:hint="eastAsia" w:ascii="宋体" w:hAnsi="宋体" w:cs="宋体"/>
                      <w:color w:val="auto"/>
                      <w:sz w:val="18"/>
                      <w:szCs w:val="18"/>
                    </w:rPr>
                  </w:pPr>
                </w:p>
              </w:tc>
            </w:tr>
            <w:tr w14:paraId="33E891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437" w:type="pct"/>
                  <w:vMerge w:val="continue"/>
                  <w:tcBorders>
                    <w:top w:val="nil"/>
                    <w:left w:val="nil"/>
                    <w:bottom w:val="single" w:color="auto" w:sz="4" w:space="0"/>
                    <w:right w:val="single" w:color="auto" w:sz="4" w:space="0"/>
                  </w:tcBorders>
                  <w:vAlign w:val="center"/>
                </w:tcPr>
                <w:p w14:paraId="2EA8840B">
                  <w:pPr>
                    <w:adjustRightInd w:val="0"/>
                    <w:snapToGrid w:val="0"/>
                    <w:rPr>
                      <w:rFonts w:hint="eastAsia" w:ascii="宋体" w:hAnsi="宋体" w:cs="宋体"/>
                      <w:color w:val="auto"/>
                      <w:sz w:val="18"/>
                      <w:szCs w:val="18"/>
                    </w:rPr>
                  </w:pPr>
                </w:p>
              </w:tc>
              <w:tc>
                <w:tcPr>
                  <w:tcW w:w="867" w:type="pct"/>
                  <w:tcBorders>
                    <w:top w:val="single" w:color="auto" w:sz="4" w:space="0"/>
                    <w:left w:val="nil"/>
                    <w:bottom w:val="single" w:color="auto" w:sz="4" w:space="0"/>
                    <w:right w:val="single" w:color="auto" w:sz="4" w:space="0"/>
                  </w:tcBorders>
                  <w:vAlign w:val="center"/>
                </w:tcPr>
                <w:p w14:paraId="7A584405">
                  <w:pPr>
                    <w:pStyle w:val="125"/>
                    <w:adjustRightInd w:val="0"/>
                    <w:snapToGrid w:val="0"/>
                    <w:rPr>
                      <w:rFonts w:hint="eastAsia" w:ascii="宋体" w:hAnsi="宋体" w:cs="宋体"/>
                      <w:color w:val="auto"/>
                      <w:sz w:val="18"/>
                      <w:szCs w:val="18"/>
                    </w:rPr>
                  </w:pPr>
                  <w:r>
                    <w:rPr>
                      <w:rFonts w:hint="eastAsia" w:ascii="宋体" w:hAnsi="宋体" w:cs="宋体"/>
                      <w:color w:val="auto"/>
                      <w:kern w:val="2"/>
                      <w:sz w:val="18"/>
                      <w:szCs w:val="18"/>
                    </w:rPr>
                    <w:t>建材业</w:t>
                  </w:r>
                </w:p>
              </w:tc>
              <w:tc>
                <w:tcPr>
                  <w:tcW w:w="1720" w:type="pct"/>
                  <w:tcBorders>
                    <w:top w:val="single" w:color="auto" w:sz="4" w:space="0"/>
                    <w:left w:val="nil"/>
                    <w:bottom w:val="single" w:color="auto" w:sz="4" w:space="0"/>
                    <w:right w:val="single" w:color="auto" w:sz="4" w:space="0"/>
                  </w:tcBorders>
                  <w:vAlign w:val="center"/>
                </w:tcPr>
                <w:p w14:paraId="5200B2A9">
                  <w:pPr>
                    <w:adjustRightInd w:val="0"/>
                    <w:snapToGrid w:val="0"/>
                    <w:rPr>
                      <w:rFonts w:hint="eastAsia" w:ascii="宋体" w:hAnsi="宋体" w:cs="宋体"/>
                      <w:color w:val="auto"/>
                      <w:sz w:val="18"/>
                      <w:szCs w:val="18"/>
                    </w:rPr>
                  </w:pPr>
                  <w:r>
                    <w:rPr>
                      <w:rFonts w:hint="eastAsia" w:ascii="宋体" w:hAnsi="宋体" w:cs="宋体"/>
                      <w:color w:val="auto"/>
                      <w:sz w:val="18"/>
                      <w:szCs w:val="18"/>
                    </w:rPr>
                    <w:t>污染治理措施达不到《挥发性有机物（VOCs）污染防治技术政策》、《重点行业挥发性有机物综合治理方案》等要求的项目。</w:t>
                  </w:r>
                </w:p>
              </w:tc>
              <w:tc>
                <w:tcPr>
                  <w:tcW w:w="1565" w:type="pct"/>
                  <w:vMerge w:val="continue"/>
                  <w:tcBorders>
                    <w:left w:val="single" w:color="auto" w:sz="4" w:space="0"/>
                    <w:bottom w:val="single" w:color="auto" w:sz="4" w:space="0"/>
                    <w:right w:val="single" w:color="auto" w:sz="4" w:space="0"/>
                  </w:tcBorders>
                  <w:vAlign w:val="center"/>
                </w:tcPr>
                <w:p w14:paraId="55F317EF">
                  <w:pPr>
                    <w:adjustRightInd w:val="0"/>
                    <w:snapToGrid w:val="0"/>
                    <w:rPr>
                      <w:rFonts w:hint="eastAsia" w:ascii="宋体" w:hAnsi="宋体" w:cs="宋体"/>
                      <w:color w:val="auto"/>
                      <w:sz w:val="18"/>
                      <w:szCs w:val="18"/>
                    </w:rPr>
                  </w:pPr>
                </w:p>
              </w:tc>
              <w:tc>
                <w:tcPr>
                  <w:tcW w:w="409" w:type="pct"/>
                  <w:vMerge w:val="continue"/>
                  <w:tcBorders>
                    <w:left w:val="single" w:color="auto" w:sz="4" w:space="0"/>
                    <w:bottom w:val="single" w:color="auto" w:sz="4" w:space="0"/>
                    <w:right w:val="nil"/>
                  </w:tcBorders>
                  <w:vAlign w:val="center"/>
                </w:tcPr>
                <w:p w14:paraId="1C2234EA">
                  <w:pPr>
                    <w:adjustRightInd w:val="0"/>
                    <w:snapToGrid w:val="0"/>
                    <w:jc w:val="center"/>
                    <w:rPr>
                      <w:rFonts w:hint="eastAsia" w:ascii="宋体" w:hAnsi="宋体" w:cs="宋体"/>
                      <w:color w:val="auto"/>
                      <w:sz w:val="18"/>
                      <w:szCs w:val="18"/>
                    </w:rPr>
                  </w:pPr>
                </w:p>
              </w:tc>
            </w:tr>
            <w:tr w14:paraId="07A720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tcBorders>
                    <w:top w:val="single" w:color="auto" w:sz="4" w:space="0"/>
                    <w:left w:val="nil"/>
                    <w:bottom w:val="single" w:color="auto" w:sz="4" w:space="0"/>
                    <w:right w:val="single" w:color="auto" w:sz="4" w:space="0"/>
                  </w:tcBorders>
                  <w:vAlign w:val="center"/>
                </w:tcPr>
                <w:p w14:paraId="3F30DB1D">
                  <w:pPr>
                    <w:pStyle w:val="125"/>
                    <w:adjustRightInd w:val="0"/>
                    <w:snapToGrid w:val="0"/>
                    <w:rPr>
                      <w:rFonts w:hint="eastAsia" w:ascii="宋体" w:hAnsi="宋体" w:cs="宋体"/>
                      <w:color w:val="auto"/>
                      <w:sz w:val="18"/>
                      <w:szCs w:val="18"/>
                    </w:rPr>
                  </w:pPr>
                  <w:r>
                    <w:rPr>
                      <w:rFonts w:hint="eastAsia" w:ascii="宋体" w:hAnsi="宋体" w:cs="宋体"/>
                      <w:color w:val="auto"/>
                      <w:sz w:val="18"/>
                      <w:szCs w:val="18"/>
                    </w:rPr>
                    <w:t>限制引入类项目</w:t>
                  </w:r>
                </w:p>
              </w:tc>
              <w:tc>
                <w:tcPr>
                  <w:tcW w:w="2587" w:type="pct"/>
                  <w:gridSpan w:val="2"/>
                  <w:tcBorders>
                    <w:top w:val="single" w:color="auto" w:sz="4" w:space="0"/>
                    <w:left w:val="nil"/>
                    <w:bottom w:val="single" w:color="auto" w:sz="4" w:space="0"/>
                    <w:right w:val="single" w:color="auto" w:sz="4" w:space="0"/>
                  </w:tcBorders>
                  <w:vAlign w:val="center"/>
                </w:tcPr>
                <w:p w14:paraId="199C47EB">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1、《产业结构调整指导目录》及修订、《江苏省工业和信息产业结构调整指导目录（2012年本）》、《江苏省工业和信息产业结构调整限制淘汰目录和能耗限额》中限制类项目。</w:t>
                  </w:r>
                </w:p>
                <w:p w14:paraId="782650AD">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2、不符合产业定位的项目。</w:t>
                  </w:r>
                </w:p>
                <w:p w14:paraId="2A3D545F">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3、现有不符合产业定位的企业限制生产规模，除环保设施工程外禁止改扩建，并适时搬迁。</w:t>
                  </w:r>
                </w:p>
                <w:p w14:paraId="35556B3B">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4、生产过程排放氨、硫化氢等恶臭气体的项目（基础设施类项目除外）。</w:t>
                  </w:r>
                </w:p>
                <w:p w14:paraId="0A54F9EA">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5、含单一表面处理、阳极氧化的项目（符合主导产业定位的产品生产工艺必须含表面处理、阳极氧化工艺的除外）。</w:t>
                  </w:r>
                </w:p>
              </w:tc>
              <w:tc>
                <w:tcPr>
                  <w:tcW w:w="1565" w:type="pct"/>
                  <w:tcBorders>
                    <w:top w:val="single" w:color="auto" w:sz="4" w:space="0"/>
                    <w:left w:val="single" w:color="auto" w:sz="4" w:space="0"/>
                    <w:bottom w:val="single" w:color="auto" w:sz="4" w:space="0"/>
                    <w:right w:val="single" w:color="auto" w:sz="4" w:space="0"/>
                  </w:tcBorders>
                  <w:vAlign w:val="center"/>
                </w:tcPr>
                <w:p w14:paraId="53BCE402">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本项目不属于《产业结构调整指导目录》及修订、《江苏省工业和信息产业结构调整指导目录（2012年本）》、《江苏省工业和信息产业结构调整限制淘汰目录和能耗限额》中限制类项目；本项目研发的标准物质，作为测量结果的“标尺”，用于校准仪器精度，确保数据准确性，为主导产业配套服务；本项目为</w:t>
                  </w:r>
                  <w:r>
                    <w:rPr>
                      <w:rFonts w:hint="eastAsia" w:ascii="宋体" w:hAnsi="宋体" w:cs="宋体"/>
                      <w:color w:val="auto"/>
                      <w:kern w:val="2"/>
                      <w:sz w:val="18"/>
                      <w:szCs w:val="18"/>
                    </w:rPr>
                    <w:t>研发项目；</w:t>
                  </w:r>
                  <w:r>
                    <w:rPr>
                      <w:rFonts w:hint="eastAsia" w:ascii="宋体" w:hAnsi="宋体" w:cs="宋体"/>
                      <w:color w:val="auto"/>
                      <w:sz w:val="18"/>
                      <w:szCs w:val="18"/>
                    </w:rPr>
                    <w:t>不属于含单一表面处理、阳极氧化的项目。</w:t>
                  </w:r>
                </w:p>
              </w:tc>
              <w:tc>
                <w:tcPr>
                  <w:tcW w:w="409" w:type="pct"/>
                  <w:tcBorders>
                    <w:top w:val="single" w:color="auto" w:sz="4" w:space="0"/>
                    <w:left w:val="single" w:color="auto" w:sz="4" w:space="0"/>
                    <w:bottom w:val="single" w:color="auto" w:sz="4" w:space="0"/>
                    <w:right w:val="nil"/>
                  </w:tcBorders>
                  <w:vAlign w:val="center"/>
                </w:tcPr>
                <w:p w14:paraId="2C861434">
                  <w:pPr>
                    <w:pStyle w:val="125"/>
                    <w:adjustRightInd w:val="0"/>
                    <w:snapToGrid w:val="0"/>
                    <w:rPr>
                      <w:rFonts w:hint="eastAsia" w:ascii="宋体" w:hAnsi="宋体" w:cs="宋体"/>
                      <w:color w:val="auto"/>
                      <w:sz w:val="18"/>
                      <w:szCs w:val="18"/>
                    </w:rPr>
                  </w:pPr>
                  <w:r>
                    <w:rPr>
                      <w:rFonts w:hint="eastAsia" w:ascii="宋体" w:hAnsi="宋体" w:cs="宋体"/>
                      <w:color w:val="auto"/>
                      <w:kern w:val="2"/>
                      <w:sz w:val="18"/>
                      <w:szCs w:val="18"/>
                    </w:rPr>
                    <w:t>相符</w:t>
                  </w:r>
                </w:p>
              </w:tc>
            </w:tr>
            <w:tr w14:paraId="0DEEA7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restart"/>
                  <w:tcBorders>
                    <w:top w:val="nil"/>
                    <w:left w:val="nil"/>
                    <w:bottom w:val="single" w:color="auto" w:sz="4" w:space="0"/>
                    <w:right w:val="single" w:color="auto" w:sz="4" w:space="0"/>
                  </w:tcBorders>
                  <w:vAlign w:val="center"/>
                </w:tcPr>
                <w:p w14:paraId="13B16A76">
                  <w:pPr>
                    <w:pStyle w:val="125"/>
                    <w:adjustRightInd w:val="0"/>
                    <w:snapToGrid w:val="0"/>
                    <w:rPr>
                      <w:rFonts w:hint="eastAsia" w:ascii="宋体" w:hAnsi="宋体" w:cs="宋体"/>
                      <w:color w:val="auto"/>
                      <w:sz w:val="18"/>
                      <w:szCs w:val="18"/>
                    </w:rPr>
                  </w:pPr>
                  <w:r>
                    <w:rPr>
                      <w:rFonts w:hint="eastAsia" w:ascii="宋体" w:hAnsi="宋体" w:cs="宋体"/>
                      <w:color w:val="auto"/>
                      <w:sz w:val="18"/>
                      <w:szCs w:val="18"/>
                    </w:rPr>
                    <w:t>空间布局约束</w:t>
                  </w:r>
                </w:p>
              </w:tc>
              <w:tc>
                <w:tcPr>
                  <w:tcW w:w="2587" w:type="pct"/>
                  <w:gridSpan w:val="2"/>
                  <w:tcBorders>
                    <w:top w:val="single" w:color="auto" w:sz="4" w:space="0"/>
                    <w:left w:val="nil"/>
                    <w:bottom w:val="single" w:color="auto" w:sz="4" w:space="0"/>
                    <w:right w:val="single" w:color="auto" w:sz="4" w:space="0"/>
                  </w:tcBorders>
                  <w:vAlign w:val="center"/>
                </w:tcPr>
                <w:p w14:paraId="746E7EB4">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1、落实江苏省、南通市“三线一单”、《江苏省生态空间管控区域规划》、《江苏省国家级生态保护红线规划》管控要求管理。</w:t>
                  </w:r>
                </w:p>
              </w:tc>
              <w:tc>
                <w:tcPr>
                  <w:tcW w:w="1565" w:type="pct"/>
                  <w:tcBorders>
                    <w:top w:val="single" w:color="auto" w:sz="4" w:space="0"/>
                    <w:left w:val="single" w:color="auto" w:sz="4" w:space="0"/>
                    <w:bottom w:val="single" w:color="auto" w:sz="4" w:space="0"/>
                    <w:right w:val="single" w:color="auto" w:sz="4" w:space="0"/>
                  </w:tcBorders>
                  <w:vAlign w:val="center"/>
                </w:tcPr>
                <w:p w14:paraId="36590467">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本项目符合江苏省、南通市“三线一单”、《江苏省生态空间管控区域规划》、《江苏省国家级生态保护红线规划》管控要求。</w:t>
                  </w:r>
                </w:p>
              </w:tc>
              <w:tc>
                <w:tcPr>
                  <w:tcW w:w="409" w:type="pct"/>
                  <w:tcBorders>
                    <w:top w:val="single" w:color="auto" w:sz="4" w:space="0"/>
                    <w:left w:val="single" w:color="auto" w:sz="4" w:space="0"/>
                    <w:bottom w:val="single" w:color="auto" w:sz="4" w:space="0"/>
                    <w:right w:val="nil"/>
                  </w:tcBorders>
                  <w:vAlign w:val="center"/>
                </w:tcPr>
                <w:p w14:paraId="56264F51">
                  <w:pPr>
                    <w:pStyle w:val="125"/>
                    <w:adjustRightInd w:val="0"/>
                    <w:snapToGrid w:val="0"/>
                    <w:rPr>
                      <w:rFonts w:hint="eastAsia" w:ascii="宋体" w:hAnsi="宋体" w:cs="宋体"/>
                      <w:color w:val="auto"/>
                      <w:sz w:val="18"/>
                      <w:szCs w:val="18"/>
                    </w:rPr>
                  </w:pPr>
                  <w:r>
                    <w:rPr>
                      <w:rFonts w:hint="eastAsia" w:ascii="宋体" w:hAnsi="宋体" w:cs="宋体"/>
                      <w:color w:val="auto"/>
                      <w:kern w:val="2"/>
                      <w:sz w:val="18"/>
                      <w:szCs w:val="18"/>
                    </w:rPr>
                    <w:t>相符</w:t>
                  </w:r>
                </w:p>
              </w:tc>
            </w:tr>
            <w:tr w14:paraId="39485D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tcBorders>
                    <w:top w:val="nil"/>
                    <w:left w:val="nil"/>
                    <w:bottom w:val="single" w:color="auto" w:sz="4" w:space="0"/>
                    <w:right w:val="single" w:color="auto" w:sz="4" w:space="0"/>
                  </w:tcBorders>
                  <w:vAlign w:val="center"/>
                </w:tcPr>
                <w:p w14:paraId="5CCD43B8">
                  <w:pPr>
                    <w:adjustRightInd w:val="0"/>
                    <w:snapToGrid w:val="0"/>
                    <w:rPr>
                      <w:rFonts w:hint="eastAsia" w:ascii="宋体" w:hAnsi="宋体" w:cs="宋体"/>
                      <w:color w:val="auto"/>
                      <w:sz w:val="18"/>
                      <w:szCs w:val="18"/>
                    </w:rPr>
                  </w:pPr>
                </w:p>
              </w:tc>
              <w:tc>
                <w:tcPr>
                  <w:tcW w:w="2587" w:type="pct"/>
                  <w:gridSpan w:val="2"/>
                  <w:tcBorders>
                    <w:top w:val="single" w:color="auto" w:sz="4" w:space="0"/>
                    <w:left w:val="nil"/>
                    <w:bottom w:val="single" w:color="auto" w:sz="4" w:space="0"/>
                    <w:right w:val="single" w:color="auto" w:sz="4" w:space="0"/>
                  </w:tcBorders>
                  <w:vAlign w:val="center"/>
                </w:tcPr>
                <w:p w14:paraId="6554DB09">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2、农用地优先保护区，基本农田1.06公顷，农用地优先保护区实行严格保护，确保其面积不减少、土壤环境质量不下降，除法律规定的重点建设项目选址确实无法避让外，其他任何建设不得占用。需要占用基本农田，涉及农用地转用或者征用土地的，必须经国务院批准，严格执行农用地转用许可制度。</w:t>
                  </w:r>
                </w:p>
                <w:p w14:paraId="05E39D1A">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水域面积20.02公顷，落实“蓝线”保护措施；绿地与广场用地72.44公顷限制占用。</w:t>
                  </w:r>
                </w:p>
              </w:tc>
              <w:tc>
                <w:tcPr>
                  <w:tcW w:w="1565" w:type="pct"/>
                  <w:tcBorders>
                    <w:top w:val="single" w:color="auto" w:sz="4" w:space="0"/>
                    <w:left w:val="single" w:color="auto" w:sz="4" w:space="0"/>
                    <w:bottom w:val="single" w:color="auto" w:sz="4" w:space="0"/>
                    <w:right w:val="single" w:color="auto" w:sz="4" w:space="0"/>
                  </w:tcBorders>
                  <w:vAlign w:val="center"/>
                </w:tcPr>
                <w:p w14:paraId="07CF1C27">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本项目租用现有闲置厂房，不占用农用地、水域面积、绿地与广场用地。</w:t>
                  </w:r>
                </w:p>
              </w:tc>
              <w:tc>
                <w:tcPr>
                  <w:tcW w:w="409" w:type="pct"/>
                  <w:tcBorders>
                    <w:top w:val="single" w:color="auto" w:sz="4" w:space="0"/>
                    <w:left w:val="single" w:color="auto" w:sz="4" w:space="0"/>
                    <w:bottom w:val="single" w:color="auto" w:sz="4" w:space="0"/>
                    <w:right w:val="nil"/>
                  </w:tcBorders>
                  <w:vAlign w:val="center"/>
                </w:tcPr>
                <w:p w14:paraId="0D8CC062">
                  <w:pPr>
                    <w:pStyle w:val="125"/>
                    <w:adjustRightInd w:val="0"/>
                    <w:snapToGrid w:val="0"/>
                    <w:rPr>
                      <w:rFonts w:hint="eastAsia" w:ascii="宋体" w:hAnsi="宋体" w:cs="宋体"/>
                      <w:color w:val="auto"/>
                      <w:sz w:val="18"/>
                      <w:szCs w:val="18"/>
                    </w:rPr>
                  </w:pPr>
                  <w:r>
                    <w:rPr>
                      <w:rFonts w:hint="eastAsia" w:ascii="宋体" w:hAnsi="宋体" w:cs="宋体"/>
                      <w:color w:val="auto"/>
                      <w:kern w:val="2"/>
                      <w:sz w:val="18"/>
                      <w:szCs w:val="18"/>
                    </w:rPr>
                    <w:t>相符</w:t>
                  </w:r>
                </w:p>
              </w:tc>
            </w:tr>
            <w:tr w14:paraId="0DF3AB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tcBorders>
                    <w:top w:val="nil"/>
                    <w:left w:val="nil"/>
                    <w:bottom w:val="single" w:color="auto" w:sz="4" w:space="0"/>
                    <w:right w:val="single" w:color="auto" w:sz="4" w:space="0"/>
                  </w:tcBorders>
                  <w:vAlign w:val="center"/>
                </w:tcPr>
                <w:p w14:paraId="7E453A4A">
                  <w:pPr>
                    <w:adjustRightInd w:val="0"/>
                    <w:snapToGrid w:val="0"/>
                    <w:rPr>
                      <w:rFonts w:hint="eastAsia" w:ascii="宋体" w:hAnsi="宋体" w:cs="宋体"/>
                      <w:color w:val="auto"/>
                      <w:sz w:val="18"/>
                      <w:szCs w:val="18"/>
                    </w:rPr>
                  </w:pPr>
                </w:p>
              </w:tc>
              <w:tc>
                <w:tcPr>
                  <w:tcW w:w="2587" w:type="pct"/>
                  <w:gridSpan w:val="2"/>
                  <w:tcBorders>
                    <w:top w:val="single" w:color="auto" w:sz="4" w:space="0"/>
                    <w:left w:val="nil"/>
                    <w:bottom w:val="single" w:color="auto" w:sz="4" w:space="0"/>
                    <w:right w:val="single" w:color="auto" w:sz="4" w:space="0"/>
                  </w:tcBorders>
                  <w:vAlign w:val="center"/>
                </w:tcPr>
                <w:p w14:paraId="31F68E37">
                  <w:pPr>
                    <w:pStyle w:val="125"/>
                    <w:adjustRightInd w:val="0"/>
                    <w:snapToGrid w:val="0"/>
                    <w:jc w:val="both"/>
                    <w:rPr>
                      <w:rFonts w:hint="eastAsia" w:ascii="宋体" w:hAnsi="宋体" w:cs="宋体"/>
                      <w:color w:val="auto"/>
                      <w:sz w:val="18"/>
                      <w:szCs w:val="18"/>
                    </w:rPr>
                  </w:pPr>
                  <w:r>
                    <w:rPr>
                      <w:rFonts w:hint="eastAsia" w:ascii="宋体" w:hAnsi="宋体" w:cs="宋体"/>
                      <w:color w:val="auto"/>
                      <w:sz w:val="18"/>
                      <w:szCs w:val="18"/>
                    </w:rPr>
                    <w:t>3、不得在城市主次干道两侧、居民居住区露天烧烤。</w:t>
                  </w:r>
                </w:p>
                <w:p w14:paraId="04C2D05D">
                  <w:pPr>
                    <w:pStyle w:val="125"/>
                    <w:adjustRightInd w:val="0"/>
                    <w:snapToGrid w:val="0"/>
                    <w:jc w:val="both"/>
                    <w:rPr>
                      <w:rFonts w:hint="eastAsia" w:ascii="宋体" w:hAnsi="宋体" w:cs="宋体"/>
                      <w:color w:val="auto"/>
                      <w:sz w:val="18"/>
                      <w:szCs w:val="18"/>
                    </w:rPr>
                  </w:pPr>
                  <w:r>
                    <w:rPr>
                      <w:rFonts w:hint="eastAsia" w:ascii="宋体" w:hAnsi="宋体" w:cs="宋体"/>
                      <w:color w:val="auto"/>
                      <w:sz w:val="18"/>
                      <w:szCs w:val="18"/>
                    </w:rPr>
                    <w:t>不得在优先保护类耕地集中区域新建有色金属冶炼、石油加工、化工、焦化、电镀、制革等行业企业。</w:t>
                  </w:r>
                </w:p>
                <w:p w14:paraId="7E234CF3">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不得在居民区、学校、医疗和养老机构等周边新建有色金属冶炼、焦化等行业企业。</w:t>
                  </w:r>
                </w:p>
              </w:tc>
              <w:tc>
                <w:tcPr>
                  <w:tcW w:w="1565" w:type="pct"/>
                  <w:tcBorders>
                    <w:top w:val="single" w:color="auto" w:sz="4" w:space="0"/>
                    <w:left w:val="single" w:color="auto" w:sz="4" w:space="0"/>
                    <w:bottom w:val="single" w:color="auto" w:sz="4" w:space="0"/>
                    <w:right w:val="single" w:color="auto" w:sz="4" w:space="0"/>
                  </w:tcBorders>
                  <w:vAlign w:val="center"/>
                </w:tcPr>
                <w:p w14:paraId="59A7BCA0">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项目不属于有色金属冶炼、石油加工、化工、焦化、电镀、制革等行业</w:t>
                  </w:r>
                </w:p>
              </w:tc>
              <w:tc>
                <w:tcPr>
                  <w:tcW w:w="409" w:type="pct"/>
                  <w:tcBorders>
                    <w:top w:val="single" w:color="auto" w:sz="4" w:space="0"/>
                    <w:left w:val="single" w:color="auto" w:sz="4" w:space="0"/>
                    <w:bottom w:val="single" w:color="auto" w:sz="4" w:space="0"/>
                    <w:right w:val="nil"/>
                  </w:tcBorders>
                  <w:vAlign w:val="center"/>
                </w:tcPr>
                <w:p w14:paraId="640466A9">
                  <w:pPr>
                    <w:pStyle w:val="125"/>
                    <w:adjustRightInd w:val="0"/>
                    <w:snapToGrid w:val="0"/>
                    <w:rPr>
                      <w:rFonts w:hint="eastAsia" w:ascii="宋体" w:hAnsi="宋体" w:cs="宋体"/>
                      <w:color w:val="auto"/>
                      <w:sz w:val="18"/>
                      <w:szCs w:val="18"/>
                    </w:rPr>
                  </w:pPr>
                  <w:r>
                    <w:rPr>
                      <w:rFonts w:hint="eastAsia" w:ascii="宋体" w:hAnsi="宋体" w:cs="宋体"/>
                      <w:color w:val="auto"/>
                      <w:kern w:val="2"/>
                      <w:sz w:val="18"/>
                      <w:szCs w:val="18"/>
                    </w:rPr>
                    <w:t>相符</w:t>
                  </w:r>
                </w:p>
              </w:tc>
            </w:tr>
            <w:tr w14:paraId="31DE9C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tcBorders>
                    <w:top w:val="nil"/>
                    <w:left w:val="nil"/>
                    <w:bottom w:val="single" w:color="auto" w:sz="4" w:space="0"/>
                    <w:right w:val="single" w:color="auto" w:sz="4" w:space="0"/>
                  </w:tcBorders>
                  <w:vAlign w:val="center"/>
                </w:tcPr>
                <w:p w14:paraId="46E7198E">
                  <w:pPr>
                    <w:adjustRightInd w:val="0"/>
                    <w:snapToGrid w:val="0"/>
                    <w:rPr>
                      <w:rFonts w:hint="eastAsia" w:ascii="宋体" w:hAnsi="宋体" w:cs="宋体"/>
                      <w:color w:val="auto"/>
                      <w:sz w:val="18"/>
                      <w:szCs w:val="18"/>
                    </w:rPr>
                  </w:pPr>
                </w:p>
              </w:tc>
              <w:tc>
                <w:tcPr>
                  <w:tcW w:w="2587" w:type="pct"/>
                  <w:gridSpan w:val="2"/>
                  <w:tcBorders>
                    <w:top w:val="single" w:color="auto" w:sz="4" w:space="0"/>
                    <w:left w:val="nil"/>
                    <w:bottom w:val="single" w:color="auto" w:sz="4" w:space="0"/>
                    <w:right w:val="single" w:color="auto" w:sz="4" w:space="0"/>
                  </w:tcBorders>
                  <w:vAlign w:val="center"/>
                </w:tcPr>
                <w:p w14:paraId="011F1F2B">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4、入区企业需符合本次规划用地性质和南通市“三线一单”的管控要求。</w:t>
                  </w:r>
                </w:p>
              </w:tc>
              <w:tc>
                <w:tcPr>
                  <w:tcW w:w="1565" w:type="pct"/>
                  <w:tcBorders>
                    <w:top w:val="single" w:color="auto" w:sz="4" w:space="0"/>
                    <w:left w:val="single" w:color="auto" w:sz="4" w:space="0"/>
                    <w:bottom w:val="single" w:color="auto" w:sz="4" w:space="0"/>
                    <w:right w:val="single" w:color="auto" w:sz="4" w:space="0"/>
                  </w:tcBorders>
                  <w:vAlign w:val="center"/>
                </w:tcPr>
                <w:p w14:paraId="48FC974C">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本项目符合规划用地性质和南通市“三线一单”的管控要求。</w:t>
                  </w:r>
                </w:p>
              </w:tc>
              <w:tc>
                <w:tcPr>
                  <w:tcW w:w="409" w:type="pct"/>
                  <w:tcBorders>
                    <w:top w:val="single" w:color="auto" w:sz="4" w:space="0"/>
                    <w:left w:val="single" w:color="auto" w:sz="4" w:space="0"/>
                    <w:bottom w:val="single" w:color="auto" w:sz="4" w:space="0"/>
                    <w:right w:val="nil"/>
                  </w:tcBorders>
                  <w:vAlign w:val="center"/>
                </w:tcPr>
                <w:p w14:paraId="52ACF14F">
                  <w:pPr>
                    <w:pStyle w:val="125"/>
                    <w:adjustRightInd w:val="0"/>
                    <w:snapToGrid w:val="0"/>
                    <w:rPr>
                      <w:rFonts w:hint="eastAsia" w:ascii="宋体" w:hAnsi="宋体" w:cs="宋体"/>
                      <w:color w:val="auto"/>
                      <w:sz w:val="18"/>
                      <w:szCs w:val="18"/>
                    </w:rPr>
                  </w:pPr>
                  <w:r>
                    <w:rPr>
                      <w:rFonts w:hint="eastAsia" w:ascii="宋体" w:hAnsi="宋体" w:cs="宋体"/>
                      <w:color w:val="auto"/>
                      <w:kern w:val="2"/>
                      <w:sz w:val="18"/>
                      <w:szCs w:val="18"/>
                    </w:rPr>
                    <w:t>相符</w:t>
                  </w:r>
                </w:p>
              </w:tc>
            </w:tr>
            <w:tr w14:paraId="2FBDB1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tcBorders>
                    <w:top w:val="nil"/>
                    <w:left w:val="nil"/>
                    <w:bottom w:val="single" w:color="auto" w:sz="4" w:space="0"/>
                    <w:right w:val="single" w:color="auto" w:sz="4" w:space="0"/>
                  </w:tcBorders>
                  <w:vAlign w:val="center"/>
                </w:tcPr>
                <w:p w14:paraId="29EF35C4">
                  <w:pPr>
                    <w:adjustRightInd w:val="0"/>
                    <w:snapToGrid w:val="0"/>
                    <w:rPr>
                      <w:rFonts w:hint="eastAsia" w:ascii="宋体" w:hAnsi="宋体" w:cs="宋体"/>
                      <w:color w:val="auto"/>
                      <w:sz w:val="18"/>
                      <w:szCs w:val="18"/>
                    </w:rPr>
                  </w:pPr>
                </w:p>
              </w:tc>
              <w:tc>
                <w:tcPr>
                  <w:tcW w:w="867" w:type="pct"/>
                  <w:tcBorders>
                    <w:top w:val="single" w:color="auto" w:sz="4" w:space="0"/>
                    <w:left w:val="nil"/>
                    <w:bottom w:val="single" w:color="auto" w:sz="4" w:space="0"/>
                    <w:right w:val="single" w:color="auto" w:sz="4" w:space="0"/>
                  </w:tcBorders>
                  <w:vAlign w:val="center"/>
                </w:tcPr>
                <w:p w14:paraId="1080CAAB">
                  <w:pPr>
                    <w:pStyle w:val="125"/>
                    <w:adjustRightInd w:val="0"/>
                    <w:snapToGrid w:val="0"/>
                    <w:rPr>
                      <w:rFonts w:hint="eastAsia" w:ascii="宋体" w:hAnsi="宋体" w:cs="宋体"/>
                      <w:color w:val="auto"/>
                      <w:sz w:val="18"/>
                      <w:szCs w:val="18"/>
                    </w:rPr>
                  </w:pPr>
                  <w:r>
                    <w:rPr>
                      <w:rFonts w:hint="eastAsia" w:ascii="宋体" w:hAnsi="宋体" w:cs="宋体"/>
                      <w:color w:val="auto"/>
                      <w:kern w:val="2"/>
                      <w:sz w:val="18"/>
                      <w:szCs w:val="18"/>
                    </w:rPr>
                    <w:t>装备制造业</w:t>
                  </w:r>
                </w:p>
              </w:tc>
              <w:tc>
                <w:tcPr>
                  <w:tcW w:w="1720" w:type="pct"/>
                  <w:vMerge w:val="restart"/>
                  <w:tcBorders>
                    <w:top w:val="single" w:color="auto" w:sz="4" w:space="0"/>
                    <w:left w:val="nil"/>
                    <w:bottom w:val="single" w:color="auto" w:sz="4" w:space="0"/>
                    <w:right w:val="single" w:color="auto" w:sz="4" w:space="0"/>
                  </w:tcBorders>
                  <w:vAlign w:val="center"/>
                </w:tcPr>
                <w:p w14:paraId="625728C8">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居住区附近的工业用地布设污染性小的工业企业，与规划的居住区之间设置不低于50米的空间隔离带；同时建设项目根据环评要求设立相应的卫生防护距离。</w:t>
                  </w:r>
                </w:p>
              </w:tc>
              <w:tc>
                <w:tcPr>
                  <w:tcW w:w="1565" w:type="pct"/>
                  <w:vMerge w:val="restart"/>
                  <w:tcBorders>
                    <w:top w:val="single" w:color="auto" w:sz="4" w:space="0"/>
                    <w:left w:val="single" w:color="auto" w:sz="4" w:space="0"/>
                    <w:right w:val="single" w:color="auto" w:sz="4" w:space="0"/>
                  </w:tcBorders>
                  <w:vAlign w:val="center"/>
                </w:tcPr>
                <w:p w14:paraId="77C780FB">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本项目距最近居民为52米</w:t>
                  </w:r>
                </w:p>
              </w:tc>
              <w:tc>
                <w:tcPr>
                  <w:tcW w:w="409" w:type="pct"/>
                  <w:vMerge w:val="restart"/>
                  <w:tcBorders>
                    <w:top w:val="single" w:color="auto" w:sz="4" w:space="0"/>
                    <w:left w:val="single" w:color="auto" w:sz="4" w:space="0"/>
                    <w:right w:val="nil"/>
                  </w:tcBorders>
                  <w:vAlign w:val="center"/>
                </w:tcPr>
                <w:p w14:paraId="67D99317">
                  <w:pPr>
                    <w:pStyle w:val="125"/>
                    <w:adjustRightInd w:val="0"/>
                    <w:snapToGrid w:val="0"/>
                    <w:rPr>
                      <w:rFonts w:hint="eastAsia" w:ascii="宋体" w:hAnsi="宋体" w:cs="宋体"/>
                      <w:color w:val="auto"/>
                      <w:sz w:val="18"/>
                      <w:szCs w:val="18"/>
                    </w:rPr>
                  </w:pPr>
                  <w:r>
                    <w:rPr>
                      <w:rFonts w:hint="eastAsia" w:ascii="宋体" w:hAnsi="宋体" w:cs="宋体"/>
                      <w:color w:val="auto"/>
                      <w:kern w:val="2"/>
                      <w:sz w:val="18"/>
                      <w:szCs w:val="18"/>
                    </w:rPr>
                    <w:t>相符</w:t>
                  </w:r>
                </w:p>
              </w:tc>
            </w:tr>
            <w:tr w14:paraId="5F0E9E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tcBorders>
                    <w:top w:val="nil"/>
                    <w:left w:val="nil"/>
                    <w:bottom w:val="single" w:color="auto" w:sz="4" w:space="0"/>
                    <w:right w:val="single" w:color="auto" w:sz="4" w:space="0"/>
                  </w:tcBorders>
                  <w:vAlign w:val="center"/>
                </w:tcPr>
                <w:p w14:paraId="112CEB3D">
                  <w:pPr>
                    <w:adjustRightInd w:val="0"/>
                    <w:snapToGrid w:val="0"/>
                    <w:rPr>
                      <w:rFonts w:hint="eastAsia" w:ascii="宋体" w:hAnsi="宋体" w:cs="宋体"/>
                      <w:color w:val="auto"/>
                      <w:sz w:val="18"/>
                      <w:szCs w:val="18"/>
                    </w:rPr>
                  </w:pPr>
                </w:p>
              </w:tc>
              <w:tc>
                <w:tcPr>
                  <w:tcW w:w="867" w:type="pct"/>
                  <w:tcBorders>
                    <w:top w:val="single" w:color="auto" w:sz="4" w:space="0"/>
                    <w:left w:val="nil"/>
                    <w:bottom w:val="single" w:color="auto" w:sz="4" w:space="0"/>
                    <w:right w:val="single" w:color="auto" w:sz="4" w:space="0"/>
                  </w:tcBorders>
                  <w:vAlign w:val="center"/>
                </w:tcPr>
                <w:p w14:paraId="2FAA3347">
                  <w:pPr>
                    <w:pStyle w:val="125"/>
                    <w:adjustRightInd w:val="0"/>
                    <w:snapToGrid w:val="0"/>
                    <w:rPr>
                      <w:rFonts w:hint="eastAsia" w:ascii="宋体" w:hAnsi="宋体" w:cs="宋体"/>
                      <w:color w:val="auto"/>
                      <w:sz w:val="18"/>
                      <w:szCs w:val="18"/>
                    </w:rPr>
                  </w:pPr>
                  <w:r>
                    <w:rPr>
                      <w:rFonts w:hint="eastAsia" w:ascii="宋体" w:hAnsi="宋体" w:cs="宋体"/>
                      <w:color w:val="auto"/>
                      <w:kern w:val="2"/>
                      <w:sz w:val="18"/>
                      <w:szCs w:val="18"/>
                    </w:rPr>
                    <w:t>橡胶和塑料制品业</w:t>
                  </w:r>
                </w:p>
              </w:tc>
              <w:tc>
                <w:tcPr>
                  <w:tcW w:w="1720" w:type="pct"/>
                  <w:vMerge w:val="continue"/>
                  <w:tcBorders>
                    <w:top w:val="single" w:color="auto" w:sz="4" w:space="0"/>
                    <w:left w:val="nil"/>
                    <w:bottom w:val="single" w:color="auto" w:sz="4" w:space="0"/>
                    <w:right w:val="single" w:color="auto" w:sz="4" w:space="0"/>
                  </w:tcBorders>
                  <w:vAlign w:val="center"/>
                </w:tcPr>
                <w:p w14:paraId="7C8DA608">
                  <w:pPr>
                    <w:adjustRightInd w:val="0"/>
                    <w:snapToGrid w:val="0"/>
                    <w:rPr>
                      <w:rFonts w:hint="eastAsia" w:ascii="宋体" w:hAnsi="宋体" w:cs="宋体"/>
                      <w:color w:val="auto"/>
                      <w:sz w:val="18"/>
                      <w:szCs w:val="18"/>
                    </w:rPr>
                  </w:pPr>
                </w:p>
              </w:tc>
              <w:tc>
                <w:tcPr>
                  <w:tcW w:w="1565" w:type="pct"/>
                  <w:vMerge w:val="continue"/>
                  <w:tcBorders>
                    <w:left w:val="single" w:color="auto" w:sz="4" w:space="0"/>
                    <w:right w:val="single" w:color="auto" w:sz="4" w:space="0"/>
                  </w:tcBorders>
                  <w:vAlign w:val="center"/>
                </w:tcPr>
                <w:p w14:paraId="4134D854">
                  <w:pPr>
                    <w:adjustRightInd w:val="0"/>
                    <w:snapToGrid w:val="0"/>
                    <w:rPr>
                      <w:rFonts w:hint="eastAsia" w:ascii="宋体" w:hAnsi="宋体" w:cs="宋体"/>
                      <w:color w:val="auto"/>
                      <w:sz w:val="18"/>
                      <w:szCs w:val="18"/>
                    </w:rPr>
                  </w:pPr>
                </w:p>
              </w:tc>
              <w:tc>
                <w:tcPr>
                  <w:tcW w:w="409" w:type="pct"/>
                  <w:vMerge w:val="continue"/>
                  <w:tcBorders>
                    <w:left w:val="single" w:color="auto" w:sz="4" w:space="0"/>
                    <w:right w:val="nil"/>
                  </w:tcBorders>
                  <w:vAlign w:val="center"/>
                </w:tcPr>
                <w:p w14:paraId="281B1296">
                  <w:pPr>
                    <w:adjustRightInd w:val="0"/>
                    <w:snapToGrid w:val="0"/>
                    <w:jc w:val="center"/>
                    <w:rPr>
                      <w:rFonts w:hint="eastAsia" w:ascii="宋体" w:hAnsi="宋体" w:cs="宋体"/>
                      <w:color w:val="auto"/>
                      <w:sz w:val="18"/>
                      <w:szCs w:val="18"/>
                    </w:rPr>
                  </w:pPr>
                </w:p>
              </w:tc>
            </w:tr>
            <w:tr w14:paraId="0BA46E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tcBorders>
                    <w:top w:val="nil"/>
                    <w:left w:val="nil"/>
                    <w:bottom w:val="single" w:color="auto" w:sz="4" w:space="0"/>
                    <w:right w:val="single" w:color="auto" w:sz="4" w:space="0"/>
                  </w:tcBorders>
                  <w:vAlign w:val="center"/>
                </w:tcPr>
                <w:p w14:paraId="62ED2C92">
                  <w:pPr>
                    <w:adjustRightInd w:val="0"/>
                    <w:snapToGrid w:val="0"/>
                    <w:rPr>
                      <w:rFonts w:hint="eastAsia" w:ascii="宋体" w:hAnsi="宋体" w:cs="宋体"/>
                      <w:color w:val="auto"/>
                      <w:sz w:val="18"/>
                      <w:szCs w:val="18"/>
                    </w:rPr>
                  </w:pPr>
                </w:p>
              </w:tc>
              <w:tc>
                <w:tcPr>
                  <w:tcW w:w="867" w:type="pct"/>
                  <w:tcBorders>
                    <w:top w:val="single" w:color="auto" w:sz="4" w:space="0"/>
                    <w:left w:val="nil"/>
                    <w:bottom w:val="single" w:color="auto" w:sz="4" w:space="0"/>
                    <w:right w:val="single" w:color="auto" w:sz="4" w:space="0"/>
                  </w:tcBorders>
                  <w:vAlign w:val="center"/>
                </w:tcPr>
                <w:p w14:paraId="0596084F">
                  <w:pPr>
                    <w:pStyle w:val="125"/>
                    <w:adjustRightInd w:val="0"/>
                    <w:snapToGrid w:val="0"/>
                    <w:rPr>
                      <w:rFonts w:hint="eastAsia" w:ascii="宋体" w:hAnsi="宋体" w:cs="宋体"/>
                      <w:color w:val="auto"/>
                      <w:sz w:val="18"/>
                      <w:szCs w:val="18"/>
                    </w:rPr>
                  </w:pPr>
                  <w:r>
                    <w:rPr>
                      <w:rFonts w:hint="eastAsia" w:ascii="宋体" w:hAnsi="宋体" w:cs="宋体"/>
                      <w:color w:val="auto"/>
                      <w:kern w:val="2"/>
                      <w:sz w:val="18"/>
                      <w:szCs w:val="18"/>
                    </w:rPr>
                    <w:t>建材业</w:t>
                  </w:r>
                </w:p>
              </w:tc>
              <w:tc>
                <w:tcPr>
                  <w:tcW w:w="1720" w:type="pct"/>
                  <w:vMerge w:val="continue"/>
                  <w:tcBorders>
                    <w:top w:val="single" w:color="auto" w:sz="4" w:space="0"/>
                    <w:left w:val="nil"/>
                    <w:bottom w:val="single" w:color="auto" w:sz="4" w:space="0"/>
                    <w:right w:val="single" w:color="auto" w:sz="4" w:space="0"/>
                  </w:tcBorders>
                  <w:vAlign w:val="center"/>
                </w:tcPr>
                <w:p w14:paraId="2ADAFA49">
                  <w:pPr>
                    <w:adjustRightInd w:val="0"/>
                    <w:snapToGrid w:val="0"/>
                    <w:rPr>
                      <w:rFonts w:hint="eastAsia" w:ascii="宋体" w:hAnsi="宋体" w:cs="宋体"/>
                      <w:color w:val="auto"/>
                      <w:sz w:val="18"/>
                      <w:szCs w:val="18"/>
                    </w:rPr>
                  </w:pPr>
                </w:p>
              </w:tc>
              <w:tc>
                <w:tcPr>
                  <w:tcW w:w="1565" w:type="pct"/>
                  <w:vMerge w:val="continue"/>
                  <w:tcBorders>
                    <w:left w:val="single" w:color="auto" w:sz="4" w:space="0"/>
                    <w:bottom w:val="single" w:color="auto" w:sz="4" w:space="0"/>
                    <w:right w:val="single" w:color="auto" w:sz="4" w:space="0"/>
                  </w:tcBorders>
                  <w:vAlign w:val="center"/>
                </w:tcPr>
                <w:p w14:paraId="74AEBB47">
                  <w:pPr>
                    <w:adjustRightInd w:val="0"/>
                    <w:snapToGrid w:val="0"/>
                    <w:rPr>
                      <w:rFonts w:hint="eastAsia" w:ascii="宋体" w:hAnsi="宋体" w:cs="宋体"/>
                      <w:color w:val="auto"/>
                      <w:sz w:val="18"/>
                      <w:szCs w:val="18"/>
                    </w:rPr>
                  </w:pPr>
                </w:p>
              </w:tc>
              <w:tc>
                <w:tcPr>
                  <w:tcW w:w="409" w:type="pct"/>
                  <w:vMerge w:val="continue"/>
                  <w:tcBorders>
                    <w:left w:val="single" w:color="auto" w:sz="4" w:space="0"/>
                    <w:bottom w:val="single" w:color="auto" w:sz="4" w:space="0"/>
                    <w:right w:val="nil"/>
                  </w:tcBorders>
                  <w:vAlign w:val="center"/>
                </w:tcPr>
                <w:p w14:paraId="5B8FC019">
                  <w:pPr>
                    <w:adjustRightInd w:val="0"/>
                    <w:snapToGrid w:val="0"/>
                    <w:jc w:val="center"/>
                    <w:rPr>
                      <w:rFonts w:hint="eastAsia" w:ascii="宋体" w:hAnsi="宋体" w:cs="宋体"/>
                      <w:color w:val="auto"/>
                      <w:sz w:val="18"/>
                      <w:szCs w:val="18"/>
                    </w:rPr>
                  </w:pPr>
                </w:p>
              </w:tc>
            </w:tr>
            <w:tr w14:paraId="3C8B60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restart"/>
                  <w:tcBorders>
                    <w:top w:val="nil"/>
                    <w:left w:val="nil"/>
                    <w:bottom w:val="single" w:color="auto" w:sz="4" w:space="0"/>
                    <w:right w:val="single" w:color="auto" w:sz="4" w:space="0"/>
                  </w:tcBorders>
                  <w:vAlign w:val="center"/>
                </w:tcPr>
                <w:p w14:paraId="3DB49A2F">
                  <w:pPr>
                    <w:pStyle w:val="125"/>
                    <w:adjustRightInd w:val="0"/>
                    <w:snapToGrid w:val="0"/>
                    <w:rPr>
                      <w:rFonts w:hint="eastAsia" w:ascii="宋体" w:hAnsi="宋体" w:cs="宋体"/>
                      <w:color w:val="auto"/>
                      <w:sz w:val="18"/>
                      <w:szCs w:val="18"/>
                    </w:rPr>
                  </w:pPr>
                  <w:bookmarkStart w:id="5" w:name="_Hlk145960606"/>
                  <w:r>
                    <w:rPr>
                      <w:rFonts w:hint="eastAsia" w:ascii="宋体" w:hAnsi="宋体" w:cs="宋体"/>
                      <w:color w:val="auto"/>
                      <w:sz w:val="18"/>
                      <w:szCs w:val="18"/>
                    </w:rPr>
                    <w:t>污染物排放管控</w:t>
                  </w:r>
                  <w:bookmarkEnd w:id="5"/>
                </w:p>
              </w:tc>
              <w:tc>
                <w:tcPr>
                  <w:tcW w:w="2587" w:type="pct"/>
                  <w:gridSpan w:val="2"/>
                  <w:tcBorders>
                    <w:top w:val="single" w:color="auto" w:sz="4" w:space="0"/>
                    <w:left w:val="nil"/>
                    <w:bottom w:val="single" w:color="auto" w:sz="4" w:space="0"/>
                    <w:right w:val="single" w:color="auto" w:sz="4" w:space="0"/>
                  </w:tcBorders>
                  <w:vAlign w:val="center"/>
                </w:tcPr>
                <w:p w14:paraId="7123D879">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新增排放二氧化硫、氮氧化物、烟粉尘、挥发性有机物、COD、氨氮、总氮、总磷的项目根据上级要求和相关文件进行削减替代。</w:t>
                  </w:r>
                </w:p>
                <w:p w14:paraId="652074E5">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新建项目禁止配套建设自备燃煤电站。</w:t>
                  </w:r>
                </w:p>
                <w:p w14:paraId="2A3B2E1A">
                  <w:pPr>
                    <w:pStyle w:val="125"/>
                    <w:adjustRightInd w:val="0"/>
                    <w:snapToGrid w:val="0"/>
                    <w:jc w:val="both"/>
                    <w:rPr>
                      <w:rFonts w:hint="eastAsia" w:ascii="宋体" w:hAnsi="宋体" w:cs="宋体"/>
                      <w:color w:val="auto"/>
                      <w:sz w:val="18"/>
                      <w:szCs w:val="18"/>
                    </w:rPr>
                  </w:pPr>
                  <w:r>
                    <w:rPr>
                      <w:rFonts w:hint="eastAsia" w:ascii="宋体" w:hAnsi="宋体" w:cs="宋体"/>
                      <w:color w:val="auto"/>
                      <w:sz w:val="18"/>
                      <w:szCs w:val="18"/>
                    </w:rPr>
                    <w:t>禁止新建燃煤锅炉，新增锅炉和工业炉窑使用天然气或轻质柴油燃料；新增锅炉位于天然气管道敷设范围内的项目需以天然气为燃料。</w:t>
                  </w:r>
                </w:p>
              </w:tc>
              <w:tc>
                <w:tcPr>
                  <w:tcW w:w="1565" w:type="pct"/>
                  <w:tcBorders>
                    <w:top w:val="single" w:color="auto" w:sz="4" w:space="0"/>
                    <w:left w:val="single" w:color="auto" w:sz="4" w:space="0"/>
                    <w:bottom w:val="single" w:color="auto" w:sz="4" w:space="0"/>
                    <w:right w:val="single" w:color="auto" w:sz="4" w:space="0"/>
                  </w:tcBorders>
                  <w:vAlign w:val="center"/>
                </w:tcPr>
                <w:p w14:paraId="5765D852">
                  <w:pPr>
                    <w:pStyle w:val="125"/>
                    <w:adjustRightInd w:val="0"/>
                    <w:snapToGrid w:val="0"/>
                    <w:jc w:val="both"/>
                    <w:rPr>
                      <w:rFonts w:hint="eastAsia" w:ascii="宋体" w:hAnsi="宋体" w:cs="宋体"/>
                      <w:color w:val="auto"/>
                      <w:sz w:val="18"/>
                      <w:szCs w:val="18"/>
                    </w:rPr>
                  </w:pPr>
                  <w:r>
                    <w:rPr>
                      <w:rFonts w:hint="eastAsia" w:ascii="宋体" w:hAnsi="宋体" w:cs="宋体"/>
                      <w:color w:val="auto"/>
                      <w:sz w:val="18"/>
                      <w:szCs w:val="18"/>
                    </w:rPr>
                    <w:t>项目新增的挥发性有机物在区域内平衡；项目不涉及自备燃煤电站、锅炉和工业炉窑。</w:t>
                  </w:r>
                </w:p>
              </w:tc>
              <w:tc>
                <w:tcPr>
                  <w:tcW w:w="409" w:type="pct"/>
                  <w:tcBorders>
                    <w:top w:val="single" w:color="auto" w:sz="4" w:space="0"/>
                    <w:left w:val="single" w:color="auto" w:sz="4" w:space="0"/>
                    <w:bottom w:val="single" w:color="auto" w:sz="4" w:space="0"/>
                    <w:right w:val="nil"/>
                  </w:tcBorders>
                  <w:vAlign w:val="center"/>
                </w:tcPr>
                <w:p w14:paraId="305BC2A0">
                  <w:pPr>
                    <w:pStyle w:val="125"/>
                    <w:adjustRightInd w:val="0"/>
                    <w:snapToGrid w:val="0"/>
                    <w:rPr>
                      <w:rFonts w:hint="eastAsia" w:ascii="宋体" w:hAnsi="宋体" w:cs="宋体"/>
                      <w:color w:val="auto"/>
                      <w:sz w:val="18"/>
                      <w:szCs w:val="18"/>
                    </w:rPr>
                  </w:pPr>
                  <w:r>
                    <w:rPr>
                      <w:rFonts w:hint="eastAsia" w:ascii="宋体" w:hAnsi="宋体" w:cs="宋体"/>
                      <w:color w:val="auto"/>
                      <w:kern w:val="2"/>
                      <w:sz w:val="18"/>
                      <w:szCs w:val="18"/>
                    </w:rPr>
                    <w:t>相符</w:t>
                  </w:r>
                </w:p>
              </w:tc>
            </w:tr>
            <w:tr w14:paraId="358ACB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tcBorders>
                    <w:top w:val="nil"/>
                    <w:left w:val="nil"/>
                    <w:bottom w:val="single" w:color="auto" w:sz="4" w:space="0"/>
                    <w:right w:val="single" w:color="auto" w:sz="4" w:space="0"/>
                  </w:tcBorders>
                  <w:vAlign w:val="center"/>
                </w:tcPr>
                <w:p w14:paraId="61D893B1">
                  <w:pPr>
                    <w:adjustRightInd w:val="0"/>
                    <w:snapToGrid w:val="0"/>
                    <w:rPr>
                      <w:rFonts w:hint="eastAsia" w:ascii="宋体" w:hAnsi="宋体" w:cs="宋体"/>
                      <w:color w:val="auto"/>
                      <w:sz w:val="18"/>
                      <w:szCs w:val="18"/>
                    </w:rPr>
                  </w:pPr>
                </w:p>
              </w:tc>
              <w:tc>
                <w:tcPr>
                  <w:tcW w:w="2587" w:type="pct"/>
                  <w:gridSpan w:val="2"/>
                  <w:tcBorders>
                    <w:top w:val="single" w:color="auto" w:sz="4" w:space="0"/>
                    <w:left w:val="nil"/>
                    <w:bottom w:val="single" w:color="auto" w:sz="4" w:space="0"/>
                    <w:right w:val="single" w:color="auto" w:sz="4" w:space="0"/>
                  </w:tcBorders>
                  <w:vAlign w:val="center"/>
                </w:tcPr>
                <w:p w14:paraId="15488AB1">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4、①大气环境质量达到《环境空气质量标准》二级标准、《环境影响评价技术导则 大气环境》（HJ2.2-2018）附录D其他污染物空气质量浓度参考限值等。②北凌河、丁堡河、曹丁河等达到《地表水环境质量标准》（GB3838-2002）Ⅲ类水标准。③土壤达到《土壤环境质量建设用地土壤污染风险管控标准》（GB36600-2018）筛选值中的第一类、第二类用地标准和《土壤环境质量 农用地土壤污染风险管控标准》（GB15618-2018）筛选值标准。</w:t>
                  </w:r>
                </w:p>
              </w:tc>
              <w:tc>
                <w:tcPr>
                  <w:tcW w:w="1565" w:type="pct"/>
                  <w:vMerge w:val="restart"/>
                  <w:tcBorders>
                    <w:top w:val="single" w:color="auto" w:sz="4" w:space="0"/>
                    <w:left w:val="single" w:color="auto" w:sz="4" w:space="0"/>
                    <w:right w:val="single" w:color="auto" w:sz="4" w:space="0"/>
                  </w:tcBorders>
                  <w:vAlign w:val="center"/>
                </w:tcPr>
                <w:p w14:paraId="4C85D16D">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根据《南通市生态环境状况公报》（2024年），该区域属于大气环境质量达标区。北凌河、丁堡河、曹丁河等达到《地表水环境质量标准》（GB3838-2002）Ⅲ类水标准。土壤达到《土壤环境质量建设用地土壤污染风险管控标准》（GB36600-2018）筛选值中的第一类、第二类用地标准和《土壤环境质量 农用地土壤污染风险管控标准》（GB15618-2018）筛选值标准。本项目新增的废气在区域内平衡，生活污水经化粪池预处理后</w:t>
                  </w:r>
                  <w:r>
                    <w:rPr>
                      <w:rFonts w:hint="eastAsia" w:ascii="宋体" w:hAnsi="宋体" w:cs="宋体"/>
                      <w:color w:val="auto"/>
                      <w:sz w:val="18"/>
                      <w:szCs w:val="18"/>
                      <w:lang w:eastAsia="zh-CN"/>
                    </w:rPr>
                    <w:t>、</w:t>
                  </w:r>
                  <w:r>
                    <w:rPr>
                      <w:rFonts w:hint="eastAsia" w:ascii="宋体" w:hAnsi="宋体" w:cs="宋体"/>
                      <w:color w:val="auto"/>
                      <w:sz w:val="18"/>
                      <w:szCs w:val="18"/>
                      <w:lang w:val="en-US" w:eastAsia="zh-CN"/>
                    </w:rPr>
                    <w:t>后道清洗废水经厂区污水处理设施预处理后</w:t>
                  </w:r>
                  <w:r>
                    <w:rPr>
                      <w:rFonts w:hint="eastAsia" w:ascii="宋体" w:hAnsi="宋体" w:cs="宋体"/>
                      <w:color w:val="auto"/>
                      <w:sz w:val="18"/>
                      <w:szCs w:val="18"/>
                    </w:rPr>
                    <w:t>经市政污水管网排入海安李堡滇池水务有限公司集中处理。</w:t>
                  </w:r>
                </w:p>
              </w:tc>
              <w:tc>
                <w:tcPr>
                  <w:tcW w:w="409" w:type="pct"/>
                  <w:tcBorders>
                    <w:top w:val="single" w:color="auto" w:sz="4" w:space="0"/>
                    <w:left w:val="single" w:color="auto" w:sz="4" w:space="0"/>
                    <w:bottom w:val="single" w:color="auto" w:sz="4" w:space="0"/>
                    <w:right w:val="nil"/>
                  </w:tcBorders>
                  <w:vAlign w:val="center"/>
                </w:tcPr>
                <w:p w14:paraId="3D160E3B">
                  <w:pPr>
                    <w:pStyle w:val="125"/>
                    <w:adjustRightInd w:val="0"/>
                    <w:snapToGrid w:val="0"/>
                    <w:rPr>
                      <w:rFonts w:hint="eastAsia" w:ascii="宋体" w:hAnsi="宋体" w:cs="宋体"/>
                      <w:color w:val="auto"/>
                      <w:sz w:val="18"/>
                      <w:szCs w:val="18"/>
                    </w:rPr>
                  </w:pPr>
                  <w:r>
                    <w:rPr>
                      <w:rFonts w:hint="eastAsia" w:ascii="宋体" w:hAnsi="宋体" w:cs="宋体"/>
                      <w:color w:val="auto"/>
                      <w:kern w:val="2"/>
                      <w:sz w:val="18"/>
                      <w:szCs w:val="18"/>
                    </w:rPr>
                    <w:t>相符</w:t>
                  </w:r>
                </w:p>
              </w:tc>
            </w:tr>
            <w:tr w14:paraId="1FFC5D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tcBorders>
                    <w:top w:val="nil"/>
                    <w:left w:val="nil"/>
                    <w:bottom w:val="single" w:color="auto" w:sz="4" w:space="0"/>
                    <w:right w:val="single" w:color="auto" w:sz="4" w:space="0"/>
                  </w:tcBorders>
                  <w:vAlign w:val="center"/>
                </w:tcPr>
                <w:p w14:paraId="6D415C1D">
                  <w:pPr>
                    <w:adjustRightInd w:val="0"/>
                    <w:snapToGrid w:val="0"/>
                    <w:rPr>
                      <w:rFonts w:hint="eastAsia" w:ascii="宋体" w:hAnsi="宋体" w:cs="宋体"/>
                      <w:color w:val="auto"/>
                      <w:sz w:val="18"/>
                      <w:szCs w:val="18"/>
                    </w:rPr>
                  </w:pPr>
                </w:p>
              </w:tc>
              <w:tc>
                <w:tcPr>
                  <w:tcW w:w="2587" w:type="pct"/>
                  <w:gridSpan w:val="2"/>
                  <w:tcBorders>
                    <w:top w:val="single" w:color="auto" w:sz="4" w:space="0"/>
                    <w:left w:val="nil"/>
                    <w:bottom w:val="single" w:color="auto" w:sz="4" w:space="0"/>
                    <w:right w:val="single" w:color="auto" w:sz="4" w:space="0"/>
                  </w:tcBorders>
                  <w:vAlign w:val="center"/>
                </w:tcPr>
                <w:p w14:paraId="56506622">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5、规划区大气污染物排放量：二氧化硫小于12.0311吨/年，氮氧化物小于17.3648吨/年，颗粒物排放量小于71.7265吨/年，VOCs（以非甲烷总烃计）排放量小于23.491吨/年。水污染物排放量：化学需氧量小于14.4吨/年，氨氮小于1.44吨/年，总磷小于0.144吨/年。</w:t>
                  </w:r>
                </w:p>
              </w:tc>
              <w:tc>
                <w:tcPr>
                  <w:tcW w:w="1565" w:type="pct"/>
                  <w:vMerge w:val="continue"/>
                  <w:tcBorders>
                    <w:left w:val="single" w:color="auto" w:sz="4" w:space="0"/>
                    <w:bottom w:val="single" w:color="auto" w:sz="4" w:space="0"/>
                    <w:right w:val="single" w:color="auto" w:sz="4" w:space="0"/>
                  </w:tcBorders>
                  <w:vAlign w:val="center"/>
                </w:tcPr>
                <w:p w14:paraId="6FA83C02">
                  <w:pPr>
                    <w:pStyle w:val="125"/>
                    <w:adjustRightInd w:val="0"/>
                    <w:snapToGrid w:val="0"/>
                    <w:jc w:val="left"/>
                    <w:rPr>
                      <w:rFonts w:hint="eastAsia" w:ascii="宋体" w:hAnsi="宋体" w:cs="宋体"/>
                      <w:color w:val="auto"/>
                      <w:sz w:val="18"/>
                      <w:szCs w:val="18"/>
                    </w:rPr>
                  </w:pPr>
                </w:p>
              </w:tc>
              <w:tc>
                <w:tcPr>
                  <w:tcW w:w="409" w:type="pct"/>
                  <w:tcBorders>
                    <w:top w:val="single" w:color="auto" w:sz="4" w:space="0"/>
                    <w:left w:val="single" w:color="auto" w:sz="4" w:space="0"/>
                    <w:bottom w:val="single" w:color="auto" w:sz="4" w:space="0"/>
                    <w:right w:val="nil"/>
                  </w:tcBorders>
                  <w:vAlign w:val="center"/>
                </w:tcPr>
                <w:p w14:paraId="34C9DCD0">
                  <w:pPr>
                    <w:pStyle w:val="125"/>
                    <w:adjustRightInd w:val="0"/>
                    <w:snapToGrid w:val="0"/>
                    <w:rPr>
                      <w:rFonts w:hint="eastAsia" w:ascii="宋体" w:hAnsi="宋体" w:cs="宋体"/>
                      <w:color w:val="auto"/>
                      <w:sz w:val="18"/>
                      <w:szCs w:val="18"/>
                    </w:rPr>
                  </w:pPr>
                  <w:r>
                    <w:rPr>
                      <w:rFonts w:hint="eastAsia" w:ascii="宋体" w:hAnsi="宋体" w:cs="宋体"/>
                      <w:color w:val="auto"/>
                      <w:kern w:val="2"/>
                      <w:sz w:val="18"/>
                      <w:szCs w:val="18"/>
                    </w:rPr>
                    <w:t>相符</w:t>
                  </w:r>
                </w:p>
              </w:tc>
            </w:tr>
            <w:tr w14:paraId="06FE29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tcBorders>
                    <w:top w:val="nil"/>
                    <w:left w:val="nil"/>
                    <w:bottom w:val="single" w:color="auto" w:sz="4" w:space="0"/>
                    <w:right w:val="single" w:color="auto" w:sz="4" w:space="0"/>
                  </w:tcBorders>
                  <w:vAlign w:val="center"/>
                </w:tcPr>
                <w:p w14:paraId="4F212B8F">
                  <w:pPr>
                    <w:adjustRightInd w:val="0"/>
                    <w:snapToGrid w:val="0"/>
                    <w:rPr>
                      <w:rFonts w:hint="eastAsia" w:ascii="宋体" w:hAnsi="宋体" w:cs="宋体"/>
                      <w:color w:val="auto"/>
                      <w:sz w:val="18"/>
                      <w:szCs w:val="18"/>
                    </w:rPr>
                  </w:pPr>
                </w:p>
              </w:tc>
              <w:tc>
                <w:tcPr>
                  <w:tcW w:w="2587" w:type="pct"/>
                  <w:gridSpan w:val="2"/>
                  <w:tcBorders>
                    <w:top w:val="single" w:color="auto" w:sz="4" w:space="0"/>
                    <w:left w:val="nil"/>
                    <w:bottom w:val="single" w:color="auto" w:sz="4" w:space="0"/>
                    <w:right w:val="single" w:color="auto" w:sz="4" w:space="0"/>
                  </w:tcBorders>
                  <w:vAlign w:val="center"/>
                </w:tcPr>
                <w:p w14:paraId="1AFC9840">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6、新建项目中有行业标准的执行相应行业标准，无行业标准的执行《大气污染物综合排放标准》（DB32/4041-2021）表1和表2 标准要求，恶臭气体排放执行《恶臭污染物排放标准》（GB14554-93）二级标准。区域内自建锅炉执行《锅炉大气污染物排放标准》（GB13271-2014）表3中规定的大气污染物特别排放限值（燃气锅炉NOx达到50mg/m</w:t>
                  </w:r>
                  <w:r>
                    <w:rPr>
                      <w:rFonts w:hint="eastAsia" w:ascii="宋体" w:hAnsi="宋体" w:cs="宋体"/>
                      <w:color w:val="auto"/>
                      <w:sz w:val="18"/>
                      <w:szCs w:val="18"/>
                      <w:vertAlign w:val="superscript"/>
                    </w:rPr>
                    <w:t>3</w:t>
                  </w:r>
                  <w:r>
                    <w:rPr>
                      <w:rFonts w:hint="eastAsia" w:ascii="宋体" w:hAnsi="宋体" w:cs="宋体"/>
                      <w:color w:val="auto"/>
                      <w:sz w:val="18"/>
                      <w:szCs w:val="18"/>
                    </w:rPr>
                    <w:t>以下）。</w:t>
                  </w:r>
                </w:p>
                <w:p w14:paraId="41FF3D90">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7、现有燃气锅炉应全部实现低氮燃烧改造。</w:t>
                  </w:r>
                </w:p>
                <w:p w14:paraId="2939A707">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8、产生氟化物的企业必须配套氟化物有组织收集和处理设施，减少氟化物的排放。</w:t>
                  </w:r>
                </w:p>
              </w:tc>
              <w:tc>
                <w:tcPr>
                  <w:tcW w:w="1565" w:type="pct"/>
                  <w:tcBorders>
                    <w:top w:val="single" w:color="auto" w:sz="4" w:space="0"/>
                    <w:left w:val="single" w:color="auto" w:sz="4" w:space="0"/>
                    <w:bottom w:val="single" w:color="auto" w:sz="4" w:space="0"/>
                    <w:right w:val="single" w:color="auto" w:sz="4" w:space="0"/>
                  </w:tcBorders>
                  <w:vAlign w:val="center"/>
                </w:tcPr>
                <w:p w14:paraId="6D87BE46">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项目废气执行《大气污染物综合排放标准》（DB32/4041-2021）表1和表2 标准要求，恶臭气体排放执行《恶臭污染物排放标准》（GB14554-93）二级标准。项目不涉及锅炉，不产生氟化物。</w:t>
                  </w:r>
                </w:p>
              </w:tc>
              <w:tc>
                <w:tcPr>
                  <w:tcW w:w="409" w:type="pct"/>
                  <w:tcBorders>
                    <w:top w:val="single" w:color="auto" w:sz="4" w:space="0"/>
                    <w:left w:val="single" w:color="auto" w:sz="4" w:space="0"/>
                    <w:bottom w:val="single" w:color="auto" w:sz="4" w:space="0"/>
                    <w:right w:val="nil"/>
                  </w:tcBorders>
                  <w:vAlign w:val="center"/>
                </w:tcPr>
                <w:p w14:paraId="6EC57177">
                  <w:pPr>
                    <w:pStyle w:val="125"/>
                    <w:adjustRightInd w:val="0"/>
                    <w:snapToGrid w:val="0"/>
                    <w:rPr>
                      <w:rFonts w:hint="eastAsia" w:ascii="宋体" w:hAnsi="宋体" w:cs="宋体"/>
                      <w:color w:val="auto"/>
                      <w:sz w:val="18"/>
                      <w:szCs w:val="18"/>
                    </w:rPr>
                  </w:pPr>
                  <w:r>
                    <w:rPr>
                      <w:rFonts w:hint="eastAsia" w:ascii="宋体" w:hAnsi="宋体" w:cs="宋体"/>
                      <w:color w:val="auto"/>
                      <w:kern w:val="2"/>
                      <w:sz w:val="18"/>
                      <w:szCs w:val="18"/>
                    </w:rPr>
                    <w:t>相符</w:t>
                  </w:r>
                </w:p>
              </w:tc>
            </w:tr>
            <w:tr w14:paraId="6E0365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restart"/>
                  <w:tcBorders>
                    <w:top w:val="single" w:color="auto" w:sz="4" w:space="0"/>
                    <w:left w:val="nil"/>
                    <w:bottom w:val="single" w:color="auto" w:sz="4" w:space="0"/>
                    <w:right w:val="single" w:color="auto" w:sz="4" w:space="0"/>
                  </w:tcBorders>
                  <w:vAlign w:val="center"/>
                </w:tcPr>
                <w:p w14:paraId="3C93B22B">
                  <w:pPr>
                    <w:pStyle w:val="125"/>
                    <w:adjustRightInd w:val="0"/>
                    <w:snapToGrid w:val="0"/>
                    <w:rPr>
                      <w:rFonts w:hint="eastAsia" w:ascii="宋体" w:hAnsi="宋体" w:cs="宋体"/>
                      <w:color w:val="auto"/>
                      <w:sz w:val="18"/>
                      <w:szCs w:val="18"/>
                    </w:rPr>
                  </w:pPr>
                  <w:r>
                    <w:rPr>
                      <w:rFonts w:hint="eastAsia" w:ascii="宋体" w:hAnsi="宋体" w:cs="宋体"/>
                      <w:color w:val="auto"/>
                      <w:sz w:val="18"/>
                      <w:szCs w:val="18"/>
                    </w:rPr>
                    <w:t>环境风险防控</w:t>
                  </w:r>
                </w:p>
              </w:tc>
              <w:tc>
                <w:tcPr>
                  <w:tcW w:w="2587" w:type="pct"/>
                  <w:gridSpan w:val="2"/>
                  <w:tcBorders>
                    <w:top w:val="single" w:color="auto" w:sz="4" w:space="0"/>
                    <w:left w:val="nil"/>
                    <w:bottom w:val="single" w:color="auto" w:sz="4" w:space="0"/>
                    <w:right w:val="single" w:color="auto" w:sz="4" w:space="0"/>
                  </w:tcBorders>
                  <w:vAlign w:val="center"/>
                </w:tcPr>
                <w:p w14:paraId="4C068207">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1、规划产业涉及到的主要危险物质有</w:t>
                  </w:r>
                  <w:r>
                    <w:rPr>
                      <w:rFonts w:hint="eastAsia" w:ascii="宋体" w:hAnsi="宋体" w:cs="宋体"/>
                      <w:color w:val="auto"/>
                      <w:kern w:val="28"/>
                      <w:sz w:val="18"/>
                      <w:szCs w:val="18"/>
                    </w:rPr>
                    <w:t>硫酸、硝酸、二甲苯</w:t>
                  </w:r>
                  <w:r>
                    <w:rPr>
                      <w:rFonts w:hint="eastAsia" w:ascii="宋体" w:hAnsi="宋体" w:cs="宋体"/>
                      <w:color w:val="auto"/>
                      <w:sz w:val="18"/>
                      <w:szCs w:val="18"/>
                    </w:rPr>
                    <w:t>等。李堡镇和企业编制环境风险应急预案，对重点风险源编制环境风险评估报告。</w:t>
                  </w:r>
                </w:p>
              </w:tc>
              <w:tc>
                <w:tcPr>
                  <w:tcW w:w="1565" w:type="pct"/>
                  <w:tcBorders>
                    <w:top w:val="single" w:color="auto" w:sz="4" w:space="0"/>
                    <w:left w:val="single" w:color="auto" w:sz="4" w:space="0"/>
                    <w:bottom w:val="single" w:color="auto" w:sz="4" w:space="0"/>
                    <w:right w:val="single" w:color="auto" w:sz="4" w:space="0"/>
                  </w:tcBorders>
                  <w:vAlign w:val="center"/>
                </w:tcPr>
                <w:p w14:paraId="0FB5C2E3">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项目实施后将编制突发环境事件应急预案，对各类环境风险进行有效防控。</w:t>
                  </w:r>
                </w:p>
              </w:tc>
              <w:tc>
                <w:tcPr>
                  <w:tcW w:w="409" w:type="pct"/>
                  <w:tcBorders>
                    <w:top w:val="single" w:color="auto" w:sz="4" w:space="0"/>
                    <w:left w:val="single" w:color="auto" w:sz="4" w:space="0"/>
                    <w:bottom w:val="single" w:color="auto" w:sz="4" w:space="0"/>
                    <w:right w:val="nil"/>
                  </w:tcBorders>
                  <w:vAlign w:val="center"/>
                </w:tcPr>
                <w:p w14:paraId="73C264CE">
                  <w:pPr>
                    <w:pStyle w:val="125"/>
                    <w:adjustRightInd w:val="0"/>
                    <w:snapToGrid w:val="0"/>
                    <w:rPr>
                      <w:rFonts w:hint="eastAsia" w:ascii="宋体" w:hAnsi="宋体" w:cs="宋体"/>
                      <w:color w:val="auto"/>
                      <w:sz w:val="18"/>
                      <w:szCs w:val="18"/>
                    </w:rPr>
                  </w:pPr>
                  <w:r>
                    <w:rPr>
                      <w:rFonts w:hint="eastAsia" w:ascii="宋体" w:hAnsi="宋体" w:cs="宋体"/>
                      <w:color w:val="auto"/>
                      <w:kern w:val="2"/>
                      <w:sz w:val="18"/>
                      <w:szCs w:val="18"/>
                    </w:rPr>
                    <w:t>相符</w:t>
                  </w:r>
                </w:p>
              </w:tc>
            </w:tr>
            <w:tr w14:paraId="04DAAA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tcBorders>
                    <w:top w:val="single" w:color="auto" w:sz="4" w:space="0"/>
                    <w:left w:val="nil"/>
                    <w:bottom w:val="single" w:color="auto" w:sz="4" w:space="0"/>
                    <w:right w:val="single" w:color="auto" w:sz="4" w:space="0"/>
                  </w:tcBorders>
                  <w:vAlign w:val="center"/>
                </w:tcPr>
                <w:p w14:paraId="69B1478A">
                  <w:pPr>
                    <w:adjustRightInd w:val="0"/>
                    <w:snapToGrid w:val="0"/>
                    <w:rPr>
                      <w:rFonts w:hint="eastAsia" w:ascii="宋体" w:hAnsi="宋体" w:cs="宋体"/>
                      <w:color w:val="auto"/>
                      <w:sz w:val="18"/>
                      <w:szCs w:val="18"/>
                    </w:rPr>
                  </w:pPr>
                </w:p>
              </w:tc>
              <w:tc>
                <w:tcPr>
                  <w:tcW w:w="2587" w:type="pct"/>
                  <w:gridSpan w:val="2"/>
                  <w:tcBorders>
                    <w:top w:val="single" w:color="auto" w:sz="4" w:space="0"/>
                    <w:left w:val="nil"/>
                    <w:bottom w:val="single" w:color="auto" w:sz="4" w:space="0"/>
                    <w:right w:val="single" w:color="auto" w:sz="4" w:space="0"/>
                  </w:tcBorders>
                  <w:vAlign w:val="center"/>
                </w:tcPr>
                <w:p w14:paraId="5112AD64">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2、生产、存储危险化学品及产生大量废水的企业，应配套有效措施，防止因渗漏污染地下水、土壤，以及因事故废水直排污染地表水体。</w:t>
                  </w:r>
                </w:p>
                <w:p w14:paraId="4909A85F">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产生、利用或处置固体废物（含危险废物）的企业，在贮存、转移、利用、处置固体废物（含危险废物）过程中，应配套防扬散、防流失、防渗漏及其他防止污染环境的措施。</w:t>
                  </w:r>
                </w:p>
              </w:tc>
              <w:tc>
                <w:tcPr>
                  <w:tcW w:w="1565" w:type="pct"/>
                  <w:tcBorders>
                    <w:top w:val="single" w:color="auto" w:sz="4" w:space="0"/>
                    <w:left w:val="single" w:color="auto" w:sz="4" w:space="0"/>
                    <w:bottom w:val="single" w:color="auto" w:sz="4" w:space="0"/>
                    <w:right w:val="single" w:color="auto" w:sz="4" w:space="0"/>
                  </w:tcBorders>
                  <w:vAlign w:val="center"/>
                </w:tcPr>
                <w:p w14:paraId="34BD9AAF">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项目配套有效措施，防止因渗漏污染地下水、土壤，以及因事故废水直排污染地表水体。项目在贮存、转移、利用、处置固体废物（含危险废物）过程中，配套防扬散、防流失、防渗漏及其他防止污染环境的措施。</w:t>
                  </w:r>
                </w:p>
              </w:tc>
              <w:tc>
                <w:tcPr>
                  <w:tcW w:w="409" w:type="pct"/>
                  <w:tcBorders>
                    <w:top w:val="single" w:color="auto" w:sz="4" w:space="0"/>
                    <w:left w:val="single" w:color="auto" w:sz="4" w:space="0"/>
                    <w:bottom w:val="single" w:color="auto" w:sz="4" w:space="0"/>
                    <w:right w:val="nil"/>
                  </w:tcBorders>
                  <w:vAlign w:val="center"/>
                </w:tcPr>
                <w:p w14:paraId="519D1521">
                  <w:pPr>
                    <w:pStyle w:val="125"/>
                    <w:adjustRightInd w:val="0"/>
                    <w:snapToGrid w:val="0"/>
                    <w:rPr>
                      <w:rFonts w:hint="eastAsia" w:ascii="宋体" w:hAnsi="宋体" w:cs="宋体"/>
                      <w:color w:val="auto"/>
                      <w:sz w:val="18"/>
                      <w:szCs w:val="18"/>
                    </w:rPr>
                  </w:pPr>
                  <w:r>
                    <w:rPr>
                      <w:rFonts w:hint="eastAsia" w:ascii="宋体" w:hAnsi="宋体" w:cs="宋体"/>
                      <w:color w:val="auto"/>
                      <w:kern w:val="2"/>
                      <w:sz w:val="18"/>
                      <w:szCs w:val="18"/>
                    </w:rPr>
                    <w:t>相符</w:t>
                  </w:r>
                </w:p>
              </w:tc>
            </w:tr>
            <w:tr w14:paraId="3A3352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tcBorders>
                    <w:top w:val="single" w:color="auto" w:sz="4" w:space="0"/>
                    <w:left w:val="nil"/>
                    <w:bottom w:val="single" w:color="auto" w:sz="4" w:space="0"/>
                    <w:right w:val="single" w:color="auto" w:sz="4" w:space="0"/>
                  </w:tcBorders>
                  <w:vAlign w:val="center"/>
                </w:tcPr>
                <w:p w14:paraId="083532F8">
                  <w:pPr>
                    <w:adjustRightInd w:val="0"/>
                    <w:snapToGrid w:val="0"/>
                    <w:rPr>
                      <w:rFonts w:hint="eastAsia" w:ascii="宋体" w:hAnsi="宋体" w:cs="宋体"/>
                      <w:color w:val="auto"/>
                      <w:sz w:val="18"/>
                      <w:szCs w:val="18"/>
                    </w:rPr>
                  </w:pPr>
                </w:p>
              </w:tc>
              <w:tc>
                <w:tcPr>
                  <w:tcW w:w="2587" w:type="pct"/>
                  <w:gridSpan w:val="2"/>
                  <w:tcBorders>
                    <w:top w:val="single" w:color="auto" w:sz="4" w:space="0"/>
                    <w:left w:val="nil"/>
                    <w:bottom w:val="single" w:color="auto" w:sz="4" w:space="0"/>
                    <w:right w:val="single" w:color="auto" w:sz="4" w:space="0"/>
                  </w:tcBorders>
                  <w:vAlign w:val="center"/>
                </w:tcPr>
                <w:p w14:paraId="0F5920A4">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3、布局管控，规划区内部的功能布局应充分考虑风险源对区内及周边环境的影响，储罐区应远离供水水源保护区、村镇集中区、区内人群聚集的办公楼、周边村庄及河流，且应在规划区的下风向布局，以减少对其他项目的影响；不同企业风险源之间应尽量远离，防止其中某一风险源发生风险事故引起其他风险源爆发带来的连锁反应，降低风险事故发生的范围。</w:t>
                  </w:r>
                </w:p>
              </w:tc>
              <w:tc>
                <w:tcPr>
                  <w:tcW w:w="1565" w:type="pct"/>
                  <w:tcBorders>
                    <w:top w:val="single" w:color="auto" w:sz="4" w:space="0"/>
                    <w:left w:val="single" w:color="auto" w:sz="4" w:space="0"/>
                    <w:bottom w:val="single" w:color="auto" w:sz="4" w:space="0"/>
                    <w:right w:val="single" w:color="auto" w:sz="4" w:space="0"/>
                  </w:tcBorders>
                  <w:vAlign w:val="center"/>
                </w:tcPr>
                <w:p w14:paraId="1E955CFF">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规划区内部的功能布局应充分考虑风险源对区内及周边环境的影响，项目不涉及储罐。</w:t>
                  </w:r>
                </w:p>
              </w:tc>
              <w:tc>
                <w:tcPr>
                  <w:tcW w:w="409" w:type="pct"/>
                  <w:tcBorders>
                    <w:top w:val="single" w:color="auto" w:sz="4" w:space="0"/>
                    <w:left w:val="single" w:color="auto" w:sz="4" w:space="0"/>
                    <w:bottom w:val="single" w:color="auto" w:sz="4" w:space="0"/>
                    <w:right w:val="nil"/>
                  </w:tcBorders>
                  <w:vAlign w:val="center"/>
                </w:tcPr>
                <w:p w14:paraId="53EA73A8">
                  <w:pPr>
                    <w:pStyle w:val="125"/>
                    <w:adjustRightInd w:val="0"/>
                    <w:snapToGrid w:val="0"/>
                    <w:rPr>
                      <w:rFonts w:hint="eastAsia" w:ascii="宋体" w:hAnsi="宋体" w:cs="宋体"/>
                      <w:color w:val="auto"/>
                      <w:sz w:val="18"/>
                      <w:szCs w:val="18"/>
                    </w:rPr>
                  </w:pPr>
                  <w:r>
                    <w:rPr>
                      <w:rFonts w:hint="eastAsia" w:ascii="宋体" w:hAnsi="宋体" w:cs="宋体"/>
                      <w:color w:val="auto"/>
                      <w:kern w:val="2"/>
                      <w:sz w:val="18"/>
                      <w:szCs w:val="18"/>
                    </w:rPr>
                    <w:t>相符</w:t>
                  </w:r>
                </w:p>
              </w:tc>
            </w:tr>
            <w:tr w14:paraId="6050B4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tcBorders>
                    <w:top w:val="single" w:color="auto" w:sz="4" w:space="0"/>
                    <w:left w:val="nil"/>
                    <w:bottom w:val="single" w:color="auto" w:sz="4" w:space="0"/>
                    <w:right w:val="single" w:color="auto" w:sz="4" w:space="0"/>
                  </w:tcBorders>
                  <w:vAlign w:val="center"/>
                </w:tcPr>
                <w:p w14:paraId="423AFDB5">
                  <w:pPr>
                    <w:adjustRightInd w:val="0"/>
                    <w:snapToGrid w:val="0"/>
                    <w:rPr>
                      <w:rFonts w:hint="eastAsia" w:ascii="宋体" w:hAnsi="宋体" w:cs="宋体"/>
                      <w:color w:val="auto"/>
                      <w:sz w:val="18"/>
                      <w:szCs w:val="18"/>
                    </w:rPr>
                  </w:pPr>
                </w:p>
              </w:tc>
              <w:tc>
                <w:tcPr>
                  <w:tcW w:w="2587" w:type="pct"/>
                  <w:gridSpan w:val="2"/>
                  <w:tcBorders>
                    <w:top w:val="single" w:color="auto" w:sz="4" w:space="0"/>
                    <w:left w:val="nil"/>
                    <w:bottom w:val="single" w:color="auto" w:sz="4" w:space="0"/>
                    <w:right w:val="single" w:color="auto" w:sz="4" w:space="0"/>
                  </w:tcBorders>
                  <w:vAlign w:val="center"/>
                </w:tcPr>
                <w:p w14:paraId="2B61E111">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4、做好围护与警示标识。罐区按相关要求设置围堰、围护拦杆区，设置危险区、安全区，采取红线、黄线和安全线进行区分；《储罐区防火设计规范》的有关规定，在原料罐区、中间罐区、成品罐区应设置防火堤和防火隔堤，远离火种、热源，并设置防日晒的固定式冷却水喷雾系统。</w:t>
                  </w:r>
                </w:p>
              </w:tc>
              <w:tc>
                <w:tcPr>
                  <w:tcW w:w="1565" w:type="pct"/>
                  <w:tcBorders>
                    <w:top w:val="single" w:color="auto" w:sz="4" w:space="0"/>
                    <w:left w:val="single" w:color="auto" w:sz="4" w:space="0"/>
                    <w:bottom w:val="single" w:color="auto" w:sz="4" w:space="0"/>
                    <w:right w:val="single" w:color="auto" w:sz="4" w:space="0"/>
                  </w:tcBorders>
                  <w:vAlign w:val="center"/>
                </w:tcPr>
                <w:p w14:paraId="462C9A9A">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项目不涉及储罐。</w:t>
                  </w:r>
                </w:p>
              </w:tc>
              <w:tc>
                <w:tcPr>
                  <w:tcW w:w="409" w:type="pct"/>
                  <w:tcBorders>
                    <w:top w:val="single" w:color="auto" w:sz="4" w:space="0"/>
                    <w:left w:val="single" w:color="auto" w:sz="4" w:space="0"/>
                    <w:bottom w:val="single" w:color="auto" w:sz="4" w:space="0"/>
                    <w:right w:val="nil"/>
                  </w:tcBorders>
                  <w:vAlign w:val="center"/>
                </w:tcPr>
                <w:p w14:paraId="6CF7B98C">
                  <w:pPr>
                    <w:pStyle w:val="125"/>
                    <w:adjustRightInd w:val="0"/>
                    <w:snapToGrid w:val="0"/>
                    <w:rPr>
                      <w:rFonts w:hint="eastAsia" w:ascii="宋体" w:hAnsi="宋体" w:cs="宋体"/>
                      <w:color w:val="auto"/>
                      <w:sz w:val="18"/>
                      <w:szCs w:val="18"/>
                    </w:rPr>
                  </w:pPr>
                  <w:r>
                    <w:rPr>
                      <w:rFonts w:hint="eastAsia" w:ascii="宋体" w:hAnsi="宋体" w:cs="宋体"/>
                      <w:color w:val="auto"/>
                      <w:kern w:val="2"/>
                      <w:sz w:val="18"/>
                      <w:szCs w:val="18"/>
                    </w:rPr>
                    <w:t>相符</w:t>
                  </w:r>
                </w:p>
              </w:tc>
            </w:tr>
            <w:tr w14:paraId="2148E8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tcBorders>
                    <w:top w:val="single" w:color="auto" w:sz="4" w:space="0"/>
                    <w:left w:val="nil"/>
                    <w:bottom w:val="single" w:color="auto" w:sz="4" w:space="0"/>
                    <w:right w:val="single" w:color="auto" w:sz="4" w:space="0"/>
                  </w:tcBorders>
                  <w:vAlign w:val="center"/>
                </w:tcPr>
                <w:p w14:paraId="32EE02FB">
                  <w:pPr>
                    <w:adjustRightInd w:val="0"/>
                    <w:snapToGrid w:val="0"/>
                    <w:rPr>
                      <w:rFonts w:hint="eastAsia" w:ascii="宋体" w:hAnsi="宋体" w:cs="宋体"/>
                      <w:color w:val="auto"/>
                      <w:sz w:val="18"/>
                      <w:szCs w:val="18"/>
                    </w:rPr>
                  </w:pPr>
                </w:p>
              </w:tc>
              <w:tc>
                <w:tcPr>
                  <w:tcW w:w="2587" w:type="pct"/>
                  <w:gridSpan w:val="2"/>
                  <w:tcBorders>
                    <w:top w:val="single" w:color="auto" w:sz="4" w:space="0"/>
                    <w:left w:val="nil"/>
                    <w:bottom w:val="single" w:color="auto" w:sz="4" w:space="0"/>
                    <w:right w:val="single" w:color="auto" w:sz="4" w:space="0"/>
                  </w:tcBorders>
                  <w:vAlign w:val="center"/>
                </w:tcPr>
                <w:p w14:paraId="7AB16DAF">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5、废水泄漏安全防范。尽量增加可能发生液体泄漏或者火灾事故的罐区围堰面积，尽可能将灌区事故下产生的废水控制在罐区围堰内，降低事故状态下废水转移，输送的风险。合理设置应急事故池。根据污水产生、排放、存放特点，划分污染防治区，提出和落实不同区域面防渗方案，企业内部重点做好生产装置区、罐区、废水事故池及输水管道的防渗工作。</w:t>
                  </w:r>
                </w:p>
              </w:tc>
              <w:tc>
                <w:tcPr>
                  <w:tcW w:w="1565" w:type="pct"/>
                  <w:tcBorders>
                    <w:top w:val="single" w:color="auto" w:sz="4" w:space="0"/>
                    <w:left w:val="single" w:color="auto" w:sz="4" w:space="0"/>
                    <w:bottom w:val="single" w:color="auto" w:sz="4" w:space="0"/>
                    <w:right w:val="single" w:color="auto" w:sz="4" w:space="0"/>
                  </w:tcBorders>
                  <w:vAlign w:val="center"/>
                </w:tcPr>
                <w:p w14:paraId="72414EF6">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项目不涉及罐区，合理设置了应急事故池。根据污水产生、排放、存放特点，划分污染防治区，提出和落实不同区域面防渗方案，企业内部重点做好了废水事故池及输水管道的防渗工作。</w:t>
                  </w:r>
                </w:p>
              </w:tc>
              <w:tc>
                <w:tcPr>
                  <w:tcW w:w="409" w:type="pct"/>
                  <w:tcBorders>
                    <w:top w:val="single" w:color="auto" w:sz="4" w:space="0"/>
                    <w:left w:val="single" w:color="auto" w:sz="4" w:space="0"/>
                    <w:bottom w:val="single" w:color="auto" w:sz="4" w:space="0"/>
                    <w:right w:val="nil"/>
                  </w:tcBorders>
                  <w:vAlign w:val="center"/>
                </w:tcPr>
                <w:p w14:paraId="56228FAF">
                  <w:pPr>
                    <w:pStyle w:val="125"/>
                    <w:adjustRightInd w:val="0"/>
                    <w:snapToGrid w:val="0"/>
                    <w:rPr>
                      <w:rFonts w:hint="eastAsia" w:ascii="宋体" w:hAnsi="宋体" w:cs="宋体"/>
                      <w:color w:val="auto"/>
                      <w:sz w:val="18"/>
                      <w:szCs w:val="18"/>
                    </w:rPr>
                  </w:pPr>
                  <w:r>
                    <w:rPr>
                      <w:rFonts w:hint="eastAsia" w:ascii="宋体" w:hAnsi="宋体" w:cs="宋体"/>
                      <w:color w:val="auto"/>
                      <w:kern w:val="2"/>
                      <w:sz w:val="18"/>
                      <w:szCs w:val="18"/>
                    </w:rPr>
                    <w:t>相符</w:t>
                  </w:r>
                </w:p>
              </w:tc>
            </w:tr>
            <w:tr w14:paraId="3266F5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tcBorders>
                    <w:top w:val="single" w:color="auto" w:sz="4" w:space="0"/>
                    <w:left w:val="nil"/>
                    <w:bottom w:val="single" w:color="auto" w:sz="4" w:space="0"/>
                    <w:right w:val="single" w:color="auto" w:sz="4" w:space="0"/>
                  </w:tcBorders>
                  <w:vAlign w:val="center"/>
                </w:tcPr>
                <w:p w14:paraId="5CCE82A7">
                  <w:pPr>
                    <w:adjustRightInd w:val="0"/>
                    <w:snapToGrid w:val="0"/>
                    <w:rPr>
                      <w:rFonts w:hint="eastAsia" w:ascii="宋体" w:hAnsi="宋体" w:cs="宋体"/>
                      <w:color w:val="auto"/>
                      <w:sz w:val="18"/>
                      <w:szCs w:val="18"/>
                    </w:rPr>
                  </w:pPr>
                </w:p>
              </w:tc>
              <w:tc>
                <w:tcPr>
                  <w:tcW w:w="2587" w:type="pct"/>
                  <w:gridSpan w:val="2"/>
                  <w:tcBorders>
                    <w:top w:val="single" w:color="auto" w:sz="4" w:space="0"/>
                    <w:left w:val="nil"/>
                    <w:bottom w:val="single" w:color="auto" w:sz="4" w:space="0"/>
                    <w:right w:val="single" w:color="auto" w:sz="4" w:space="0"/>
                  </w:tcBorders>
                  <w:vAlign w:val="center"/>
                </w:tcPr>
                <w:p w14:paraId="6E0F41EB">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6、对建设用地污染风险重点管控区内关闭搬迁、拟变更土地利用方式和土地使用权人的重点行业企业用地，由土地使用权人负责开展土壤环境状况调查评估。暂不开发利用或现阶段不具备治理与修复条件的污染地块，实施以防止污染扩散为目的的风险管控。</w:t>
                  </w:r>
                </w:p>
                <w:p w14:paraId="0D6A1B50">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已污染地块，应当依法开展土壤污染状况调查、治理与修复，符合相应规划用地土壤环境质量要求后，方可进入用地程序。</w:t>
                  </w:r>
                </w:p>
              </w:tc>
              <w:tc>
                <w:tcPr>
                  <w:tcW w:w="1565" w:type="pct"/>
                  <w:tcBorders>
                    <w:top w:val="single" w:color="auto" w:sz="4" w:space="0"/>
                    <w:left w:val="single" w:color="auto" w:sz="4" w:space="0"/>
                    <w:bottom w:val="single" w:color="auto" w:sz="4" w:space="0"/>
                    <w:right w:val="single" w:color="auto" w:sz="4" w:space="0"/>
                  </w:tcBorders>
                  <w:vAlign w:val="center"/>
                </w:tcPr>
                <w:p w14:paraId="1B37AC7F">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项目不涉及。</w:t>
                  </w:r>
                </w:p>
              </w:tc>
              <w:tc>
                <w:tcPr>
                  <w:tcW w:w="409" w:type="pct"/>
                  <w:tcBorders>
                    <w:top w:val="single" w:color="auto" w:sz="4" w:space="0"/>
                    <w:left w:val="single" w:color="auto" w:sz="4" w:space="0"/>
                    <w:bottom w:val="single" w:color="auto" w:sz="4" w:space="0"/>
                    <w:right w:val="nil"/>
                  </w:tcBorders>
                  <w:vAlign w:val="center"/>
                </w:tcPr>
                <w:p w14:paraId="2BC6066B">
                  <w:pPr>
                    <w:pStyle w:val="125"/>
                    <w:adjustRightInd w:val="0"/>
                    <w:snapToGrid w:val="0"/>
                    <w:rPr>
                      <w:rFonts w:hint="eastAsia" w:ascii="宋体" w:hAnsi="宋体" w:cs="宋体"/>
                      <w:color w:val="auto"/>
                      <w:sz w:val="18"/>
                      <w:szCs w:val="18"/>
                    </w:rPr>
                  </w:pPr>
                  <w:r>
                    <w:rPr>
                      <w:rFonts w:hint="eastAsia" w:ascii="宋体" w:hAnsi="宋体" w:cs="宋体"/>
                      <w:color w:val="auto"/>
                      <w:kern w:val="2"/>
                      <w:sz w:val="18"/>
                      <w:szCs w:val="18"/>
                    </w:rPr>
                    <w:t>相符</w:t>
                  </w:r>
                </w:p>
              </w:tc>
            </w:tr>
            <w:tr w14:paraId="622068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tcBorders>
                    <w:top w:val="single" w:color="auto" w:sz="4" w:space="0"/>
                    <w:left w:val="nil"/>
                    <w:bottom w:val="single" w:color="auto" w:sz="4" w:space="0"/>
                    <w:right w:val="single" w:color="auto" w:sz="4" w:space="0"/>
                  </w:tcBorders>
                  <w:vAlign w:val="center"/>
                </w:tcPr>
                <w:p w14:paraId="5B3E83D6">
                  <w:pPr>
                    <w:adjustRightInd w:val="0"/>
                    <w:snapToGrid w:val="0"/>
                    <w:rPr>
                      <w:rFonts w:hint="eastAsia" w:ascii="宋体" w:hAnsi="宋体" w:cs="宋体"/>
                      <w:color w:val="auto"/>
                      <w:sz w:val="18"/>
                      <w:szCs w:val="18"/>
                    </w:rPr>
                  </w:pPr>
                </w:p>
              </w:tc>
              <w:tc>
                <w:tcPr>
                  <w:tcW w:w="2587" w:type="pct"/>
                  <w:gridSpan w:val="2"/>
                  <w:tcBorders>
                    <w:top w:val="single" w:color="auto" w:sz="4" w:space="0"/>
                    <w:left w:val="nil"/>
                    <w:bottom w:val="single" w:color="auto" w:sz="4" w:space="0"/>
                    <w:right w:val="single" w:color="auto" w:sz="4" w:space="0"/>
                  </w:tcBorders>
                  <w:vAlign w:val="center"/>
                </w:tcPr>
                <w:p w14:paraId="02275264">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7、对土壤重点行业企业进行排查，严格重点监管单位环境管理，定期开展重点监管单位周边土壤和地下水环境监测。</w:t>
                  </w:r>
                </w:p>
              </w:tc>
              <w:tc>
                <w:tcPr>
                  <w:tcW w:w="1565" w:type="pct"/>
                  <w:tcBorders>
                    <w:top w:val="single" w:color="auto" w:sz="4" w:space="0"/>
                    <w:left w:val="single" w:color="auto" w:sz="4" w:space="0"/>
                    <w:bottom w:val="single" w:color="auto" w:sz="4" w:space="0"/>
                    <w:right w:val="single" w:color="auto" w:sz="4" w:space="0"/>
                  </w:tcBorders>
                  <w:vAlign w:val="center"/>
                </w:tcPr>
                <w:p w14:paraId="3184491D">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项目不涉及。</w:t>
                  </w:r>
                </w:p>
              </w:tc>
              <w:tc>
                <w:tcPr>
                  <w:tcW w:w="409" w:type="pct"/>
                  <w:tcBorders>
                    <w:top w:val="single" w:color="auto" w:sz="4" w:space="0"/>
                    <w:left w:val="single" w:color="auto" w:sz="4" w:space="0"/>
                    <w:bottom w:val="single" w:color="auto" w:sz="4" w:space="0"/>
                    <w:right w:val="nil"/>
                  </w:tcBorders>
                  <w:vAlign w:val="center"/>
                </w:tcPr>
                <w:p w14:paraId="1F6A4ECA">
                  <w:pPr>
                    <w:pStyle w:val="125"/>
                    <w:adjustRightInd w:val="0"/>
                    <w:snapToGrid w:val="0"/>
                    <w:rPr>
                      <w:rFonts w:hint="eastAsia" w:ascii="宋体" w:hAnsi="宋体" w:cs="宋体"/>
                      <w:color w:val="auto"/>
                      <w:sz w:val="18"/>
                      <w:szCs w:val="18"/>
                    </w:rPr>
                  </w:pPr>
                  <w:r>
                    <w:rPr>
                      <w:rFonts w:hint="eastAsia" w:ascii="宋体" w:hAnsi="宋体" w:cs="宋体"/>
                      <w:color w:val="auto"/>
                      <w:kern w:val="2"/>
                      <w:sz w:val="18"/>
                      <w:szCs w:val="18"/>
                    </w:rPr>
                    <w:t>相符</w:t>
                  </w:r>
                </w:p>
              </w:tc>
            </w:tr>
            <w:tr w14:paraId="23FA44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tcBorders>
                    <w:top w:val="single" w:color="auto" w:sz="4" w:space="0"/>
                    <w:left w:val="nil"/>
                    <w:bottom w:val="single" w:color="auto" w:sz="4" w:space="0"/>
                    <w:right w:val="single" w:color="auto" w:sz="4" w:space="0"/>
                  </w:tcBorders>
                  <w:vAlign w:val="center"/>
                </w:tcPr>
                <w:p w14:paraId="5F180103">
                  <w:pPr>
                    <w:adjustRightInd w:val="0"/>
                    <w:snapToGrid w:val="0"/>
                    <w:rPr>
                      <w:rFonts w:hint="eastAsia" w:ascii="宋体" w:hAnsi="宋体" w:cs="宋体"/>
                      <w:color w:val="auto"/>
                      <w:sz w:val="18"/>
                      <w:szCs w:val="18"/>
                    </w:rPr>
                  </w:pPr>
                </w:p>
              </w:tc>
              <w:tc>
                <w:tcPr>
                  <w:tcW w:w="2587" w:type="pct"/>
                  <w:gridSpan w:val="2"/>
                  <w:tcBorders>
                    <w:top w:val="single" w:color="auto" w:sz="4" w:space="0"/>
                    <w:left w:val="nil"/>
                    <w:bottom w:val="single" w:color="auto" w:sz="4" w:space="0"/>
                    <w:right w:val="single" w:color="auto" w:sz="4" w:space="0"/>
                  </w:tcBorders>
                  <w:vAlign w:val="center"/>
                </w:tcPr>
                <w:p w14:paraId="7CF31B2D">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8、严格管控类农用地，不得在依法划定的特定农产品禁止生产区域种植食用农产品；</w:t>
                  </w:r>
                </w:p>
                <w:p w14:paraId="108A5201">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安全利用类农用地，应制定农艺调控、替代种植、定期开展土壤和农产品协同监测与评价、技术指导和培训等安全利用方案，降低农产品超标风险。</w:t>
                  </w:r>
                </w:p>
              </w:tc>
              <w:tc>
                <w:tcPr>
                  <w:tcW w:w="1565" w:type="pct"/>
                  <w:tcBorders>
                    <w:top w:val="single" w:color="auto" w:sz="4" w:space="0"/>
                    <w:left w:val="single" w:color="auto" w:sz="4" w:space="0"/>
                    <w:bottom w:val="single" w:color="auto" w:sz="4" w:space="0"/>
                    <w:right w:val="single" w:color="auto" w:sz="4" w:space="0"/>
                  </w:tcBorders>
                  <w:vAlign w:val="center"/>
                </w:tcPr>
                <w:p w14:paraId="45E0DA0A">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项目不涉及。</w:t>
                  </w:r>
                </w:p>
              </w:tc>
              <w:tc>
                <w:tcPr>
                  <w:tcW w:w="409" w:type="pct"/>
                  <w:tcBorders>
                    <w:top w:val="single" w:color="auto" w:sz="4" w:space="0"/>
                    <w:left w:val="single" w:color="auto" w:sz="4" w:space="0"/>
                    <w:bottom w:val="single" w:color="auto" w:sz="4" w:space="0"/>
                    <w:right w:val="nil"/>
                  </w:tcBorders>
                  <w:vAlign w:val="center"/>
                </w:tcPr>
                <w:p w14:paraId="4CB349FF">
                  <w:pPr>
                    <w:pStyle w:val="125"/>
                    <w:adjustRightInd w:val="0"/>
                    <w:snapToGrid w:val="0"/>
                    <w:rPr>
                      <w:rFonts w:hint="eastAsia" w:ascii="宋体" w:hAnsi="宋体" w:cs="宋体"/>
                      <w:color w:val="auto"/>
                      <w:sz w:val="18"/>
                      <w:szCs w:val="18"/>
                    </w:rPr>
                  </w:pPr>
                  <w:r>
                    <w:rPr>
                      <w:rFonts w:hint="eastAsia" w:ascii="宋体" w:hAnsi="宋体" w:cs="宋体"/>
                      <w:color w:val="auto"/>
                      <w:kern w:val="2"/>
                      <w:sz w:val="18"/>
                      <w:szCs w:val="18"/>
                    </w:rPr>
                    <w:t>相符</w:t>
                  </w:r>
                </w:p>
              </w:tc>
            </w:tr>
            <w:tr w14:paraId="45513D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tcBorders>
                    <w:top w:val="single" w:color="auto" w:sz="4" w:space="0"/>
                    <w:left w:val="nil"/>
                    <w:bottom w:val="single" w:color="auto" w:sz="4" w:space="0"/>
                    <w:right w:val="single" w:color="auto" w:sz="4" w:space="0"/>
                  </w:tcBorders>
                  <w:vAlign w:val="center"/>
                </w:tcPr>
                <w:p w14:paraId="3CA681A6">
                  <w:pPr>
                    <w:adjustRightInd w:val="0"/>
                    <w:snapToGrid w:val="0"/>
                    <w:rPr>
                      <w:rFonts w:hint="eastAsia" w:ascii="宋体" w:hAnsi="宋体" w:cs="宋体"/>
                      <w:color w:val="auto"/>
                      <w:sz w:val="18"/>
                      <w:szCs w:val="18"/>
                    </w:rPr>
                  </w:pPr>
                </w:p>
              </w:tc>
              <w:tc>
                <w:tcPr>
                  <w:tcW w:w="2587" w:type="pct"/>
                  <w:gridSpan w:val="2"/>
                  <w:tcBorders>
                    <w:top w:val="single" w:color="auto" w:sz="4" w:space="0"/>
                    <w:left w:val="nil"/>
                    <w:bottom w:val="single" w:color="auto" w:sz="4" w:space="0"/>
                    <w:right w:val="single" w:color="auto" w:sz="4" w:space="0"/>
                  </w:tcBorders>
                  <w:vAlign w:val="center"/>
                </w:tcPr>
                <w:p w14:paraId="2FEEADB8">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9、李堡镇应建立环境风险防控系统，根据上级及相关政策文件要求建立水环境三级防控体系；构建与海安市之间的联动应急响应体系，实行联防联控。</w:t>
                  </w:r>
                </w:p>
              </w:tc>
              <w:tc>
                <w:tcPr>
                  <w:tcW w:w="1565" w:type="pct"/>
                  <w:tcBorders>
                    <w:top w:val="single" w:color="auto" w:sz="4" w:space="0"/>
                    <w:left w:val="single" w:color="auto" w:sz="4" w:space="0"/>
                    <w:bottom w:val="single" w:color="auto" w:sz="4" w:space="0"/>
                    <w:right w:val="single" w:color="auto" w:sz="4" w:space="0"/>
                  </w:tcBorders>
                  <w:vAlign w:val="center"/>
                </w:tcPr>
                <w:p w14:paraId="14BB3781">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李堡镇已建立环境风险防控系统，根据上级及相关政策文件要求建立水环境三级防控体系；构建与海安市之间的联动应急响应体系，实行联防联控。</w:t>
                  </w:r>
                </w:p>
              </w:tc>
              <w:tc>
                <w:tcPr>
                  <w:tcW w:w="409" w:type="pct"/>
                  <w:tcBorders>
                    <w:top w:val="single" w:color="auto" w:sz="4" w:space="0"/>
                    <w:left w:val="single" w:color="auto" w:sz="4" w:space="0"/>
                    <w:bottom w:val="single" w:color="auto" w:sz="4" w:space="0"/>
                    <w:right w:val="nil"/>
                  </w:tcBorders>
                  <w:vAlign w:val="center"/>
                </w:tcPr>
                <w:p w14:paraId="7B71F629">
                  <w:pPr>
                    <w:pStyle w:val="125"/>
                    <w:adjustRightInd w:val="0"/>
                    <w:snapToGrid w:val="0"/>
                    <w:rPr>
                      <w:rFonts w:hint="eastAsia" w:ascii="宋体" w:hAnsi="宋体" w:cs="宋体"/>
                      <w:color w:val="auto"/>
                      <w:sz w:val="18"/>
                      <w:szCs w:val="18"/>
                    </w:rPr>
                  </w:pPr>
                  <w:r>
                    <w:rPr>
                      <w:rFonts w:hint="eastAsia" w:ascii="宋体" w:hAnsi="宋体" w:cs="宋体"/>
                      <w:color w:val="auto"/>
                      <w:kern w:val="2"/>
                      <w:sz w:val="18"/>
                      <w:szCs w:val="18"/>
                    </w:rPr>
                    <w:t>相符</w:t>
                  </w:r>
                </w:p>
              </w:tc>
            </w:tr>
            <w:tr w14:paraId="4011CB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restart"/>
                  <w:tcBorders>
                    <w:top w:val="nil"/>
                    <w:left w:val="nil"/>
                    <w:bottom w:val="single" w:color="auto" w:sz="4" w:space="0"/>
                    <w:right w:val="single" w:color="auto" w:sz="4" w:space="0"/>
                  </w:tcBorders>
                  <w:vAlign w:val="center"/>
                </w:tcPr>
                <w:p w14:paraId="03615AC8">
                  <w:pPr>
                    <w:pStyle w:val="125"/>
                    <w:adjustRightInd w:val="0"/>
                    <w:snapToGrid w:val="0"/>
                    <w:rPr>
                      <w:rFonts w:hint="eastAsia" w:ascii="宋体" w:hAnsi="宋体" w:cs="宋体"/>
                      <w:color w:val="auto"/>
                      <w:sz w:val="18"/>
                      <w:szCs w:val="18"/>
                    </w:rPr>
                  </w:pPr>
                  <w:r>
                    <w:rPr>
                      <w:rFonts w:hint="eastAsia" w:ascii="宋体" w:hAnsi="宋体" w:cs="宋体"/>
                      <w:color w:val="auto"/>
                      <w:sz w:val="18"/>
                      <w:szCs w:val="18"/>
                    </w:rPr>
                    <w:t>资源开发利用要求</w:t>
                  </w:r>
                </w:p>
              </w:tc>
              <w:tc>
                <w:tcPr>
                  <w:tcW w:w="2587" w:type="pct"/>
                  <w:gridSpan w:val="2"/>
                  <w:tcBorders>
                    <w:top w:val="single" w:color="auto" w:sz="4" w:space="0"/>
                    <w:left w:val="nil"/>
                    <w:bottom w:val="single" w:color="auto" w:sz="4" w:space="0"/>
                    <w:right w:val="single" w:color="auto" w:sz="4" w:space="0"/>
                  </w:tcBorders>
                  <w:vAlign w:val="center"/>
                </w:tcPr>
                <w:p w14:paraId="23A4C1CB">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1、水资源可开发或利用总量：474.5万吨/年。</w:t>
                  </w:r>
                </w:p>
              </w:tc>
              <w:tc>
                <w:tcPr>
                  <w:tcW w:w="1565" w:type="pct"/>
                  <w:tcBorders>
                    <w:top w:val="single" w:color="auto" w:sz="4" w:space="0"/>
                    <w:left w:val="single" w:color="auto" w:sz="4" w:space="0"/>
                    <w:bottom w:val="single" w:color="auto" w:sz="4" w:space="0"/>
                    <w:right w:val="single" w:color="auto" w:sz="4" w:space="0"/>
                  </w:tcBorders>
                  <w:vAlign w:val="center"/>
                </w:tcPr>
                <w:p w14:paraId="6FC583D5">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项目用水量，不突破水资源可开发或利用总量。</w:t>
                  </w:r>
                </w:p>
              </w:tc>
              <w:tc>
                <w:tcPr>
                  <w:tcW w:w="409" w:type="pct"/>
                  <w:tcBorders>
                    <w:top w:val="single" w:color="auto" w:sz="4" w:space="0"/>
                    <w:left w:val="single" w:color="auto" w:sz="4" w:space="0"/>
                    <w:bottom w:val="single" w:color="auto" w:sz="4" w:space="0"/>
                    <w:right w:val="nil"/>
                  </w:tcBorders>
                  <w:vAlign w:val="center"/>
                </w:tcPr>
                <w:p w14:paraId="64B4F441">
                  <w:pPr>
                    <w:pStyle w:val="125"/>
                    <w:adjustRightInd w:val="0"/>
                    <w:snapToGrid w:val="0"/>
                    <w:rPr>
                      <w:rFonts w:hint="eastAsia" w:ascii="宋体" w:hAnsi="宋体" w:cs="宋体"/>
                      <w:color w:val="auto"/>
                      <w:sz w:val="18"/>
                      <w:szCs w:val="18"/>
                    </w:rPr>
                  </w:pPr>
                  <w:r>
                    <w:rPr>
                      <w:rFonts w:hint="eastAsia" w:ascii="宋体" w:hAnsi="宋体" w:cs="宋体"/>
                      <w:color w:val="auto"/>
                      <w:kern w:val="2"/>
                      <w:sz w:val="18"/>
                      <w:szCs w:val="18"/>
                    </w:rPr>
                    <w:t>相符</w:t>
                  </w:r>
                </w:p>
              </w:tc>
            </w:tr>
            <w:tr w14:paraId="5B616B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tcBorders>
                    <w:top w:val="nil"/>
                    <w:left w:val="nil"/>
                    <w:bottom w:val="single" w:color="auto" w:sz="4" w:space="0"/>
                    <w:right w:val="single" w:color="auto" w:sz="4" w:space="0"/>
                  </w:tcBorders>
                  <w:vAlign w:val="center"/>
                </w:tcPr>
                <w:p w14:paraId="635A7B40">
                  <w:pPr>
                    <w:adjustRightInd w:val="0"/>
                    <w:snapToGrid w:val="0"/>
                    <w:rPr>
                      <w:rFonts w:hint="eastAsia" w:ascii="宋体" w:hAnsi="宋体" w:cs="宋体"/>
                      <w:color w:val="auto"/>
                      <w:sz w:val="18"/>
                      <w:szCs w:val="18"/>
                    </w:rPr>
                  </w:pPr>
                </w:p>
              </w:tc>
              <w:tc>
                <w:tcPr>
                  <w:tcW w:w="2587" w:type="pct"/>
                  <w:gridSpan w:val="2"/>
                  <w:tcBorders>
                    <w:top w:val="single" w:color="auto" w:sz="4" w:space="0"/>
                    <w:left w:val="nil"/>
                    <w:bottom w:val="single" w:color="auto" w:sz="4" w:space="0"/>
                    <w:right w:val="single" w:color="auto" w:sz="4" w:space="0"/>
                  </w:tcBorders>
                  <w:vAlign w:val="center"/>
                </w:tcPr>
                <w:p w14:paraId="73530423">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2、土地资源可开发或利用总量：建设用地总面积上线为534.76公顷，工业用地总量上限363.72公顷。</w:t>
                  </w:r>
                </w:p>
              </w:tc>
              <w:tc>
                <w:tcPr>
                  <w:tcW w:w="1565" w:type="pct"/>
                  <w:tcBorders>
                    <w:top w:val="single" w:color="auto" w:sz="4" w:space="0"/>
                    <w:left w:val="single" w:color="auto" w:sz="4" w:space="0"/>
                    <w:bottom w:val="single" w:color="auto" w:sz="4" w:space="0"/>
                    <w:right w:val="single" w:color="auto" w:sz="4" w:space="0"/>
                  </w:tcBorders>
                  <w:vAlign w:val="center"/>
                </w:tcPr>
                <w:p w14:paraId="01876B7C">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项目租用现有闲置厂房，不新增工业用地。</w:t>
                  </w:r>
                </w:p>
              </w:tc>
              <w:tc>
                <w:tcPr>
                  <w:tcW w:w="409" w:type="pct"/>
                  <w:tcBorders>
                    <w:top w:val="single" w:color="auto" w:sz="4" w:space="0"/>
                    <w:left w:val="single" w:color="auto" w:sz="4" w:space="0"/>
                    <w:bottom w:val="single" w:color="auto" w:sz="4" w:space="0"/>
                    <w:right w:val="nil"/>
                  </w:tcBorders>
                  <w:vAlign w:val="center"/>
                </w:tcPr>
                <w:p w14:paraId="7598264E">
                  <w:pPr>
                    <w:pStyle w:val="125"/>
                    <w:adjustRightInd w:val="0"/>
                    <w:snapToGrid w:val="0"/>
                    <w:rPr>
                      <w:rFonts w:hint="eastAsia" w:ascii="宋体" w:hAnsi="宋体" w:cs="宋体"/>
                      <w:color w:val="auto"/>
                      <w:sz w:val="18"/>
                      <w:szCs w:val="18"/>
                    </w:rPr>
                  </w:pPr>
                  <w:r>
                    <w:rPr>
                      <w:rFonts w:hint="eastAsia" w:ascii="宋体" w:hAnsi="宋体" w:cs="宋体"/>
                      <w:color w:val="auto"/>
                      <w:kern w:val="2"/>
                      <w:sz w:val="18"/>
                      <w:szCs w:val="18"/>
                    </w:rPr>
                    <w:t>相符</w:t>
                  </w:r>
                </w:p>
              </w:tc>
            </w:tr>
            <w:tr w14:paraId="1E5691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tcBorders>
                    <w:top w:val="nil"/>
                    <w:left w:val="nil"/>
                    <w:bottom w:val="single" w:color="auto" w:sz="4" w:space="0"/>
                    <w:right w:val="single" w:color="auto" w:sz="4" w:space="0"/>
                  </w:tcBorders>
                  <w:vAlign w:val="center"/>
                </w:tcPr>
                <w:p w14:paraId="58B9B517">
                  <w:pPr>
                    <w:adjustRightInd w:val="0"/>
                    <w:snapToGrid w:val="0"/>
                    <w:rPr>
                      <w:rFonts w:hint="eastAsia" w:ascii="宋体" w:hAnsi="宋体" w:cs="宋体"/>
                      <w:color w:val="auto"/>
                      <w:sz w:val="18"/>
                      <w:szCs w:val="18"/>
                    </w:rPr>
                  </w:pPr>
                </w:p>
              </w:tc>
              <w:tc>
                <w:tcPr>
                  <w:tcW w:w="2587" w:type="pct"/>
                  <w:gridSpan w:val="2"/>
                  <w:tcBorders>
                    <w:top w:val="single" w:color="auto" w:sz="4" w:space="0"/>
                    <w:left w:val="nil"/>
                    <w:bottom w:val="single" w:color="auto" w:sz="4" w:space="0"/>
                    <w:right w:val="single" w:color="auto" w:sz="4" w:space="0"/>
                  </w:tcBorders>
                  <w:vAlign w:val="center"/>
                </w:tcPr>
                <w:p w14:paraId="34D3CBD0">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3、禁止新增取用地下水。</w:t>
                  </w:r>
                </w:p>
              </w:tc>
              <w:tc>
                <w:tcPr>
                  <w:tcW w:w="1565" w:type="pct"/>
                  <w:tcBorders>
                    <w:top w:val="single" w:color="auto" w:sz="4" w:space="0"/>
                    <w:left w:val="single" w:color="auto" w:sz="4" w:space="0"/>
                    <w:bottom w:val="single" w:color="auto" w:sz="4" w:space="0"/>
                    <w:right w:val="single" w:color="auto" w:sz="4" w:space="0"/>
                  </w:tcBorders>
                  <w:vAlign w:val="center"/>
                </w:tcPr>
                <w:p w14:paraId="487B468E">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项目不取用地下水。</w:t>
                  </w:r>
                </w:p>
              </w:tc>
              <w:tc>
                <w:tcPr>
                  <w:tcW w:w="409" w:type="pct"/>
                  <w:tcBorders>
                    <w:top w:val="single" w:color="auto" w:sz="4" w:space="0"/>
                    <w:left w:val="single" w:color="auto" w:sz="4" w:space="0"/>
                    <w:bottom w:val="single" w:color="auto" w:sz="4" w:space="0"/>
                    <w:right w:val="nil"/>
                  </w:tcBorders>
                  <w:vAlign w:val="center"/>
                </w:tcPr>
                <w:p w14:paraId="427A9D1D">
                  <w:pPr>
                    <w:pStyle w:val="125"/>
                    <w:adjustRightInd w:val="0"/>
                    <w:snapToGrid w:val="0"/>
                    <w:rPr>
                      <w:rFonts w:hint="eastAsia" w:ascii="宋体" w:hAnsi="宋体" w:cs="宋体"/>
                      <w:color w:val="auto"/>
                      <w:sz w:val="18"/>
                      <w:szCs w:val="18"/>
                    </w:rPr>
                  </w:pPr>
                  <w:r>
                    <w:rPr>
                      <w:rFonts w:hint="eastAsia" w:ascii="宋体" w:hAnsi="宋体" w:cs="宋体"/>
                      <w:color w:val="auto"/>
                      <w:kern w:val="2"/>
                      <w:sz w:val="18"/>
                      <w:szCs w:val="18"/>
                    </w:rPr>
                    <w:t>相符</w:t>
                  </w:r>
                </w:p>
              </w:tc>
            </w:tr>
            <w:tr w14:paraId="2846FA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tcBorders>
                    <w:top w:val="nil"/>
                    <w:left w:val="nil"/>
                    <w:bottom w:val="single" w:color="auto" w:sz="4" w:space="0"/>
                    <w:right w:val="single" w:color="auto" w:sz="4" w:space="0"/>
                  </w:tcBorders>
                  <w:vAlign w:val="center"/>
                </w:tcPr>
                <w:p w14:paraId="42292F5F">
                  <w:pPr>
                    <w:adjustRightInd w:val="0"/>
                    <w:snapToGrid w:val="0"/>
                    <w:rPr>
                      <w:rFonts w:hint="eastAsia" w:ascii="宋体" w:hAnsi="宋体" w:cs="宋体"/>
                      <w:color w:val="auto"/>
                      <w:sz w:val="18"/>
                      <w:szCs w:val="18"/>
                    </w:rPr>
                  </w:pPr>
                </w:p>
              </w:tc>
              <w:tc>
                <w:tcPr>
                  <w:tcW w:w="2587" w:type="pct"/>
                  <w:gridSpan w:val="2"/>
                  <w:tcBorders>
                    <w:top w:val="single" w:color="auto" w:sz="4" w:space="0"/>
                    <w:left w:val="nil"/>
                    <w:bottom w:val="single" w:color="auto" w:sz="4" w:space="0"/>
                    <w:right w:val="single" w:color="auto" w:sz="4" w:space="0"/>
                  </w:tcBorders>
                  <w:vAlign w:val="center"/>
                </w:tcPr>
                <w:p w14:paraId="01A7B876">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4、万元工业增加值综合能耗≤0.5tce/万元，万元工业增加值新鲜水耗量≤8t/万元。</w:t>
                  </w:r>
                </w:p>
              </w:tc>
              <w:tc>
                <w:tcPr>
                  <w:tcW w:w="1565" w:type="pct"/>
                  <w:tcBorders>
                    <w:top w:val="single" w:color="auto" w:sz="4" w:space="0"/>
                    <w:left w:val="single" w:color="auto" w:sz="4" w:space="0"/>
                    <w:bottom w:val="single" w:color="auto" w:sz="4" w:space="0"/>
                    <w:right w:val="single" w:color="auto" w:sz="4" w:space="0"/>
                  </w:tcBorders>
                  <w:vAlign w:val="center"/>
                </w:tcPr>
                <w:p w14:paraId="700ED6F6">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项目万元工业增加值综合能耗≤0.5tce/万元，万元工业增加值新鲜水耗量≤8t/万元。</w:t>
                  </w:r>
                </w:p>
              </w:tc>
              <w:tc>
                <w:tcPr>
                  <w:tcW w:w="409" w:type="pct"/>
                  <w:tcBorders>
                    <w:top w:val="single" w:color="auto" w:sz="4" w:space="0"/>
                    <w:left w:val="single" w:color="auto" w:sz="4" w:space="0"/>
                    <w:bottom w:val="single" w:color="auto" w:sz="4" w:space="0"/>
                    <w:right w:val="nil"/>
                  </w:tcBorders>
                  <w:vAlign w:val="center"/>
                </w:tcPr>
                <w:p w14:paraId="5E134E85">
                  <w:pPr>
                    <w:pStyle w:val="125"/>
                    <w:adjustRightInd w:val="0"/>
                    <w:snapToGrid w:val="0"/>
                    <w:rPr>
                      <w:rFonts w:hint="eastAsia" w:ascii="宋体" w:hAnsi="宋体" w:cs="宋体"/>
                      <w:color w:val="auto"/>
                      <w:sz w:val="18"/>
                      <w:szCs w:val="18"/>
                    </w:rPr>
                  </w:pPr>
                  <w:r>
                    <w:rPr>
                      <w:rFonts w:hint="eastAsia" w:ascii="宋体" w:hAnsi="宋体" w:cs="宋体"/>
                      <w:color w:val="auto"/>
                      <w:kern w:val="2"/>
                      <w:sz w:val="18"/>
                      <w:szCs w:val="18"/>
                    </w:rPr>
                    <w:t>相符</w:t>
                  </w:r>
                </w:p>
              </w:tc>
            </w:tr>
            <w:tr w14:paraId="304373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tcBorders>
                    <w:top w:val="nil"/>
                    <w:left w:val="nil"/>
                    <w:bottom w:val="single" w:color="auto" w:sz="4" w:space="0"/>
                    <w:right w:val="single" w:color="auto" w:sz="4" w:space="0"/>
                  </w:tcBorders>
                  <w:vAlign w:val="center"/>
                </w:tcPr>
                <w:p w14:paraId="159AA8C9">
                  <w:pPr>
                    <w:adjustRightInd w:val="0"/>
                    <w:snapToGrid w:val="0"/>
                    <w:rPr>
                      <w:rFonts w:hint="eastAsia" w:ascii="宋体" w:hAnsi="宋体" w:cs="宋体"/>
                      <w:color w:val="auto"/>
                      <w:sz w:val="18"/>
                      <w:szCs w:val="18"/>
                    </w:rPr>
                  </w:pPr>
                </w:p>
              </w:tc>
              <w:tc>
                <w:tcPr>
                  <w:tcW w:w="2587" w:type="pct"/>
                  <w:gridSpan w:val="2"/>
                  <w:tcBorders>
                    <w:top w:val="single" w:color="auto" w:sz="4" w:space="0"/>
                    <w:left w:val="nil"/>
                    <w:bottom w:val="single" w:color="auto" w:sz="4" w:space="0"/>
                    <w:right w:val="single" w:color="auto" w:sz="4" w:space="0"/>
                  </w:tcBorders>
                  <w:vAlign w:val="center"/>
                </w:tcPr>
                <w:p w14:paraId="393CB884">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5、不得新建燃煤锅炉。</w:t>
                  </w:r>
                </w:p>
              </w:tc>
              <w:tc>
                <w:tcPr>
                  <w:tcW w:w="1565" w:type="pct"/>
                  <w:tcBorders>
                    <w:top w:val="single" w:color="auto" w:sz="4" w:space="0"/>
                    <w:left w:val="single" w:color="auto" w:sz="4" w:space="0"/>
                    <w:bottom w:val="single" w:color="auto" w:sz="4" w:space="0"/>
                    <w:right w:val="single" w:color="auto" w:sz="4" w:space="0"/>
                  </w:tcBorders>
                  <w:vAlign w:val="center"/>
                </w:tcPr>
                <w:p w14:paraId="28EAC59C">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项目不新建锅炉。</w:t>
                  </w:r>
                </w:p>
              </w:tc>
              <w:tc>
                <w:tcPr>
                  <w:tcW w:w="409" w:type="pct"/>
                  <w:tcBorders>
                    <w:top w:val="single" w:color="auto" w:sz="4" w:space="0"/>
                    <w:left w:val="single" w:color="auto" w:sz="4" w:space="0"/>
                    <w:bottom w:val="single" w:color="auto" w:sz="4" w:space="0"/>
                    <w:right w:val="nil"/>
                  </w:tcBorders>
                  <w:vAlign w:val="center"/>
                </w:tcPr>
                <w:p w14:paraId="50C23603">
                  <w:pPr>
                    <w:pStyle w:val="125"/>
                    <w:adjustRightInd w:val="0"/>
                    <w:snapToGrid w:val="0"/>
                    <w:rPr>
                      <w:rFonts w:hint="eastAsia" w:ascii="宋体" w:hAnsi="宋体" w:cs="宋体"/>
                      <w:color w:val="auto"/>
                      <w:sz w:val="18"/>
                      <w:szCs w:val="18"/>
                    </w:rPr>
                  </w:pPr>
                  <w:r>
                    <w:rPr>
                      <w:rFonts w:hint="eastAsia" w:ascii="宋体" w:hAnsi="宋体" w:cs="宋体"/>
                      <w:color w:val="auto"/>
                      <w:kern w:val="2"/>
                      <w:sz w:val="18"/>
                      <w:szCs w:val="18"/>
                    </w:rPr>
                    <w:t>相符</w:t>
                  </w:r>
                </w:p>
              </w:tc>
            </w:tr>
            <w:tr w14:paraId="28B430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tcBorders>
                    <w:top w:val="nil"/>
                    <w:left w:val="nil"/>
                    <w:bottom w:val="single" w:color="auto" w:sz="4" w:space="0"/>
                    <w:right w:val="single" w:color="auto" w:sz="4" w:space="0"/>
                  </w:tcBorders>
                  <w:vAlign w:val="center"/>
                </w:tcPr>
                <w:p w14:paraId="16D200F9">
                  <w:pPr>
                    <w:adjustRightInd w:val="0"/>
                    <w:snapToGrid w:val="0"/>
                    <w:rPr>
                      <w:rFonts w:hint="eastAsia" w:ascii="宋体" w:hAnsi="宋体" w:cs="宋体"/>
                      <w:color w:val="auto"/>
                      <w:sz w:val="18"/>
                      <w:szCs w:val="18"/>
                    </w:rPr>
                  </w:pPr>
                </w:p>
              </w:tc>
              <w:tc>
                <w:tcPr>
                  <w:tcW w:w="2587" w:type="pct"/>
                  <w:gridSpan w:val="2"/>
                  <w:tcBorders>
                    <w:top w:val="single" w:color="auto" w:sz="4" w:space="0"/>
                    <w:left w:val="nil"/>
                    <w:bottom w:val="single" w:color="auto" w:sz="4" w:space="0"/>
                    <w:right w:val="single" w:color="auto" w:sz="4" w:space="0"/>
                  </w:tcBorders>
                  <w:vAlign w:val="center"/>
                </w:tcPr>
                <w:p w14:paraId="4477EF70">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6、禁止建设新建、改扩建采用高污染燃料的项目和设施。</w:t>
                  </w:r>
                </w:p>
              </w:tc>
              <w:tc>
                <w:tcPr>
                  <w:tcW w:w="1565" w:type="pct"/>
                  <w:tcBorders>
                    <w:top w:val="single" w:color="auto" w:sz="4" w:space="0"/>
                    <w:left w:val="single" w:color="auto" w:sz="4" w:space="0"/>
                    <w:bottom w:val="single" w:color="auto" w:sz="4" w:space="0"/>
                    <w:right w:val="single" w:color="auto" w:sz="4" w:space="0"/>
                  </w:tcBorders>
                  <w:vAlign w:val="center"/>
                </w:tcPr>
                <w:p w14:paraId="77D3C7A7">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项目不采用高污染燃料。</w:t>
                  </w:r>
                </w:p>
              </w:tc>
              <w:tc>
                <w:tcPr>
                  <w:tcW w:w="409" w:type="pct"/>
                  <w:tcBorders>
                    <w:top w:val="single" w:color="auto" w:sz="4" w:space="0"/>
                    <w:left w:val="single" w:color="auto" w:sz="4" w:space="0"/>
                    <w:bottom w:val="single" w:color="auto" w:sz="4" w:space="0"/>
                    <w:right w:val="nil"/>
                  </w:tcBorders>
                  <w:vAlign w:val="center"/>
                </w:tcPr>
                <w:p w14:paraId="57817243">
                  <w:pPr>
                    <w:pStyle w:val="125"/>
                    <w:adjustRightInd w:val="0"/>
                    <w:snapToGrid w:val="0"/>
                    <w:rPr>
                      <w:rFonts w:hint="eastAsia" w:ascii="宋体" w:hAnsi="宋体" w:cs="宋体"/>
                      <w:color w:val="auto"/>
                      <w:sz w:val="18"/>
                      <w:szCs w:val="18"/>
                    </w:rPr>
                  </w:pPr>
                  <w:r>
                    <w:rPr>
                      <w:rFonts w:hint="eastAsia" w:ascii="宋体" w:hAnsi="宋体" w:cs="宋体"/>
                      <w:color w:val="auto"/>
                      <w:kern w:val="2"/>
                      <w:sz w:val="18"/>
                      <w:szCs w:val="18"/>
                    </w:rPr>
                    <w:t>相符</w:t>
                  </w:r>
                </w:p>
              </w:tc>
            </w:tr>
            <w:tr w14:paraId="3D4151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tcBorders>
                    <w:top w:val="nil"/>
                    <w:left w:val="nil"/>
                    <w:bottom w:val="single" w:color="auto" w:sz="4" w:space="0"/>
                    <w:right w:val="single" w:color="auto" w:sz="4" w:space="0"/>
                  </w:tcBorders>
                  <w:vAlign w:val="center"/>
                </w:tcPr>
                <w:p w14:paraId="10D4FD67">
                  <w:pPr>
                    <w:adjustRightInd w:val="0"/>
                    <w:snapToGrid w:val="0"/>
                    <w:rPr>
                      <w:rFonts w:hint="eastAsia" w:ascii="宋体" w:hAnsi="宋体" w:cs="宋体"/>
                      <w:color w:val="auto"/>
                      <w:sz w:val="18"/>
                      <w:szCs w:val="18"/>
                    </w:rPr>
                  </w:pPr>
                </w:p>
              </w:tc>
              <w:tc>
                <w:tcPr>
                  <w:tcW w:w="2587" w:type="pct"/>
                  <w:gridSpan w:val="2"/>
                  <w:tcBorders>
                    <w:top w:val="single" w:color="auto" w:sz="4" w:space="0"/>
                    <w:left w:val="nil"/>
                    <w:bottom w:val="single" w:color="auto" w:sz="4" w:space="0"/>
                    <w:right w:val="single" w:color="auto" w:sz="4" w:space="0"/>
                  </w:tcBorders>
                  <w:vAlign w:val="center"/>
                </w:tcPr>
                <w:p w14:paraId="7865B393">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7、禁止销售使用燃料为“Ⅱ类”（较严），具体包括：除单台出力大于等于20蒸吨/小时锅炉以外燃用的煤炭及其制品；石油焦、油页岩、原油、重油、渣油、煤焦油。</w:t>
                  </w:r>
                </w:p>
              </w:tc>
              <w:tc>
                <w:tcPr>
                  <w:tcW w:w="1565" w:type="pct"/>
                  <w:tcBorders>
                    <w:top w:val="single" w:color="auto" w:sz="4" w:space="0"/>
                    <w:left w:val="single" w:color="auto" w:sz="4" w:space="0"/>
                    <w:bottom w:val="single" w:color="auto" w:sz="4" w:space="0"/>
                    <w:right w:val="single" w:color="auto" w:sz="4" w:space="0"/>
                  </w:tcBorders>
                  <w:vAlign w:val="center"/>
                </w:tcPr>
                <w:p w14:paraId="2F1EE51F">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项目不涉及。</w:t>
                  </w:r>
                </w:p>
              </w:tc>
              <w:tc>
                <w:tcPr>
                  <w:tcW w:w="409" w:type="pct"/>
                  <w:tcBorders>
                    <w:top w:val="single" w:color="auto" w:sz="4" w:space="0"/>
                    <w:left w:val="single" w:color="auto" w:sz="4" w:space="0"/>
                    <w:bottom w:val="single" w:color="auto" w:sz="4" w:space="0"/>
                    <w:right w:val="nil"/>
                  </w:tcBorders>
                  <w:vAlign w:val="center"/>
                </w:tcPr>
                <w:p w14:paraId="62B136CF">
                  <w:pPr>
                    <w:pStyle w:val="125"/>
                    <w:adjustRightInd w:val="0"/>
                    <w:snapToGrid w:val="0"/>
                    <w:rPr>
                      <w:rFonts w:hint="eastAsia" w:ascii="宋体" w:hAnsi="宋体" w:cs="宋体"/>
                      <w:color w:val="auto"/>
                      <w:sz w:val="18"/>
                      <w:szCs w:val="18"/>
                    </w:rPr>
                  </w:pPr>
                  <w:r>
                    <w:rPr>
                      <w:rFonts w:hint="eastAsia" w:ascii="宋体" w:hAnsi="宋体" w:cs="宋体"/>
                      <w:color w:val="auto"/>
                      <w:kern w:val="2"/>
                      <w:sz w:val="18"/>
                      <w:szCs w:val="18"/>
                    </w:rPr>
                    <w:t>相符</w:t>
                  </w:r>
                </w:p>
              </w:tc>
            </w:tr>
            <w:tr w14:paraId="378D87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7" w:type="pct"/>
                  <w:vMerge w:val="continue"/>
                  <w:tcBorders>
                    <w:top w:val="nil"/>
                    <w:left w:val="nil"/>
                    <w:bottom w:val="single" w:color="auto" w:sz="4" w:space="0"/>
                    <w:right w:val="single" w:color="auto" w:sz="4" w:space="0"/>
                  </w:tcBorders>
                  <w:vAlign w:val="center"/>
                </w:tcPr>
                <w:p w14:paraId="34607E52">
                  <w:pPr>
                    <w:adjustRightInd w:val="0"/>
                    <w:snapToGrid w:val="0"/>
                    <w:rPr>
                      <w:rFonts w:hint="eastAsia" w:ascii="宋体" w:hAnsi="宋体" w:cs="宋体"/>
                      <w:color w:val="auto"/>
                      <w:sz w:val="18"/>
                      <w:szCs w:val="18"/>
                    </w:rPr>
                  </w:pPr>
                </w:p>
              </w:tc>
              <w:tc>
                <w:tcPr>
                  <w:tcW w:w="2587" w:type="pct"/>
                  <w:gridSpan w:val="2"/>
                  <w:tcBorders>
                    <w:top w:val="single" w:color="auto" w:sz="4" w:space="0"/>
                    <w:left w:val="nil"/>
                    <w:bottom w:val="single" w:color="auto" w:sz="4" w:space="0"/>
                    <w:right w:val="single" w:color="auto" w:sz="4" w:space="0"/>
                  </w:tcBorders>
                  <w:vAlign w:val="center"/>
                </w:tcPr>
                <w:p w14:paraId="65E87886">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8、根据《关于印发&lt;省生态环境厅2021年推动碳达峰、碳中和工作计划&gt;的通知》（苏环办〔2021〕168号），配合省发展改革委完成国家和省下达的煤炭消费总量削减目标任务，不突破全省碳排放配额。</w:t>
                  </w:r>
                </w:p>
              </w:tc>
              <w:tc>
                <w:tcPr>
                  <w:tcW w:w="1565" w:type="pct"/>
                  <w:tcBorders>
                    <w:top w:val="single" w:color="auto" w:sz="4" w:space="0"/>
                    <w:left w:val="single" w:color="auto" w:sz="4" w:space="0"/>
                    <w:bottom w:val="single" w:color="auto" w:sz="4" w:space="0"/>
                    <w:right w:val="single" w:color="auto" w:sz="4" w:space="0"/>
                  </w:tcBorders>
                  <w:vAlign w:val="center"/>
                </w:tcPr>
                <w:p w14:paraId="2B7AD9EE">
                  <w:pPr>
                    <w:pStyle w:val="125"/>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项目不涉及。</w:t>
                  </w:r>
                </w:p>
              </w:tc>
              <w:tc>
                <w:tcPr>
                  <w:tcW w:w="409" w:type="pct"/>
                  <w:tcBorders>
                    <w:top w:val="single" w:color="auto" w:sz="4" w:space="0"/>
                    <w:left w:val="single" w:color="auto" w:sz="4" w:space="0"/>
                    <w:bottom w:val="single" w:color="auto" w:sz="4" w:space="0"/>
                    <w:right w:val="nil"/>
                  </w:tcBorders>
                  <w:vAlign w:val="center"/>
                </w:tcPr>
                <w:p w14:paraId="54B9F9D4">
                  <w:pPr>
                    <w:pStyle w:val="125"/>
                    <w:adjustRightInd w:val="0"/>
                    <w:snapToGrid w:val="0"/>
                    <w:rPr>
                      <w:rFonts w:hint="eastAsia" w:ascii="宋体" w:hAnsi="宋体" w:cs="宋体"/>
                      <w:color w:val="auto"/>
                      <w:sz w:val="18"/>
                      <w:szCs w:val="18"/>
                    </w:rPr>
                  </w:pPr>
                  <w:r>
                    <w:rPr>
                      <w:rFonts w:hint="eastAsia" w:ascii="宋体" w:hAnsi="宋体" w:cs="宋体"/>
                      <w:color w:val="auto"/>
                      <w:kern w:val="2"/>
                      <w:sz w:val="18"/>
                      <w:szCs w:val="18"/>
                    </w:rPr>
                    <w:t>相符</w:t>
                  </w:r>
                </w:p>
              </w:tc>
            </w:tr>
          </w:tbl>
          <w:p w14:paraId="1D39F527">
            <w:pPr>
              <w:autoSpaceDE w:val="0"/>
              <w:autoSpaceDN w:val="0"/>
              <w:adjustRightInd w:val="0"/>
              <w:snapToGrid w:val="0"/>
              <w:spacing w:line="360" w:lineRule="auto"/>
              <w:ind w:firstLine="420" w:firstLineChars="200"/>
              <w:rPr>
                <w:color w:val="auto"/>
                <w:szCs w:val="21"/>
              </w:rPr>
            </w:pPr>
            <w:r>
              <w:rPr>
                <w:rFonts w:hint="eastAsia"/>
                <w:color w:val="auto"/>
                <w:szCs w:val="21"/>
              </w:rPr>
              <w:t>本项目位于</w:t>
            </w:r>
            <w:r>
              <w:rPr>
                <w:rFonts w:hint="eastAsia"/>
                <w:color w:val="auto"/>
              </w:rPr>
              <w:t>海安市李堡镇富庄村7组（江海路23号）</w:t>
            </w:r>
            <w:r>
              <w:rPr>
                <w:rFonts w:hint="eastAsia"/>
                <w:color w:val="auto"/>
                <w:szCs w:val="21"/>
              </w:rPr>
              <w:t>，行业类别为</w:t>
            </w:r>
            <w:r>
              <w:rPr>
                <w:rFonts w:hint="eastAsia"/>
                <w:color w:val="auto"/>
                <w:spacing w:val="6"/>
                <w:szCs w:val="21"/>
                <w:shd w:val="clear" w:color="auto" w:fill="FFFFFF"/>
              </w:rPr>
              <w:t>M7320工程和技术研究和试验发展</w:t>
            </w:r>
            <w:r>
              <w:rPr>
                <w:rFonts w:hint="eastAsia"/>
                <w:color w:val="auto"/>
                <w:szCs w:val="21"/>
              </w:rPr>
              <w:t>，根据规划环评批复，严格控制与主导产业不相关且排污负荷大的项目入区，装备设计、制造、检测等环节涉及精密测量，本项目研发的标准物质，作为测量结果的“标尺”，用于校准仪器精度，确保数据准确性，为主导产业配套服务，项目产污量较小，不属于禁止引入的项目。区内基本建成完善的给水、排水、供电等公辅设备，为项目正常营运提供必要的基础保障。</w:t>
            </w:r>
          </w:p>
          <w:p w14:paraId="0F55E884">
            <w:pPr>
              <w:pStyle w:val="83"/>
              <w:numPr>
                <w:ilvl w:val="0"/>
                <w:numId w:val="0"/>
              </w:numPr>
              <w:ind w:firstLine="643" w:firstLineChars="200"/>
              <w:rPr>
                <w:color w:val="auto"/>
                <w:szCs w:val="21"/>
              </w:rPr>
            </w:pPr>
            <w:r>
              <w:rPr>
                <w:color w:val="auto"/>
                <w:sz w:val="32"/>
              </w:rPr>
              <w:br w:type="page"/>
            </w:r>
          </w:p>
        </w:tc>
      </w:tr>
      <w:tr w14:paraId="6A9F92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3710" w:hRule="atLeast"/>
          <w:jc w:val="center"/>
        </w:trPr>
        <w:tc>
          <w:tcPr>
            <w:tcW w:w="1420" w:type="dxa"/>
            <w:vAlign w:val="center"/>
          </w:tcPr>
          <w:p w14:paraId="60F5B3AF">
            <w:pPr>
              <w:autoSpaceDE w:val="0"/>
              <w:autoSpaceDN w:val="0"/>
              <w:adjustRightInd w:val="0"/>
              <w:snapToGrid w:val="0"/>
              <w:jc w:val="center"/>
              <w:rPr>
                <w:color w:val="auto"/>
                <w:kern w:val="0"/>
                <w:szCs w:val="21"/>
              </w:rPr>
            </w:pPr>
            <w:r>
              <w:rPr>
                <w:color w:val="auto"/>
                <w:kern w:val="0"/>
                <w:szCs w:val="21"/>
              </w:rPr>
              <w:t>其他符合性分析</w:t>
            </w:r>
          </w:p>
        </w:tc>
        <w:tc>
          <w:tcPr>
            <w:tcW w:w="7965" w:type="dxa"/>
            <w:gridSpan w:val="3"/>
            <w:vAlign w:val="center"/>
          </w:tcPr>
          <w:p w14:paraId="4CFB1B29">
            <w:pPr>
              <w:autoSpaceDE w:val="0"/>
              <w:autoSpaceDN w:val="0"/>
              <w:adjustRightInd w:val="0"/>
              <w:snapToGrid w:val="0"/>
              <w:spacing w:line="360" w:lineRule="auto"/>
              <w:ind w:firstLine="446" w:firstLineChars="200"/>
              <w:rPr>
                <w:b/>
                <w:bCs/>
                <w:color w:val="auto"/>
                <w:spacing w:val="6"/>
                <w:szCs w:val="21"/>
                <w:shd w:val="clear" w:color="auto" w:fill="FFFFFF"/>
              </w:rPr>
            </w:pPr>
            <w:r>
              <w:rPr>
                <w:b/>
                <w:bCs/>
                <w:color w:val="auto"/>
                <w:spacing w:val="6"/>
                <w:szCs w:val="21"/>
                <w:shd w:val="clear" w:color="auto" w:fill="FFFFFF"/>
              </w:rPr>
              <w:t>1.</w:t>
            </w:r>
            <w:r>
              <w:rPr>
                <w:color w:val="auto"/>
              </w:rPr>
              <w:t xml:space="preserve"> </w:t>
            </w:r>
            <w:r>
              <w:rPr>
                <w:b/>
                <w:bCs/>
                <w:color w:val="auto"/>
                <w:spacing w:val="6"/>
                <w:szCs w:val="21"/>
                <w:shd w:val="clear" w:color="auto" w:fill="FFFFFF"/>
              </w:rPr>
              <w:t>产业政策相符性</w:t>
            </w:r>
          </w:p>
          <w:p w14:paraId="584DE4E3">
            <w:pPr>
              <w:snapToGrid w:val="0"/>
              <w:spacing w:line="360" w:lineRule="auto"/>
              <w:ind w:firstLine="444" w:firstLineChars="200"/>
              <w:rPr>
                <w:color w:val="auto"/>
                <w:spacing w:val="6"/>
                <w:szCs w:val="21"/>
                <w:shd w:val="clear" w:color="auto" w:fill="FFFFFF"/>
              </w:rPr>
            </w:pPr>
            <w:r>
              <w:rPr>
                <w:color w:val="auto"/>
                <w:spacing w:val="6"/>
                <w:szCs w:val="21"/>
                <w:shd w:val="clear" w:color="auto" w:fill="FFFFFF"/>
              </w:rPr>
              <w:t>本项目属于国民经济行业分类中的</w:t>
            </w:r>
            <w:r>
              <w:rPr>
                <w:rFonts w:hint="eastAsia"/>
                <w:color w:val="auto"/>
                <w:spacing w:val="6"/>
                <w:szCs w:val="21"/>
                <w:shd w:val="clear" w:color="auto" w:fill="FFFFFF"/>
              </w:rPr>
              <w:t>M7320工程和技术研究和试验发展</w:t>
            </w:r>
            <w:r>
              <w:rPr>
                <w:color w:val="auto"/>
                <w:spacing w:val="6"/>
                <w:szCs w:val="21"/>
                <w:shd w:val="clear" w:color="auto" w:fill="FFFFFF"/>
              </w:rPr>
              <w:t>，对照《产业结构调整指导目录</w:t>
            </w:r>
            <w:r>
              <w:rPr>
                <w:rFonts w:hint="eastAsia"/>
                <w:color w:val="auto"/>
                <w:spacing w:val="6"/>
                <w:szCs w:val="21"/>
                <w:shd w:val="clear" w:color="auto" w:fill="FFFFFF"/>
              </w:rPr>
              <w:t>（</w:t>
            </w:r>
            <w:r>
              <w:rPr>
                <w:color w:val="auto"/>
                <w:spacing w:val="6"/>
                <w:szCs w:val="21"/>
                <w:shd w:val="clear" w:color="auto" w:fill="FFFFFF"/>
              </w:rPr>
              <w:t>20</w:t>
            </w:r>
            <w:r>
              <w:rPr>
                <w:rFonts w:hint="eastAsia"/>
                <w:color w:val="auto"/>
                <w:spacing w:val="6"/>
                <w:szCs w:val="21"/>
                <w:shd w:val="clear" w:color="auto" w:fill="FFFFFF"/>
              </w:rPr>
              <w:t>24</w:t>
            </w:r>
            <w:r>
              <w:rPr>
                <w:color w:val="auto"/>
                <w:spacing w:val="6"/>
                <w:szCs w:val="21"/>
                <w:shd w:val="clear" w:color="auto" w:fill="FFFFFF"/>
              </w:rPr>
              <w:t>年本</w:t>
            </w:r>
            <w:r>
              <w:rPr>
                <w:rFonts w:hint="eastAsia"/>
                <w:color w:val="auto"/>
                <w:spacing w:val="6"/>
                <w:szCs w:val="21"/>
                <w:shd w:val="clear" w:color="auto" w:fill="FFFFFF"/>
              </w:rPr>
              <w:t>）</w:t>
            </w:r>
            <w:r>
              <w:rPr>
                <w:color w:val="auto"/>
                <w:spacing w:val="6"/>
                <w:szCs w:val="21"/>
                <w:shd w:val="clear" w:color="auto" w:fill="FFFFFF"/>
              </w:rPr>
              <w:t>》</w:t>
            </w:r>
            <w:r>
              <w:rPr>
                <w:rFonts w:hint="eastAsia"/>
                <w:color w:val="auto"/>
                <w:spacing w:val="6"/>
                <w:szCs w:val="21"/>
                <w:shd w:val="clear" w:color="auto" w:fill="FFFFFF"/>
              </w:rPr>
              <w:t>，本项目属于“三十一、科技服务业1、工业设计、气象、生物及医药、新材料、新能源、节能、环保、测绘、海洋等专业科技服务，标准化服务、计量测试、质量认证和检验检测服务，科技普及标准化服务”，为鼓励类；对照《南通市工业结构调整指导目录（2007年本）》</w:t>
            </w:r>
            <w:r>
              <w:rPr>
                <w:color w:val="auto"/>
                <w:spacing w:val="6"/>
                <w:szCs w:val="21"/>
                <w:shd w:val="clear" w:color="auto" w:fill="FFFFFF"/>
              </w:rPr>
              <w:t>，</w:t>
            </w:r>
            <w:r>
              <w:rPr>
                <w:rFonts w:hint="eastAsia"/>
                <w:color w:val="auto"/>
                <w:spacing w:val="6"/>
                <w:szCs w:val="21"/>
                <w:shd w:val="clear" w:color="auto" w:fill="FFFFFF"/>
              </w:rPr>
              <w:t>本项目</w:t>
            </w:r>
            <w:r>
              <w:rPr>
                <w:color w:val="auto"/>
                <w:spacing w:val="6"/>
                <w:szCs w:val="21"/>
                <w:shd w:val="clear" w:color="auto" w:fill="FFFFFF"/>
              </w:rPr>
              <w:t>不属于限制及淘汰类。项目已取得备案证（</w:t>
            </w:r>
            <w:r>
              <w:rPr>
                <w:color w:val="auto"/>
                <w:szCs w:val="21"/>
              </w:rPr>
              <w:t>海</w:t>
            </w:r>
            <w:r>
              <w:rPr>
                <w:rFonts w:hint="eastAsia"/>
                <w:color w:val="auto"/>
                <w:szCs w:val="21"/>
              </w:rPr>
              <w:t>安数据</w:t>
            </w:r>
            <w:r>
              <w:rPr>
                <w:color w:val="auto"/>
                <w:szCs w:val="21"/>
              </w:rPr>
              <w:t>备</w:t>
            </w:r>
            <w:r>
              <w:rPr>
                <w:rFonts w:hint="eastAsia"/>
                <w:color w:val="auto"/>
                <w:szCs w:val="21"/>
              </w:rPr>
              <w:t>〔2025〕1815</w:t>
            </w:r>
            <w:r>
              <w:rPr>
                <w:color w:val="auto"/>
                <w:szCs w:val="21"/>
              </w:rPr>
              <w:t>号</w:t>
            </w:r>
            <w:r>
              <w:rPr>
                <w:color w:val="auto"/>
                <w:spacing w:val="6"/>
                <w:szCs w:val="21"/>
                <w:shd w:val="clear" w:color="auto" w:fill="FFFFFF"/>
              </w:rPr>
              <w:t>，项目代码</w:t>
            </w:r>
            <w:r>
              <w:rPr>
                <w:rFonts w:hint="eastAsia"/>
                <w:color w:val="auto"/>
                <w:szCs w:val="21"/>
              </w:rPr>
              <w:t>2507-320685-89-01-290880</w:t>
            </w:r>
            <w:r>
              <w:rPr>
                <w:color w:val="auto"/>
                <w:spacing w:val="6"/>
                <w:szCs w:val="21"/>
                <w:shd w:val="clear" w:color="auto" w:fill="FFFFFF"/>
              </w:rPr>
              <w:t>）。</w:t>
            </w:r>
          </w:p>
          <w:p w14:paraId="3F52AF02">
            <w:pPr>
              <w:autoSpaceDE w:val="0"/>
              <w:autoSpaceDN w:val="0"/>
              <w:adjustRightInd w:val="0"/>
              <w:snapToGrid w:val="0"/>
              <w:spacing w:line="360" w:lineRule="auto"/>
              <w:ind w:firstLine="420" w:firstLineChars="200"/>
              <w:rPr>
                <w:color w:val="auto"/>
                <w:spacing w:val="6"/>
                <w:szCs w:val="21"/>
                <w:shd w:val="clear" w:color="auto" w:fill="FFFFFF"/>
              </w:rPr>
            </w:pPr>
            <w:r>
              <w:rPr>
                <w:snapToGrid w:val="0"/>
                <w:color w:val="auto"/>
              </w:rPr>
              <w:t>因此，建设项目符合国家和地方相关产业政策要求。</w:t>
            </w:r>
          </w:p>
          <w:p w14:paraId="6210B1B2">
            <w:pPr>
              <w:autoSpaceDE w:val="0"/>
              <w:autoSpaceDN w:val="0"/>
              <w:adjustRightInd w:val="0"/>
              <w:snapToGrid w:val="0"/>
              <w:spacing w:line="360" w:lineRule="auto"/>
              <w:ind w:firstLine="446" w:firstLineChars="200"/>
              <w:rPr>
                <w:b/>
                <w:bCs/>
                <w:color w:val="auto"/>
                <w:spacing w:val="6"/>
                <w:szCs w:val="21"/>
                <w:shd w:val="clear" w:color="auto" w:fill="FFFFFF"/>
              </w:rPr>
            </w:pPr>
            <w:r>
              <w:rPr>
                <w:b/>
                <w:bCs/>
                <w:color w:val="auto"/>
                <w:spacing w:val="6"/>
                <w:szCs w:val="21"/>
                <w:shd w:val="clear" w:color="auto" w:fill="FFFFFF"/>
              </w:rPr>
              <w:t>2.</w:t>
            </w:r>
            <w:r>
              <w:rPr>
                <w:b/>
                <w:bCs/>
                <w:color w:val="auto"/>
              </w:rPr>
              <w:t xml:space="preserve"> </w:t>
            </w:r>
            <w:r>
              <w:rPr>
                <w:b/>
                <w:bCs/>
                <w:color w:val="auto"/>
                <w:spacing w:val="6"/>
                <w:szCs w:val="21"/>
                <w:shd w:val="clear" w:color="auto" w:fill="FFFFFF"/>
              </w:rPr>
              <w:t>“三线一单”相符性</w:t>
            </w:r>
          </w:p>
          <w:p w14:paraId="357DEEEE">
            <w:pPr>
              <w:autoSpaceDE w:val="0"/>
              <w:autoSpaceDN w:val="0"/>
              <w:adjustRightInd w:val="0"/>
              <w:snapToGrid w:val="0"/>
              <w:spacing w:line="360" w:lineRule="auto"/>
              <w:ind w:firstLine="444" w:firstLineChars="200"/>
              <w:rPr>
                <w:color w:val="auto"/>
                <w:spacing w:val="6"/>
                <w:szCs w:val="21"/>
                <w:shd w:val="clear" w:color="auto" w:fill="FFFFFF"/>
              </w:rPr>
            </w:pPr>
            <w:r>
              <w:rPr>
                <w:color w:val="auto"/>
                <w:spacing w:val="6"/>
                <w:szCs w:val="21"/>
                <w:shd w:val="clear" w:color="auto" w:fill="FFFFFF"/>
              </w:rPr>
              <w:t>1）生态红线</w:t>
            </w:r>
          </w:p>
          <w:p w14:paraId="3B976729">
            <w:pPr>
              <w:autoSpaceDE w:val="0"/>
              <w:autoSpaceDN w:val="0"/>
              <w:adjustRightInd w:val="0"/>
              <w:snapToGrid w:val="0"/>
              <w:spacing w:line="360" w:lineRule="auto"/>
              <w:ind w:firstLine="444" w:firstLineChars="200"/>
              <w:rPr>
                <w:color w:val="auto"/>
                <w:spacing w:val="6"/>
                <w:szCs w:val="21"/>
                <w:shd w:val="clear" w:color="auto" w:fill="FFFFFF"/>
              </w:rPr>
            </w:pPr>
            <w:r>
              <w:rPr>
                <w:rFonts w:hint="eastAsia" w:ascii="宋体" w:hAnsi="宋体" w:cs="宋体"/>
                <w:color w:val="auto"/>
                <w:spacing w:val="6"/>
                <w:szCs w:val="21"/>
                <w:shd w:val="clear" w:color="auto" w:fill="FFFFFF"/>
              </w:rPr>
              <w:t>①</w:t>
            </w:r>
            <w:r>
              <w:rPr>
                <w:color w:val="auto"/>
                <w:spacing w:val="6"/>
                <w:szCs w:val="21"/>
                <w:shd w:val="clear" w:color="auto" w:fill="FFFFFF"/>
              </w:rPr>
              <w:t>根据《江苏省国家级生态保护红线规划》（苏政发〔2018〕74号），本项目距离</w:t>
            </w:r>
            <w:r>
              <w:rPr>
                <w:rFonts w:hint="eastAsia"/>
                <w:color w:val="auto"/>
                <w:spacing w:val="6"/>
                <w:szCs w:val="21"/>
                <w:shd w:val="clear" w:color="auto" w:fill="FFFFFF"/>
              </w:rPr>
              <w:t>最近</w:t>
            </w:r>
            <w:r>
              <w:rPr>
                <w:color w:val="auto"/>
                <w:spacing w:val="6"/>
                <w:szCs w:val="21"/>
                <w:shd w:val="clear" w:color="auto" w:fill="FFFFFF"/>
              </w:rPr>
              <w:t>的国家级生态保护红线区—新通扬运河（海安）饮用水水源保护区约</w:t>
            </w:r>
            <w:r>
              <w:rPr>
                <w:rFonts w:hint="eastAsia"/>
                <w:color w:val="auto"/>
                <w:spacing w:val="6"/>
                <w:szCs w:val="21"/>
                <w:shd w:val="clear" w:color="auto" w:fill="FFFFFF"/>
              </w:rPr>
              <w:t>25.6</w:t>
            </w:r>
            <w:r>
              <w:rPr>
                <w:color w:val="auto"/>
                <w:spacing w:val="6"/>
                <w:szCs w:val="21"/>
                <w:shd w:val="clear" w:color="auto" w:fill="FFFFFF"/>
              </w:rPr>
              <w:t>km，</w:t>
            </w:r>
            <w:r>
              <w:rPr>
                <w:color w:val="auto"/>
                <w:szCs w:val="21"/>
              </w:rPr>
              <w:t>本项目</w:t>
            </w:r>
            <w:r>
              <w:rPr>
                <w:rFonts w:hint="eastAsia"/>
                <w:color w:val="auto"/>
                <w:szCs w:val="21"/>
              </w:rPr>
              <w:t>评价范围内</w:t>
            </w:r>
            <w:r>
              <w:rPr>
                <w:color w:val="auto"/>
                <w:szCs w:val="21"/>
              </w:rPr>
              <w:t>不涉及国家级生态保护红线区域，不会导致海安市辖区内国家级生态保护红线生态服务功能下降。</w:t>
            </w:r>
          </w:p>
          <w:p w14:paraId="31DE0DB6">
            <w:pPr>
              <w:autoSpaceDE w:val="0"/>
              <w:autoSpaceDN w:val="0"/>
              <w:adjustRightInd w:val="0"/>
              <w:snapToGrid w:val="0"/>
              <w:spacing w:line="360" w:lineRule="auto"/>
              <w:ind w:firstLine="444" w:firstLineChars="200"/>
              <w:rPr>
                <w:color w:val="auto"/>
                <w:spacing w:val="6"/>
                <w:szCs w:val="21"/>
                <w:shd w:val="clear" w:color="auto" w:fill="FFFFFF"/>
              </w:rPr>
            </w:pPr>
            <w:r>
              <w:rPr>
                <w:rFonts w:ascii="Cambria Math" w:hAnsi="Cambria Math" w:cs="Cambria Math"/>
                <w:color w:val="auto"/>
                <w:spacing w:val="6"/>
                <w:szCs w:val="21"/>
                <w:shd w:val="clear" w:color="auto" w:fill="FFFFFF"/>
              </w:rPr>
              <w:t>②</w:t>
            </w:r>
            <w:r>
              <w:rPr>
                <w:color w:val="auto"/>
                <w:spacing w:val="6"/>
                <w:szCs w:val="21"/>
                <w:shd w:val="clear" w:color="auto" w:fill="FFFFFF"/>
              </w:rPr>
              <w:t>根据《省政府关于印发江苏省生态空间管控区域规划的通知》（苏政发〔2020〕1号）、《江苏省自然资源厅关于海安市生态空间管控区域调整方案的复函》（苏自然资函〔2021〕1085号）及《南通市生态环境分区管控方案动态更新成果（2023年）》，与本项目距离最近的生态空间管控区域为</w:t>
            </w:r>
            <w:r>
              <w:rPr>
                <w:rFonts w:hint="eastAsia"/>
                <w:color w:val="auto"/>
                <w:spacing w:val="6"/>
                <w:szCs w:val="21"/>
                <w:shd w:val="clear" w:color="auto" w:fill="FFFFFF"/>
              </w:rPr>
              <w:t>丁堡河清水通道维护区</w:t>
            </w:r>
            <w:r>
              <w:rPr>
                <w:color w:val="auto"/>
                <w:spacing w:val="6"/>
                <w:szCs w:val="21"/>
                <w:shd w:val="clear" w:color="auto" w:fill="FFFFFF"/>
              </w:rPr>
              <w:t>，边界最近距离约为</w:t>
            </w:r>
            <w:r>
              <w:rPr>
                <w:rFonts w:hint="eastAsia"/>
                <w:color w:val="auto"/>
                <w:spacing w:val="6"/>
                <w:szCs w:val="21"/>
                <w:shd w:val="clear" w:color="auto" w:fill="FFFFFF"/>
              </w:rPr>
              <w:t>626</w:t>
            </w:r>
            <w:r>
              <w:rPr>
                <w:color w:val="auto"/>
                <w:spacing w:val="6"/>
                <w:szCs w:val="21"/>
                <w:shd w:val="clear" w:color="auto" w:fill="FFFFFF"/>
              </w:rPr>
              <w:t>m，本项目</w:t>
            </w:r>
            <w:r>
              <w:rPr>
                <w:rFonts w:hint="eastAsia"/>
                <w:color w:val="auto"/>
                <w:spacing w:val="6"/>
                <w:szCs w:val="21"/>
                <w:shd w:val="clear" w:color="auto" w:fill="FFFFFF"/>
              </w:rPr>
              <w:t>评价范围内不涉及生态空间管控区，不会导致海安市辖区内生态空间管控区生态服务功能下降</w:t>
            </w:r>
            <w:r>
              <w:rPr>
                <w:color w:val="auto"/>
                <w:spacing w:val="6"/>
                <w:szCs w:val="21"/>
                <w:shd w:val="clear" w:color="auto" w:fill="FFFFFF"/>
              </w:rPr>
              <w:t>。</w:t>
            </w:r>
          </w:p>
          <w:p w14:paraId="2EBACB11">
            <w:pPr>
              <w:autoSpaceDE w:val="0"/>
              <w:autoSpaceDN w:val="0"/>
              <w:adjustRightInd w:val="0"/>
              <w:snapToGrid w:val="0"/>
              <w:spacing w:line="360" w:lineRule="auto"/>
              <w:ind w:firstLine="444" w:firstLineChars="200"/>
              <w:rPr>
                <w:color w:val="auto"/>
                <w:spacing w:val="6"/>
                <w:szCs w:val="21"/>
                <w:shd w:val="clear" w:color="auto" w:fill="FFFFFF"/>
              </w:rPr>
            </w:pPr>
            <w:r>
              <w:rPr>
                <w:color w:val="auto"/>
                <w:spacing w:val="6"/>
                <w:szCs w:val="21"/>
                <w:shd w:val="clear" w:color="auto" w:fill="FFFFFF"/>
              </w:rPr>
              <w:t>2）环境质量底线</w:t>
            </w:r>
          </w:p>
          <w:p w14:paraId="4F0D2730">
            <w:pPr>
              <w:pStyle w:val="2"/>
              <w:adjustRightInd w:val="0"/>
              <w:spacing w:before="0" w:after="0" w:line="360" w:lineRule="auto"/>
              <w:ind w:left="0" w:firstLine="420" w:firstLineChars="200"/>
              <w:rPr>
                <w:rFonts w:eastAsia="宋体"/>
                <w:color w:val="auto"/>
                <w:sz w:val="21"/>
                <w:szCs w:val="21"/>
              </w:rPr>
            </w:pPr>
            <w:r>
              <w:rPr>
                <w:rFonts w:eastAsia="宋体"/>
                <w:b w:val="0"/>
                <w:bCs w:val="0"/>
                <w:color w:val="auto"/>
                <w:sz w:val="21"/>
                <w:szCs w:val="21"/>
              </w:rPr>
              <w:t>环境质量底线是国家和地方设置的大气、水和土壤环境质量目标，也是改善环境质量的基准线。根据《南通市生态环境状况公报》（202</w:t>
            </w:r>
            <w:r>
              <w:rPr>
                <w:rFonts w:hint="eastAsia" w:eastAsia="宋体"/>
                <w:b w:val="0"/>
                <w:bCs w:val="0"/>
                <w:color w:val="auto"/>
                <w:sz w:val="21"/>
                <w:szCs w:val="21"/>
              </w:rPr>
              <w:t>4年</w:t>
            </w:r>
            <w:r>
              <w:rPr>
                <w:rFonts w:eastAsia="宋体"/>
                <w:b w:val="0"/>
                <w:bCs w:val="0"/>
                <w:color w:val="auto"/>
                <w:sz w:val="21"/>
                <w:szCs w:val="21"/>
              </w:rPr>
              <w:t>），202</w:t>
            </w:r>
            <w:r>
              <w:rPr>
                <w:rFonts w:hint="eastAsia" w:eastAsia="宋体"/>
                <w:b w:val="0"/>
                <w:bCs w:val="0"/>
                <w:color w:val="auto"/>
                <w:sz w:val="21"/>
                <w:szCs w:val="21"/>
              </w:rPr>
              <w:t>4</w:t>
            </w:r>
            <w:r>
              <w:rPr>
                <w:rFonts w:eastAsia="宋体"/>
                <w:b w:val="0"/>
                <w:bCs w:val="0"/>
                <w:color w:val="auto"/>
                <w:sz w:val="21"/>
                <w:szCs w:val="21"/>
              </w:rPr>
              <w:t>年海安区域SO</w:t>
            </w:r>
            <w:r>
              <w:rPr>
                <w:rFonts w:eastAsia="宋体"/>
                <w:b w:val="0"/>
                <w:bCs w:val="0"/>
                <w:color w:val="auto"/>
                <w:sz w:val="21"/>
                <w:szCs w:val="21"/>
                <w:vertAlign w:val="subscript"/>
              </w:rPr>
              <w:t>2</w:t>
            </w:r>
            <w:r>
              <w:rPr>
                <w:rFonts w:eastAsia="宋体"/>
                <w:b w:val="0"/>
                <w:bCs w:val="0"/>
                <w:color w:val="auto"/>
                <w:sz w:val="21"/>
                <w:szCs w:val="21"/>
              </w:rPr>
              <w:t>、NO</w:t>
            </w:r>
            <w:r>
              <w:rPr>
                <w:rFonts w:eastAsia="宋体"/>
                <w:b w:val="0"/>
                <w:bCs w:val="0"/>
                <w:color w:val="auto"/>
                <w:sz w:val="21"/>
                <w:szCs w:val="21"/>
                <w:vertAlign w:val="subscript"/>
              </w:rPr>
              <w:t>2</w:t>
            </w:r>
            <w:r>
              <w:rPr>
                <w:rFonts w:eastAsia="宋体"/>
                <w:b w:val="0"/>
                <w:bCs w:val="0"/>
                <w:color w:val="auto"/>
                <w:sz w:val="21"/>
                <w:szCs w:val="21"/>
              </w:rPr>
              <w:t>、PM</w:t>
            </w:r>
            <w:r>
              <w:rPr>
                <w:rFonts w:eastAsia="宋体"/>
                <w:b w:val="0"/>
                <w:bCs w:val="0"/>
                <w:color w:val="auto"/>
                <w:sz w:val="21"/>
                <w:szCs w:val="21"/>
                <w:vertAlign w:val="subscript"/>
              </w:rPr>
              <w:t>10</w:t>
            </w:r>
            <w:r>
              <w:rPr>
                <w:rFonts w:eastAsia="宋体"/>
                <w:b w:val="0"/>
                <w:bCs w:val="0"/>
                <w:color w:val="auto"/>
                <w:sz w:val="21"/>
                <w:szCs w:val="21"/>
              </w:rPr>
              <w:t>、PM</w:t>
            </w:r>
            <w:r>
              <w:rPr>
                <w:rFonts w:eastAsia="宋体"/>
                <w:b w:val="0"/>
                <w:bCs w:val="0"/>
                <w:color w:val="auto"/>
                <w:sz w:val="21"/>
                <w:szCs w:val="21"/>
                <w:vertAlign w:val="subscript"/>
              </w:rPr>
              <w:t>2.5</w:t>
            </w:r>
            <w:r>
              <w:rPr>
                <w:rFonts w:eastAsia="宋体"/>
                <w:b w:val="0"/>
                <w:bCs w:val="0"/>
                <w:color w:val="auto"/>
                <w:sz w:val="21"/>
                <w:szCs w:val="21"/>
              </w:rPr>
              <w:t>、CO</w:t>
            </w:r>
            <w:r>
              <w:rPr>
                <w:rFonts w:hint="eastAsia" w:eastAsia="宋体"/>
                <w:b w:val="0"/>
                <w:bCs w:val="0"/>
                <w:color w:val="auto"/>
                <w:sz w:val="21"/>
                <w:szCs w:val="21"/>
              </w:rPr>
              <w:t>、</w:t>
            </w:r>
            <w:r>
              <w:rPr>
                <w:rFonts w:eastAsia="宋体"/>
                <w:b w:val="0"/>
                <w:bCs w:val="0"/>
                <w:color w:val="auto"/>
                <w:sz w:val="21"/>
                <w:szCs w:val="21"/>
              </w:rPr>
              <w:t>O</w:t>
            </w:r>
            <w:r>
              <w:rPr>
                <w:rFonts w:eastAsia="宋体"/>
                <w:b w:val="0"/>
                <w:bCs w:val="0"/>
                <w:color w:val="auto"/>
                <w:sz w:val="21"/>
                <w:szCs w:val="21"/>
                <w:vertAlign w:val="subscript"/>
              </w:rPr>
              <w:t>3</w:t>
            </w:r>
            <w:r>
              <w:rPr>
                <w:rFonts w:hint="eastAsia" w:eastAsia="宋体"/>
                <w:b w:val="0"/>
                <w:bCs w:val="0"/>
                <w:color w:val="auto"/>
                <w:sz w:val="21"/>
                <w:szCs w:val="21"/>
              </w:rPr>
              <w:t>均</w:t>
            </w:r>
            <w:r>
              <w:rPr>
                <w:rFonts w:eastAsia="宋体"/>
                <w:b w:val="0"/>
                <w:bCs w:val="0"/>
                <w:color w:val="auto"/>
                <w:sz w:val="21"/>
                <w:szCs w:val="21"/>
              </w:rPr>
              <w:t>符合《环境空气质量标准》（GB3095-2012）中二级标准</w:t>
            </w:r>
            <w:r>
              <w:rPr>
                <w:rFonts w:hint="eastAsia" w:eastAsia="宋体"/>
                <w:b w:val="0"/>
                <w:bCs w:val="0"/>
                <w:color w:val="auto"/>
                <w:sz w:val="21"/>
                <w:szCs w:val="21"/>
              </w:rPr>
              <w:t>，</w:t>
            </w:r>
            <w:r>
              <w:rPr>
                <w:rFonts w:eastAsia="宋体"/>
                <w:b w:val="0"/>
                <w:bCs w:val="0"/>
                <w:color w:val="auto"/>
                <w:sz w:val="21"/>
                <w:szCs w:val="21"/>
              </w:rPr>
              <w:t>因此该区域属于大气环境质量达标区。</w:t>
            </w:r>
          </w:p>
          <w:p w14:paraId="46A53860">
            <w:pPr>
              <w:pStyle w:val="86"/>
              <w:adjustRightInd w:val="0"/>
              <w:snapToGrid w:val="0"/>
              <w:rPr>
                <w:color w:val="auto"/>
                <w:kern w:val="0"/>
                <w:sz w:val="21"/>
                <w:szCs w:val="21"/>
              </w:rPr>
            </w:pPr>
            <w:r>
              <w:rPr>
                <w:color w:val="auto"/>
                <w:sz w:val="21"/>
                <w:szCs w:val="21"/>
              </w:rPr>
              <w:t>根据《南通市生态环境状况公报》（202</w:t>
            </w:r>
            <w:r>
              <w:rPr>
                <w:rFonts w:hint="eastAsia"/>
                <w:color w:val="auto"/>
                <w:sz w:val="21"/>
                <w:szCs w:val="21"/>
              </w:rPr>
              <w:t>4年</w:t>
            </w:r>
            <w:r>
              <w:rPr>
                <w:color w:val="auto"/>
                <w:sz w:val="21"/>
                <w:szCs w:val="21"/>
              </w:rPr>
              <w:t>），</w:t>
            </w:r>
            <w:r>
              <w:rPr>
                <w:rFonts w:hint="eastAsia"/>
                <w:color w:val="auto"/>
                <w:sz w:val="21"/>
                <w:szCs w:val="21"/>
              </w:rPr>
              <w:t>南通市境内主要内河中，焦港河、通吕运河、如海运河、九圩港河、通启运河、通扬运河、新通扬运河、栟茶运河、北凌河、如泰运河水质基本达到Ⅲ类标准。</w:t>
            </w:r>
            <w:r>
              <w:rPr>
                <w:rFonts w:hint="eastAsia"/>
                <w:color w:val="auto"/>
                <w:kern w:val="0"/>
                <w:sz w:val="21"/>
                <w:szCs w:val="21"/>
              </w:rPr>
              <w:t>项目纳污水体北凌河水环境质量现状引用《江苏天蓝油脂有限公司工业混合油生产项目环境影响报告书》中于2024年7月24日~7月26日对海安李堡滇池水务有限公司排口上下游3个断面水质进行的地表水监测数据，北凌河监测断面中pH、COD、氨氮、总磷均能满足《地表水环境质量标准》（GB3838-2002）中Ⅲ类标准要求。</w:t>
            </w:r>
          </w:p>
          <w:p w14:paraId="4B708FD8">
            <w:pPr>
              <w:pStyle w:val="86"/>
              <w:adjustRightInd w:val="0"/>
              <w:snapToGrid w:val="0"/>
              <w:rPr>
                <w:color w:val="auto"/>
                <w:kern w:val="0"/>
                <w:sz w:val="21"/>
                <w:szCs w:val="21"/>
              </w:rPr>
            </w:pPr>
            <w:r>
              <w:rPr>
                <w:color w:val="auto"/>
                <w:kern w:val="0"/>
                <w:sz w:val="21"/>
                <w:szCs w:val="21"/>
              </w:rPr>
              <w:t>建设项目营运期产生的各项污染物通过相应的治理措施处理后均可达标排放，环境风险可控制在安全范围内。</w:t>
            </w:r>
          </w:p>
          <w:p w14:paraId="384B2A8F">
            <w:pPr>
              <w:autoSpaceDE w:val="0"/>
              <w:autoSpaceDN w:val="0"/>
              <w:adjustRightInd w:val="0"/>
              <w:snapToGrid w:val="0"/>
              <w:spacing w:line="360" w:lineRule="auto"/>
              <w:ind w:firstLine="420" w:firstLineChars="200"/>
              <w:rPr>
                <w:color w:val="auto"/>
                <w:spacing w:val="6"/>
                <w:szCs w:val="21"/>
                <w:shd w:val="clear" w:color="auto" w:fill="FFFFFF"/>
              </w:rPr>
            </w:pPr>
            <w:r>
              <w:rPr>
                <w:color w:val="auto"/>
                <w:kern w:val="0"/>
                <w:szCs w:val="21"/>
              </w:rPr>
              <w:t>因此，本项目的建设对区域环境质量影响较小，符合环境质量底线的相关规定要求。</w:t>
            </w:r>
          </w:p>
          <w:p w14:paraId="36AC88AA">
            <w:pPr>
              <w:autoSpaceDE w:val="0"/>
              <w:autoSpaceDN w:val="0"/>
              <w:adjustRightInd w:val="0"/>
              <w:snapToGrid w:val="0"/>
              <w:spacing w:line="360" w:lineRule="auto"/>
              <w:ind w:firstLine="444" w:firstLineChars="200"/>
              <w:rPr>
                <w:color w:val="auto"/>
                <w:spacing w:val="6"/>
                <w:szCs w:val="21"/>
                <w:shd w:val="clear" w:color="auto" w:fill="FFFFFF"/>
              </w:rPr>
            </w:pPr>
            <w:r>
              <w:rPr>
                <w:color w:val="auto"/>
                <w:spacing w:val="6"/>
                <w:szCs w:val="21"/>
                <w:shd w:val="clear" w:color="auto" w:fill="FFFFFF"/>
              </w:rPr>
              <w:t>3）资源利用上线</w:t>
            </w:r>
          </w:p>
          <w:p w14:paraId="1403BDFF">
            <w:pPr>
              <w:autoSpaceDE w:val="0"/>
              <w:autoSpaceDN w:val="0"/>
              <w:adjustRightInd w:val="0"/>
              <w:snapToGrid w:val="0"/>
              <w:spacing w:line="360" w:lineRule="auto"/>
              <w:ind w:firstLine="420" w:firstLineChars="200"/>
              <w:rPr>
                <w:color w:val="auto"/>
                <w:spacing w:val="6"/>
                <w:szCs w:val="21"/>
                <w:shd w:val="clear" w:color="auto" w:fill="FFFFFF"/>
              </w:rPr>
            </w:pPr>
            <w:r>
              <w:rPr>
                <w:color w:val="auto"/>
                <w:kern w:val="0"/>
                <w:szCs w:val="21"/>
              </w:rPr>
              <w:t>建设项目</w:t>
            </w:r>
            <w:r>
              <w:rPr>
                <w:rFonts w:hint="eastAsia"/>
                <w:color w:val="auto"/>
                <w:kern w:val="0"/>
                <w:szCs w:val="21"/>
              </w:rPr>
              <w:t>新鲜自来水用量为</w:t>
            </w:r>
            <w:r>
              <w:rPr>
                <w:rFonts w:hint="eastAsia"/>
                <w:color w:val="auto"/>
                <w:szCs w:val="21"/>
                <w:lang w:eastAsia="zh-CN"/>
              </w:rPr>
              <w:t>128</w:t>
            </w:r>
            <w:r>
              <w:rPr>
                <w:color w:val="auto"/>
                <w:kern w:val="0"/>
                <w:szCs w:val="21"/>
              </w:rPr>
              <w:t>t/a，用电量</w:t>
            </w:r>
            <w:r>
              <w:rPr>
                <w:rFonts w:hint="eastAsia"/>
                <w:color w:val="auto"/>
                <w:kern w:val="0"/>
                <w:szCs w:val="21"/>
              </w:rPr>
              <w:t>5</w:t>
            </w:r>
            <w:r>
              <w:rPr>
                <w:color w:val="auto"/>
                <w:kern w:val="0"/>
                <w:szCs w:val="21"/>
              </w:rPr>
              <w:t>万度/a。区域自来水厂可满足本项目新鲜水使用要求，区域电网可满足项目使用要求，建设项目对当地资源利用基本无影响</w:t>
            </w:r>
            <w:r>
              <w:rPr>
                <w:color w:val="auto"/>
                <w:spacing w:val="6"/>
                <w:szCs w:val="21"/>
                <w:shd w:val="clear" w:color="auto" w:fill="FFFFFF"/>
              </w:rPr>
              <w:t>。因此本项目</w:t>
            </w:r>
            <w:r>
              <w:rPr>
                <w:rFonts w:hint="eastAsia"/>
                <w:color w:val="auto"/>
                <w:spacing w:val="6"/>
                <w:szCs w:val="21"/>
                <w:shd w:val="clear" w:color="auto" w:fill="FFFFFF"/>
              </w:rPr>
              <w:t>未突破资源利用上线</w:t>
            </w:r>
            <w:r>
              <w:rPr>
                <w:color w:val="auto"/>
                <w:spacing w:val="6"/>
                <w:szCs w:val="21"/>
                <w:shd w:val="clear" w:color="auto" w:fill="FFFFFF"/>
              </w:rPr>
              <w:t>。</w:t>
            </w:r>
          </w:p>
          <w:p w14:paraId="6E9CAA1D">
            <w:pPr>
              <w:autoSpaceDE w:val="0"/>
              <w:autoSpaceDN w:val="0"/>
              <w:adjustRightInd w:val="0"/>
              <w:snapToGrid w:val="0"/>
              <w:spacing w:line="360" w:lineRule="auto"/>
              <w:ind w:firstLine="444" w:firstLineChars="200"/>
              <w:rPr>
                <w:color w:val="auto"/>
                <w:spacing w:val="6"/>
                <w:szCs w:val="21"/>
                <w:shd w:val="clear" w:color="auto" w:fill="FFFFFF"/>
              </w:rPr>
            </w:pPr>
            <w:r>
              <w:rPr>
                <w:color w:val="auto"/>
                <w:spacing w:val="6"/>
                <w:szCs w:val="21"/>
                <w:shd w:val="clear" w:color="auto" w:fill="FFFFFF"/>
              </w:rPr>
              <w:t>4）环境准入负面清单</w:t>
            </w:r>
          </w:p>
          <w:p w14:paraId="0B370982">
            <w:pPr>
              <w:autoSpaceDE w:val="0"/>
              <w:autoSpaceDN w:val="0"/>
              <w:adjustRightInd w:val="0"/>
              <w:snapToGrid w:val="0"/>
              <w:spacing w:line="360" w:lineRule="auto"/>
              <w:ind w:firstLine="420" w:firstLineChars="200"/>
              <w:rPr>
                <w:color w:val="auto"/>
              </w:rPr>
            </w:pPr>
            <w:r>
              <w:rPr>
                <w:color w:val="auto"/>
              </w:rPr>
              <w:fldChar w:fldCharType="begin"/>
            </w:r>
            <w:r>
              <w:rPr>
                <w:color w:val="auto"/>
              </w:rPr>
              <w:instrText xml:space="preserve"> </w:instrText>
            </w:r>
            <w:r>
              <w:rPr>
                <w:rFonts w:hint="eastAsia"/>
                <w:color w:val="auto"/>
              </w:rPr>
              <w:instrText xml:space="preserve">= 1 \* GB3</w:instrText>
            </w:r>
            <w:r>
              <w:rPr>
                <w:color w:val="auto"/>
              </w:rPr>
              <w:instrText xml:space="preserve"> </w:instrText>
            </w:r>
            <w:r>
              <w:rPr>
                <w:color w:val="auto"/>
              </w:rPr>
              <w:fldChar w:fldCharType="separate"/>
            </w:r>
            <w:r>
              <w:rPr>
                <w:rFonts w:hint="eastAsia"/>
                <w:color w:val="auto"/>
              </w:rPr>
              <w:t>①</w:t>
            </w:r>
            <w:r>
              <w:rPr>
                <w:color w:val="auto"/>
              </w:rPr>
              <w:fldChar w:fldCharType="end"/>
            </w:r>
            <w:r>
              <w:rPr>
                <w:color w:val="auto"/>
              </w:rPr>
              <w:t>与《&lt;长江经济带发展负面清单指南&gt;江苏省实施细则（试行，2022 年版）》具体管控要求对照详见表1-</w:t>
            </w:r>
            <w:r>
              <w:rPr>
                <w:rFonts w:hint="eastAsia"/>
                <w:color w:val="auto"/>
              </w:rPr>
              <w:t>2</w:t>
            </w:r>
            <w:r>
              <w:rPr>
                <w:color w:val="auto"/>
              </w:rPr>
              <w:t>。</w:t>
            </w:r>
          </w:p>
          <w:p w14:paraId="59747427">
            <w:pPr>
              <w:jc w:val="center"/>
              <w:rPr>
                <w:b/>
                <w:bCs/>
                <w:color w:val="auto"/>
              </w:rPr>
            </w:pPr>
            <w:r>
              <w:rPr>
                <w:b/>
                <w:bCs/>
                <w:color w:val="auto"/>
              </w:rPr>
              <w:t>表1-</w:t>
            </w:r>
            <w:r>
              <w:rPr>
                <w:rFonts w:hint="eastAsia"/>
                <w:b/>
                <w:bCs/>
                <w:color w:val="auto"/>
              </w:rPr>
              <w:t>2</w:t>
            </w:r>
            <w:r>
              <w:rPr>
                <w:b/>
                <w:bCs/>
                <w:color w:val="auto"/>
              </w:rPr>
              <w:t xml:space="preserve"> 与《&lt;长江经济带发展负面清单指南&gt;江苏省实施细则（试行</w:t>
            </w:r>
            <w:r>
              <w:rPr>
                <w:rFonts w:hint="eastAsia"/>
                <w:b/>
                <w:bCs/>
                <w:color w:val="auto"/>
              </w:rPr>
              <w:t>，</w:t>
            </w:r>
            <w:r>
              <w:rPr>
                <w:b/>
                <w:bCs/>
                <w:color w:val="auto"/>
              </w:rPr>
              <w:t>2022年版）》相符性分析</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Layout w:type="fixed"/>
              <w:tblCellMar>
                <w:top w:w="0" w:type="dxa"/>
                <w:left w:w="108" w:type="dxa"/>
                <w:bottom w:w="0" w:type="dxa"/>
                <w:right w:w="108" w:type="dxa"/>
              </w:tblCellMar>
            </w:tblPr>
            <w:tblGrid>
              <w:gridCol w:w="475"/>
              <w:gridCol w:w="4729"/>
              <w:gridCol w:w="2096"/>
              <w:gridCol w:w="521"/>
            </w:tblGrid>
            <w:tr w14:paraId="3DE693E7">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232" w:hRule="atLeast"/>
                <w:tblHeader/>
                <w:jc w:val="center"/>
              </w:trPr>
              <w:tc>
                <w:tcPr>
                  <w:tcW w:w="304" w:type="pct"/>
                  <w:vAlign w:val="center"/>
                </w:tcPr>
                <w:p w14:paraId="6398D149">
                  <w:pPr>
                    <w:pStyle w:val="102"/>
                    <w:rPr>
                      <w:color w:val="auto"/>
                      <w:sz w:val="18"/>
                      <w:szCs w:val="18"/>
                    </w:rPr>
                  </w:pPr>
                  <w:r>
                    <w:rPr>
                      <w:color w:val="auto"/>
                      <w:sz w:val="18"/>
                      <w:szCs w:val="18"/>
                    </w:rPr>
                    <w:t>序号</w:t>
                  </w:r>
                </w:p>
              </w:tc>
              <w:tc>
                <w:tcPr>
                  <w:tcW w:w="3021" w:type="pct"/>
                  <w:vAlign w:val="center"/>
                </w:tcPr>
                <w:p w14:paraId="78A1C48B">
                  <w:pPr>
                    <w:pStyle w:val="102"/>
                    <w:rPr>
                      <w:color w:val="auto"/>
                      <w:sz w:val="18"/>
                      <w:szCs w:val="18"/>
                    </w:rPr>
                  </w:pPr>
                  <w:r>
                    <w:rPr>
                      <w:color w:val="auto"/>
                      <w:sz w:val="18"/>
                      <w:szCs w:val="18"/>
                    </w:rPr>
                    <w:t>管控条款</w:t>
                  </w:r>
                </w:p>
              </w:tc>
              <w:tc>
                <w:tcPr>
                  <w:tcW w:w="1339" w:type="pct"/>
                  <w:vAlign w:val="center"/>
                </w:tcPr>
                <w:p w14:paraId="70FDFF54">
                  <w:pPr>
                    <w:pStyle w:val="102"/>
                    <w:rPr>
                      <w:color w:val="auto"/>
                      <w:sz w:val="18"/>
                      <w:szCs w:val="18"/>
                    </w:rPr>
                  </w:pPr>
                  <w:r>
                    <w:rPr>
                      <w:color w:val="auto"/>
                      <w:sz w:val="18"/>
                      <w:szCs w:val="18"/>
                    </w:rPr>
                    <w:t>本项目情况</w:t>
                  </w:r>
                </w:p>
              </w:tc>
              <w:tc>
                <w:tcPr>
                  <w:tcW w:w="333" w:type="pct"/>
                  <w:vAlign w:val="center"/>
                </w:tcPr>
                <w:p w14:paraId="5B393D03">
                  <w:pPr>
                    <w:pStyle w:val="102"/>
                    <w:rPr>
                      <w:color w:val="auto"/>
                      <w:sz w:val="18"/>
                      <w:szCs w:val="18"/>
                    </w:rPr>
                  </w:pPr>
                  <w:r>
                    <w:rPr>
                      <w:color w:val="auto"/>
                      <w:sz w:val="18"/>
                      <w:szCs w:val="18"/>
                    </w:rPr>
                    <w:t>相符性</w:t>
                  </w:r>
                </w:p>
              </w:tc>
            </w:tr>
            <w:tr w14:paraId="1FDE74EB">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1185" w:hRule="atLeast"/>
                <w:jc w:val="center"/>
              </w:trPr>
              <w:tc>
                <w:tcPr>
                  <w:tcW w:w="304" w:type="pct"/>
                  <w:vAlign w:val="center"/>
                </w:tcPr>
                <w:p w14:paraId="51C4C967">
                  <w:pPr>
                    <w:pStyle w:val="102"/>
                    <w:rPr>
                      <w:color w:val="auto"/>
                      <w:sz w:val="18"/>
                      <w:szCs w:val="18"/>
                    </w:rPr>
                  </w:pPr>
                  <w:r>
                    <w:rPr>
                      <w:color w:val="auto"/>
                      <w:sz w:val="18"/>
                      <w:szCs w:val="18"/>
                    </w:rPr>
                    <w:t>1</w:t>
                  </w:r>
                </w:p>
              </w:tc>
              <w:tc>
                <w:tcPr>
                  <w:tcW w:w="3021" w:type="pct"/>
                  <w:vAlign w:val="center"/>
                </w:tcPr>
                <w:p w14:paraId="056F4F03">
                  <w:pPr>
                    <w:pStyle w:val="102"/>
                    <w:rPr>
                      <w:color w:val="auto"/>
                      <w:sz w:val="18"/>
                      <w:szCs w:val="18"/>
                    </w:rPr>
                  </w:pPr>
                  <w:r>
                    <w:rPr>
                      <w:color w:val="auto"/>
                      <w:sz w:val="18"/>
                      <w:szCs w:val="18"/>
                    </w:rPr>
                    <w:t>禁止建设不符合国家港口布局规划和《江苏省沿江沿海港口布局规划（2015-2030年）》《江苏省内河港口布局规划（2017-2035 年）》以及我省有关港口总体规划的码头项目，禁止建设未纳入《长江干线过江通道布局规划》的过长江干线通道项目。</w:t>
                  </w:r>
                </w:p>
              </w:tc>
              <w:tc>
                <w:tcPr>
                  <w:tcW w:w="1339" w:type="pct"/>
                  <w:vAlign w:val="center"/>
                </w:tcPr>
                <w:p w14:paraId="1A36CA5C">
                  <w:pPr>
                    <w:pStyle w:val="102"/>
                    <w:rPr>
                      <w:color w:val="auto"/>
                      <w:sz w:val="18"/>
                      <w:szCs w:val="18"/>
                    </w:rPr>
                  </w:pPr>
                  <w:r>
                    <w:rPr>
                      <w:color w:val="auto"/>
                      <w:sz w:val="18"/>
                      <w:szCs w:val="18"/>
                    </w:rPr>
                    <w:t>本项目不属于码头及过长江干线通道项目。</w:t>
                  </w:r>
                </w:p>
              </w:tc>
              <w:tc>
                <w:tcPr>
                  <w:tcW w:w="333" w:type="pct"/>
                  <w:vAlign w:val="center"/>
                </w:tcPr>
                <w:p w14:paraId="42FDDB9A">
                  <w:pPr>
                    <w:pStyle w:val="102"/>
                    <w:rPr>
                      <w:color w:val="auto"/>
                      <w:sz w:val="18"/>
                      <w:szCs w:val="18"/>
                    </w:rPr>
                  </w:pPr>
                  <w:r>
                    <w:rPr>
                      <w:color w:val="auto"/>
                      <w:sz w:val="18"/>
                      <w:szCs w:val="18"/>
                    </w:rPr>
                    <w:t>相符</w:t>
                  </w:r>
                </w:p>
              </w:tc>
            </w:tr>
            <w:tr w14:paraId="69A5A5E8">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1651" w:hRule="atLeast"/>
                <w:jc w:val="center"/>
              </w:trPr>
              <w:tc>
                <w:tcPr>
                  <w:tcW w:w="304" w:type="pct"/>
                  <w:vAlign w:val="center"/>
                </w:tcPr>
                <w:p w14:paraId="34382A46">
                  <w:pPr>
                    <w:pStyle w:val="102"/>
                    <w:rPr>
                      <w:color w:val="auto"/>
                      <w:sz w:val="18"/>
                      <w:szCs w:val="18"/>
                    </w:rPr>
                  </w:pPr>
                  <w:r>
                    <w:rPr>
                      <w:color w:val="auto"/>
                      <w:sz w:val="18"/>
                      <w:szCs w:val="18"/>
                    </w:rPr>
                    <w:t>2</w:t>
                  </w:r>
                </w:p>
              </w:tc>
              <w:tc>
                <w:tcPr>
                  <w:tcW w:w="3021" w:type="pct"/>
                  <w:vAlign w:val="center"/>
                </w:tcPr>
                <w:p w14:paraId="69BA7D2B">
                  <w:pPr>
                    <w:pStyle w:val="102"/>
                    <w:rPr>
                      <w:color w:val="auto"/>
                      <w:sz w:val="18"/>
                      <w:szCs w:val="18"/>
                    </w:rPr>
                  </w:pPr>
                  <w:r>
                    <w:rPr>
                      <w:color w:val="auto"/>
                      <w:sz w:val="18"/>
                      <w:szCs w:val="18"/>
                    </w:rPr>
                    <w:t>严格执行《中华人民共和国自然保护区条例》，禁止在自然保护区核心区、缓冲区的岸线和河段范围内投资建设旅游和生产经营项目。严格执行《风景名胜区条例》《江苏省风景名胜区管理条例》，禁止在国家级和省级风景名胜区核心景区的岸线和河段范围内投资建设与风景名胜资源保护无关的项目。</w:t>
                  </w:r>
                </w:p>
              </w:tc>
              <w:tc>
                <w:tcPr>
                  <w:tcW w:w="1339" w:type="pct"/>
                  <w:vAlign w:val="center"/>
                </w:tcPr>
                <w:p w14:paraId="3260CE3D">
                  <w:pPr>
                    <w:pStyle w:val="102"/>
                    <w:rPr>
                      <w:color w:val="auto"/>
                      <w:sz w:val="18"/>
                      <w:szCs w:val="18"/>
                    </w:rPr>
                  </w:pPr>
                  <w:r>
                    <w:rPr>
                      <w:color w:val="auto"/>
                      <w:sz w:val="18"/>
                      <w:szCs w:val="18"/>
                    </w:rPr>
                    <w:t>本项目不在国家级和省级风景名胜区核心景区的岸线和河段范围内。</w:t>
                  </w:r>
                </w:p>
              </w:tc>
              <w:tc>
                <w:tcPr>
                  <w:tcW w:w="333" w:type="pct"/>
                  <w:vAlign w:val="center"/>
                </w:tcPr>
                <w:p w14:paraId="46D4B80D">
                  <w:pPr>
                    <w:pStyle w:val="102"/>
                    <w:rPr>
                      <w:color w:val="auto"/>
                      <w:sz w:val="18"/>
                      <w:szCs w:val="18"/>
                    </w:rPr>
                  </w:pPr>
                  <w:r>
                    <w:rPr>
                      <w:color w:val="auto"/>
                      <w:sz w:val="18"/>
                      <w:szCs w:val="18"/>
                    </w:rPr>
                    <w:t>相符</w:t>
                  </w:r>
                </w:p>
              </w:tc>
            </w:tr>
            <w:tr w14:paraId="51A58273">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2262" w:hRule="atLeast"/>
                <w:jc w:val="center"/>
              </w:trPr>
              <w:tc>
                <w:tcPr>
                  <w:tcW w:w="304" w:type="pct"/>
                  <w:vAlign w:val="center"/>
                </w:tcPr>
                <w:p w14:paraId="12DAB7A9">
                  <w:pPr>
                    <w:pStyle w:val="102"/>
                    <w:rPr>
                      <w:color w:val="auto"/>
                      <w:sz w:val="18"/>
                      <w:szCs w:val="18"/>
                    </w:rPr>
                  </w:pPr>
                  <w:r>
                    <w:rPr>
                      <w:color w:val="auto"/>
                      <w:sz w:val="18"/>
                      <w:szCs w:val="18"/>
                    </w:rPr>
                    <w:t>3</w:t>
                  </w:r>
                </w:p>
              </w:tc>
              <w:tc>
                <w:tcPr>
                  <w:tcW w:w="3021" w:type="pct"/>
                  <w:vAlign w:val="center"/>
                </w:tcPr>
                <w:p w14:paraId="6BC483F7">
                  <w:pPr>
                    <w:pStyle w:val="102"/>
                    <w:rPr>
                      <w:color w:val="auto"/>
                      <w:sz w:val="18"/>
                      <w:szCs w:val="18"/>
                    </w:rPr>
                  </w:pPr>
                  <w:r>
                    <w:rPr>
                      <w:color w:val="auto"/>
                      <w:sz w:val="18"/>
                      <w:szCs w:val="18"/>
                    </w:rPr>
                    <w:t>严格执行《中华人民共和国水污染防治法》《江苏省人民代表大会常务委员会关于加强饮用水源地保护的决定》《江苏省水污染防治条例》，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禁止在饮用水水源准保护区的岸线和河段范围内新建、扩建对水体污染严重的投资建设项目，改建项目应当消减排污量。</w:t>
                  </w:r>
                </w:p>
              </w:tc>
              <w:tc>
                <w:tcPr>
                  <w:tcW w:w="1339" w:type="pct"/>
                  <w:vAlign w:val="center"/>
                </w:tcPr>
                <w:p w14:paraId="6D07960F">
                  <w:pPr>
                    <w:pStyle w:val="102"/>
                    <w:rPr>
                      <w:color w:val="auto"/>
                      <w:sz w:val="18"/>
                      <w:szCs w:val="18"/>
                    </w:rPr>
                  </w:pPr>
                  <w:r>
                    <w:rPr>
                      <w:color w:val="auto"/>
                      <w:sz w:val="18"/>
                      <w:szCs w:val="18"/>
                    </w:rPr>
                    <w:t>本项目不在饮用水水源一级保护区的岸线和河段范围内，不在饮用水水源二级保护区的岸线和河段范围内。</w:t>
                  </w:r>
                </w:p>
              </w:tc>
              <w:tc>
                <w:tcPr>
                  <w:tcW w:w="333" w:type="pct"/>
                  <w:vAlign w:val="center"/>
                </w:tcPr>
                <w:p w14:paraId="5714BD0D">
                  <w:pPr>
                    <w:pStyle w:val="102"/>
                    <w:rPr>
                      <w:color w:val="auto"/>
                      <w:sz w:val="18"/>
                      <w:szCs w:val="18"/>
                    </w:rPr>
                  </w:pPr>
                  <w:r>
                    <w:rPr>
                      <w:color w:val="auto"/>
                      <w:sz w:val="18"/>
                      <w:szCs w:val="18"/>
                    </w:rPr>
                    <w:t>相符</w:t>
                  </w:r>
                </w:p>
              </w:tc>
            </w:tr>
            <w:tr w14:paraId="12747F3A">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1401" w:hRule="atLeast"/>
                <w:jc w:val="center"/>
              </w:trPr>
              <w:tc>
                <w:tcPr>
                  <w:tcW w:w="304" w:type="pct"/>
                  <w:vAlign w:val="center"/>
                </w:tcPr>
                <w:p w14:paraId="558A50BD">
                  <w:pPr>
                    <w:pStyle w:val="102"/>
                    <w:rPr>
                      <w:color w:val="auto"/>
                      <w:sz w:val="18"/>
                      <w:szCs w:val="18"/>
                    </w:rPr>
                  </w:pPr>
                  <w:r>
                    <w:rPr>
                      <w:color w:val="auto"/>
                      <w:sz w:val="18"/>
                      <w:szCs w:val="18"/>
                    </w:rPr>
                    <w:t>4</w:t>
                  </w:r>
                </w:p>
              </w:tc>
              <w:tc>
                <w:tcPr>
                  <w:tcW w:w="3021" w:type="pct"/>
                  <w:vAlign w:val="center"/>
                </w:tcPr>
                <w:p w14:paraId="36485022">
                  <w:pPr>
                    <w:pStyle w:val="102"/>
                    <w:rPr>
                      <w:color w:val="auto"/>
                      <w:sz w:val="18"/>
                      <w:szCs w:val="18"/>
                    </w:rPr>
                  </w:pPr>
                  <w:r>
                    <w:rPr>
                      <w:color w:val="auto"/>
                      <w:sz w:val="18"/>
                      <w:szCs w:val="18"/>
                    </w:rPr>
                    <w:t>严格执行《水产种质资源保护区管理暂行办法》，禁止在国家级和省级水产种质资源保护区的岸线和河段范围内新建围湖造田、围海造地或围填海等投资建设项目。严格执行《中华人民共和国湿地保护法》《江苏省湿地保护条例》，禁止在国家湿地公园的岸线和河段范围内挖沙、采矿，以及任何不符合主体功能定位的投资建设项目。</w:t>
                  </w:r>
                </w:p>
              </w:tc>
              <w:tc>
                <w:tcPr>
                  <w:tcW w:w="1339" w:type="pct"/>
                  <w:vAlign w:val="center"/>
                </w:tcPr>
                <w:p w14:paraId="0F36EA4B">
                  <w:pPr>
                    <w:pStyle w:val="102"/>
                    <w:rPr>
                      <w:color w:val="auto"/>
                      <w:sz w:val="18"/>
                      <w:szCs w:val="18"/>
                    </w:rPr>
                  </w:pPr>
                  <w:r>
                    <w:rPr>
                      <w:color w:val="auto"/>
                      <w:sz w:val="18"/>
                      <w:szCs w:val="18"/>
                    </w:rPr>
                    <w:t>本项目不在国家级和省级水产种质资源保护区的岸线和河段范围内，不在国家湿地公园的岸线和河段范围内。</w:t>
                  </w:r>
                </w:p>
              </w:tc>
              <w:tc>
                <w:tcPr>
                  <w:tcW w:w="333" w:type="pct"/>
                  <w:vAlign w:val="center"/>
                </w:tcPr>
                <w:p w14:paraId="48C6ECBA">
                  <w:pPr>
                    <w:pStyle w:val="102"/>
                    <w:rPr>
                      <w:color w:val="auto"/>
                      <w:sz w:val="18"/>
                      <w:szCs w:val="18"/>
                    </w:rPr>
                  </w:pPr>
                  <w:r>
                    <w:rPr>
                      <w:color w:val="auto"/>
                      <w:sz w:val="18"/>
                      <w:szCs w:val="18"/>
                    </w:rPr>
                    <w:t>相符</w:t>
                  </w:r>
                </w:p>
              </w:tc>
            </w:tr>
            <w:tr w14:paraId="3FC323BC">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2155" w:hRule="atLeast"/>
                <w:jc w:val="center"/>
              </w:trPr>
              <w:tc>
                <w:tcPr>
                  <w:tcW w:w="304" w:type="pct"/>
                  <w:vAlign w:val="center"/>
                </w:tcPr>
                <w:p w14:paraId="1A419DE1">
                  <w:pPr>
                    <w:pStyle w:val="102"/>
                    <w:rPr>
                      <w:color w:val="auto"/>
                      <w:sz w:val="18"/>
                      <w:szCs w:val="18"/>
                    </w:rPr>
                  </w:pPr>
                  <w:r>
                    <w:rPr>
                      <w:color w:val="auto"/>
                      <w:sz w:val="18"/>
                      <w:szCs w:val="18"/>
                    </w:rPr>
                    <w:t>5</w:t>
                  </w:r>
                </w:p>
              </w:tc>
              <w:tc>
                <w:tcPr>
                  <w:tcW w:w="3021" w:type="pct"/>
                  <w:vAlign w:val="center"/>
                </w:tcPr>
                <w:p w14:paraId="625270FE">
                  <w:pPr>
                    <w:pStyle w:val="102"/>
                    <w:rPr>
                      <w:color w:val="auto"/>
                      <w:sz w:val="18"/>
                      <w:szCs w:val="18"/>
                    </w:rPr>
                  </w:pPr>
                  <w:r>
                    <w:rPr>
                      <w:color w:val="auto"/>
                      <w:sz w:val="18"/>
                      <w:szCs w:val="18"/>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长江干支流基础设施项目应按照《长江岸线保护和开发利用总体规划》和生态环境保护、岸线保护等要求，按规定开展项目前期论证并办理相关手续。禁止在《全国重要江河湖泊水功能区划》划定的河段及湖泊保护区、保留区内投资建设不利于水资源及自然生态保护的项目。</w:t>
                  </w:r>
                </w:p>
              </w:tc>
              <w:tc>
                <w:tcPr>
                  <w:tcW w:w="1339" w:type="pct"/>
                  <w:vAlign w:val="center"/>
                </w:tcPr>
                <w:p w14:paraId="0FC59937">
                  <w:pPr>
                    <w:pStyle w:val="102"/>
                    <w:rPr>
                      <w:color w:val="auto"/>
                      <w:sz w:val="18"/>
                      <w:szCs w:val="18"/>
                    </w:rPr>
                  </w:pPr>
                  <w:r>
                    <w:rPr>
                      <w:color w:val="auto"/>
                      <w:sz w:val="18"/>
                      <w:szCs w:val="18"/>
                    </w:rPr>
                    <w:t>本项目不在《长江岸线保护和开发利用总体规划》划定的岸线保护区和岸线保留区内，不在《全国重要江河湖泊水功能区划》划定的河段保护区、保留区内。</w:t>
                  </w:r>
                </w:p>
                <w:p w14:paraId="2A939DC3">
                  <w:pPr>
                    <w:pStyle w:val="102"/>
                    <w:rPr>
                      <w:color w:val="auto"/>
                      <w:sz w:val="18"/>
                      <w:szCs w:val="18"/>
                    </w:rPr>
                  </w:pPr>
                </w:p>
              </w:tc>
              <w:tc>
                <w:tcPr>
                  <w:tcW w:w="333" w:type="pct"/>
                  <w:vAlign w:val="center"/>
                </w:tcPr>
                <w:p w14:paraId="7C17FFF4">
                  <w:pPr>
                    <w:pStyle w:val="102"/>
                    <w:rPr>
                      <w:color w:val="auto"/>
                      <w:sz w:val="18"/>
                      <w:szCs w:val="18"/>
                    </w:rPr>
                  </w:pPr>
                  <w:r>
                    <w:rPr>
                      <w:color w:val="auto"/>
                      <w:sz w:val="18"/>
                      <w:szCs w:val="18"/>
                    </w:rPr>
                    <w:t>相符</w:t>
                  </w:r>
                </w:p>
              </w:tc>
            </w:tr>
            <w:tr w14:paraId="06136318">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495" w:hRule="atLeast"/>
                <w:jc w:val="center"/>
              </w:trPr>
              <w:tc>
                <w:tcPr>
                  <w:tcW w:w="304" w:type="pct"/>
                  <w:vAlign w:val="center"/>
                </w:tcPr>
                <w:p w14:paraId="3C3EB2F2">
                  <w:pPr>
                    <w:pStyle w:val="102"/>
                    <w:rPr>
                      <w:color w:val="auto"/>
                      <w:sz w:val="18"/>
                      <w:szCs w:val="18"/>
                    </w:rPr>
                  </w:pPr>
                  <w:r>
                    <w:rPr>
                      <w:color w:val="auto"/>
                      <w:sz w:val="18"/>
                      <w:szCs w:val="18"/>
                    </w:rPr>
                    <w:t>6</w:t>
                  </w:r>
                </w:p>
              </w:tc>
              <w:tc>
                <w:tcPr>
                  <w:tcW w:w="3021" w:type="pct"/>
                  <w:vAlign w:val="center"/>
                </w:tcPr>
                <w:p w14:paraId="4C63CAF9">
                  <w:pPr>
                    <w:pStyle w:val="102"/>
                    <w:rPr>
                      <w:color w:val="auto"/>
                      <w:sz w:val="18"/>
                      <w:szCs w:val="18"/>
                    </w:rPr>
                  </w:pPr>
                  <w:r>
                    <w:rPr>
                      <w:color w:val="auto"/>
                      <w:sz w:val="18"/>
                      <w:szCs w:val="18"/>
                    </w:rPr>
                    <w:t>禁止未经许可在长江干支流及湖泊新设、改设或扩大排污口。</w:t>
                  </w:r>
                </w:p>
              </w:tc>
              <w:tc>
                <w:tcPr>
                  <w:tcW w:w="1339" w:type="pct"/>
                  <w:vAlign w:val="center"/>
                </w:tcPr>
                <w:p w14:paraId="2B6EA33A">
                  <w:pPr>
                    <w:pStyle w:val="102"/>
                    <w:rPr>
                      <w:color w:val="auto"/>
                      <w:sz w:val="18"/>
                      <w:szCs w:val="18"/>
                    </w:rPr>
                  </w:pPr>
                  <w:r>
                    <w:rPr>
                      <w:color w:val="auto"/>
                      <w:sz w:val="18"/>
                      <w:szCs w:val="18"/>
                    </w:rPr>
                    <w:t>本项目未在长江干支流及湖泊设置排污口。</w:t>
                  </w:r>
                </w:p>
              </w:tc>
              <w:tc>
                <w:tcPr>
                  <w:tcW w:w="333" w:type="pct"/>
                  <w:vAlign w:val="center"/>
                </w:tcPr>
                <w:p w14:paraId="4E78A9B5">
                  <w:pPr>
                    <w:pStyle w:val="102"/>
                    <w:rPr>
                      <w:color w:val="auto"/>
                      <w:sz w:val="18"/>
                      <w:szCs w:val="18"/>
                    </w:rPr>
                  </w:pPr>
                  <w:r>
                    <w:rPr>
                      <w:color w:val="auto"/>
                      <w:sz w:val="18"/>
                      <w:szCs w:val="18"/>
                    </w:rPr>
                    <w:t>相符</w:t>
                  </w:r>
                </w:p>
              </w:tc>
            </w:tr>
            <w:tr w14:paraId="1E6AAE3B">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719" w:hRule="atLeast"/>
                <w:jc w:val="center"/>
              </w:trPr>
              <w:tc>
                <w:tcPr>
                  <w:tcW w:w="304" w:type="pct"/>
                  <w:vAlign w:val="center"/>
                </w:tcPr>
                <w:p w14:paraId="30CD3722">
                  <w:pPr>
                    <w:pStyle w:val="102"/>
                    <w:rPr>
                      <w:color w:val="auto"/>
                      <w:sz w:val="18"/>
                      <w:szCs w:val="18"/>
                    </w:rPr>
                  </w:pPr>
                  <w:r>
                    <w:rPr>
                      <w:color w:val="auto"/>
                      <w:sz w:val="18"/>
                      <w:szCs w:val="18"/>
                    </w:rPr>
                    <w:t>7</w:t>
                  </w:r>
                </w:p>
                <w:p w14:paraId="4BC8DBA8">
                  <w:pPr>
                    <w:pStyle w:val="102"/>
                    <w:rPr>
                      <w:color w:val="auto"/>
                      <w:sz w:val="18"/>
                      <w:szCs w:val="18"/>
                    </w:rPr>
                  </w:pPr>
                </w:p>
              </w:tc>
              <w:tc>
                <w:tcPr>
                  <w:tcW w:w="3021" w:type="pct"/>
                  <w:vAlign w:val="center"/>
                </w:tcPr>
                <w:p w14:paraId="739FA0BB">
                  <w:pPr>
                    <w:pStyle w:val="102"/>
                    <w:rPr>
                      <w:color w:val="auto"/>
                      <w:sz w:val="18"/>
                      <w:szCs w:val="18"/>
                    </w:rPr>
                  </w:pPr>
                  <w:r>
                    <w:rPr>
                      <w:color w:val="auto"/>
                      <w:sz w:val="18"/>
                      <w:szCs w:val="18"/>
                    </w:rPr>
                    <w:t>禁止长江干流、长江口、34个列入《率先全面禁捕的长江流域水生生物保护区名录》的水生生物保护区以及省规定的其它禁渔水域开展生产性捕捞。</w:t>
                  </w:r>
                </w:p>
              </w:tc>
              <w:tc>
                <w:tcPr>
                  <w:tcW w:w="1339" w:type="pct"/>
                  <w:vAlign w:val="center"/>
                </w:tcPr>
                <w:p w14:paraId="4DE62AEE">
                  <w:pPr>
                    <w:pStyle w:val="102"/>
                    <w:rPr>
                      <w:color w:val="auto"/>
                      <w:sz w:val="18"/>
                      <w:szCs w:val="18"/>
                    </w:rPr>
                  </w:pPr>
                  <w:r>
                    <w:rPr>
                      <w:color w:val="auto"/>
                      <w:sz w:val="18"/>
                      <w:szCs w:val="18"/>
                    </w:rPr>
                    <w:t>本项目不涉及。</w:t>
                  </w:r>
                </w:p>
              </w:tc>
              <w:tc>
                <w:tcPr>
                  <w:tcW w:w="333" w:type="pct"/>
                  <w:vAlign w:val="center"/>
                </w:tcPr>
                <w:p w14:paraId="1209D630">
                  <w:pPr>
                    <w:pStyle w:val="102"/>
                    <w:rPr>
                      <w:color w:val="auto"/>
                      <w:sz w:val="18"/>
                      <w:szCs w:val="18"/>
                    </w:rPr>
                  </w:pPr>
                  <w:r>
                    <w:rPr>
                      <w:color w:val="auto"/>
                      <w:sz w:val="18"/>
                      <w:szCs w:val="18"/>
                    </w:rPr>
                    <w:t>相符</w:t>
                  </w:r>
                </w:p>
              </w:tc>
            </w:tr>
            <w:tr w14:paraId="2F1616A9">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767" w:hRule="atLeast"/>
                <w:jc w:val="center"/>
              </w:trPr>
              <w:tc>
                <w:tcPr>
                  <w:tcW w:w="304" w:type="pct"/>
                  <w:vAlign w:val="center"/>
                </w:tcPr>
                <w:p w14:paraId="7DAAC926">
                  <w:pPr>
                    <w:pStyle w:val="102"/>
                    <w:rPr>
                      <w:color w:val="auto"/>
                      <w:sz w:val="18"/>
                      <w:szCs w:val="18"/>
                    </w:rPr>
                  </w:pPr>
                  <w:r>
                    <w:rPr>
                      <w:color w:val="auto"/>
                      <w:sz w:val="18"/>
                      <w:szCs w:val="18"/>
                    </w:rPr>
                    <w:t>8</w:t>
                  </w:r>
                </w:p>
              </w:tc>
              <w:tc>
                <w:tcPr>
                  <w:tcW w:w="3021" w:type="pct"/>
                  <w:vAlign w:val="center"/>
                </w:tcPr>
                <w:p w14:paraId="1BF3AE18">
                  <w:pPr>
                    <w:pStyle w:val="102"/>
                    <w:rPr>
                      <w:color w:val="auto"/>
                      <w:sz w:val="18"/>
                      <w:szCs w:val="18"/>
                    </w:rPr>
                  </w:pPr>
                  <w:r>
                    <w:rPr>
                      <w:color w:val="auto"/>
                      <w:sz w:val="18"/>
                      <w:szCs w:val="18"/>
                    </w:rPr>
                    <w:t>禁止在距离长江干支流岸线一公里范围内新建、扩建化工园区和化工项目。长江干支流一公里按照长江干支流岸线边界</w:t>
                  </w:r>
                  <w:r>
                    <w:rPr>
                      <w:rFonts w:hint="eastAsia"/>
                      <w:color w:val="auto"/>
                      <w:sz w:val="18"/>
                      <w:szCs w:val="18"/>
                    </w:rPr>
                    <w:t>（</w:t>
                  </w:r>
                  <w:r>
                    <w:rPr>
                      <w:color w:val="auto"/>
                      <w:sz w:val="18"/>
                      <w:szCs w:val="18"/>
                    </w:rPr>
                    <w:t>即水利部门河道管理范围边界）向陆域纵深一公里执行。</w:t>
                  </w:r>
                </w:p>
              </w:tc>
              <w:tc>
                <w:tcPr>
                  <w:tcW w:w="1339" w:type="pct"/>
                  <w:vAlign w:val="center"/>
                </w:tcPr>
                <w:p w14:paraId="6E6A88C9">
                  <w:pPr>
                    <w:pStyle w:val="102"/>
                    <w:rPr>
                      <w:color w:val="auto"/>
                      <w:sz w:val="18"/>
                      <w:szCs w:val="18"/>
                    </w:rPr>
                  </w:pPr>
                  <w:r>
                    <w:rPr>
                      <w:color w:val="auto"/>
                      <w:sz w:val="18"/>
                      <w:szCs w:val="18"/>
                    </w:rPr>
                    <w:t>本项目不属于化工项目。</w:t>
                  </w:r>
                </w:p>
              </w:tc>
              <w:tc>
                <w:tcPr>
                  <w:tcW w:w="333" w:type="pct"/>
                  <w:vAlign w:val="center"/>
                </w:tcPr>
                <w:p w14:paraId="080E7E75">
                  <w:pPr>
                    <w:pStyle w:val="102"/>
                    <w:rPr>
                      <w:color w:val="auto"/>
                      <w:sz w:val="18"/>
                      <w:szCs w:val="18"/>
                    </w:rPr>
                  </w:pPr>
                  <w:r>
                    <w:rPr>
                      <w:color w:val="auto"/>
                      <w:sz w:val="18"/>
                      <w:szCs w:val="18"/>
                    </w:rPr>
                    <w:t>相符</w:t>
                  </w:r>
                </w:p>
              </w:tc>
            </w:tr>
            <w:tr w14:paraId="2E50AA72">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719" w:hRule="atLeast"/>
                <w:jc w:val="center"/>
              </w:trPr>
              <w:tc>
                <w:tcPr>
                  <w:tcW w:w="304" w:type="pct"/>
                  <w:vAlign w:val="center"/>
                </w:tcPr>
                <w:p w14:paraId="7D702828">
                  <w:pPr>
                    <w:pStyle w:val="102"/>
                    <w:rPr>
                      <w:color w:val="auto"/>
                      <w:sz w:val="18"/>
                      <w:szCs w:val="18"/>
                    </w:rPr>
                  </w:pPr>
                  <w:r>
                    <w:rPr>
                      <w:color w:val="auto"/>
                      <w:sz w:val="18"/>
                      <w:szCs w:val="18"/>
                    </w:rPr>
                    <w:t>9</w:t>
                  </w:r>
                </w:p>
              </w:tc>
              <w:tc>
                <w:tcPr>
                  <w:tcW w:w="3021" w:type="pct"/>
                  <w:vAlign w:val="center"/>
                </w:tcPr>
                <w:p w14:paraId="52C193C5">
                  <w:pPr>
                    <w:pStyle w:val="102"/>
                    <w:rPr>
                      <w:color w:val="auto"/>
                      <w:sz w:val="18"/>
                      <w:szCs w:val="18"/>
                    </w:rPr>
                  </w:pPr>
                  <w:r>
                    <w:rPr>
                      <w:color w:val="auto"/>
                      <w:sz w:val="18"/>
                      <w:szCs w:val="18"/>
                    </w:rPr>
                    <w:t>禁止在长江干流岸线三公里范围内新建、改建、扩建尾矿库、冶炼渣库和磷石膏库，以提升安全、生态环境保护水平为目的的改建除外。</w:t>
                  </w:r>
                </w:p>
              </w:tc>
              <w:tc>
                <w:tcPr>
                  <w:tcW w:w="1339" w:type="pct"/>
                  <w:vAlign w:val="center"/>
                </w:tcPr>
                <w:p w14:paraId="674ED58A">
                  <w:pPr>
                    <w:pStyle w:val="102"/>
                    <w:rPr>
                      <w:color w:val="auto"/>
                      <w:sz w:val="18"/>
                      <w:szCs w:val="18"/>
                    </w:rPr>
                  </w:pPr>
                  <w:r>
                    <w:rPr>
                      <w:color w:val="auto"/>
                      <w:sz w:val="18"/>
                      <w:szCs w:val="18"/>
                    </w:rPr>
                    <w:t>本项目不涉及。</w:t>
                  </w:r>
                </w:p>
              </w:tc>
              <w:tc>
                <w:tcPr>
                  <w:tcW w:w="333" w:type="pct"/>
                  <w:vAlign w:val="center"/>
                </w:tcPr>
                <w:p w14:paraId="5662FB54">
                  <w:pPr>
                    <w:pStyle w:val="102"/>
                    <w:rPr>
                      <w:color w:val="auto"/>
                      <w:sz w:val="18"/>
                      <w:szCs w:val="18"/>
                    </w:rPr>
                  </w:pPr>
                  <w:r>
                    <w:rPr>
                      <w:color w:val="auto"/>
                      <w:sz w:val="18"/>
                      <w:szCs w:val="18"/>
                    </w:rPr>
                    <w:t>相符</w:t>
                  </w:r>
                </w:p>
              </w:tc>
            </w:tr>
            <w:tr w14:paraId="38FEFE68">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487" w:hRule="atLeast"/>
                <w:jc w:val="center"/>
              </w:trPr>
              <w:tc>
                <w:tcPr>
                  <w:tcW w:w="304" w:type="pct"/>
                  <w:vAlign w:val="center"/>
                </w:tcPr>
                <w:p w14:paraId="67A7A497">
                  <w:pPr>
                    <w:pStyle w:val="102"/>
                    <w:rPr>
                      <w:color w:val="auto"/>
                      <w:sz w:val="18"/>
                      <w:szCs w:val="18"/>
                    </w:rPr>
                  </w:pPr>
                  <w:r>
                    <w:rPr>
                      <w:color w:val="auto"/>
                      <w:sz w:val="18"/>
                      <w:szCs w:val="18"/>
                    </w:rPr>
                    <w:t>10</w:t>
                  </w:r>
                </w:p>
              </w:tc>
              <w:tc>
                <w:tcPr>
                  <w:tcW w:w="3021" w:type="pct"/>
                  <w:vAlign w:val="center"/>
                </w:tcPr>
                <w:p w14:paraId="25621225">
                  <w:pPr>
                    <w:pStyle w:val="102"/>
                    <w:rPr>
                      <w:color w:val="auto"/>
                      <w:sz w:val="18"/>
                      <w:szCs w:val="18"/>
                    </w:rPr>
                  </w:pPr>
                  <w:r>
                    <w:rPr>
                      <w:color w:val="auto"/>
                      <w:sz w:val="18"/>
                      <w:szCs w:val="18"/>
                    </w:rPr>
                    <w:t>禁止在太湖流域一、二、三级保护区内开展《江苏省太湖水污染防治条例》禁止的投资建设活动。</w:t>
                  </w:r>
                </w:p>
              </w:tc>
              <w:tc>
                <w:tcPr>
                  <w:tcW w:w="1339" w:type="pct"/>
                  <w:vAlign w:val="center"/>
                </w:tcPr>
                <w:p w14:paraId="3E5ECE63">
                  <w:pPr>
                    <w:pStyle w:val="102"/>
                    <w:rPr>
                      <w:color w:val="auto"/>
                      <w:sz w:val="18"/>
                      <w:szCs w:val="18"/>
                    </w:rPr>
                  </w:pPr>
                  <w:r>
                    <w:rPr>
                      <w:color w:val="auto"/>
                      <w:sz w:val="18"/>
                      <w:szCs w:val="18"/>
                    </w:rPr>
                    <w:t>本项目不属于禁止投资建设的项目。</w:t>
                  </w:r>
                </w:p>
              </w:tc>
              <w:tc>
                <w:tcPr>
                  <w:tcW w:w="333" w:type="pct"/>
                  <w:vAlign w:val="center"/>
                </w:tcPr>
                <w:p w14:paraId="5620879A">
                  <w:pPr>
                    <w:pStyle w:val="102"/>
                    <w:rPr>
                      <w:color w:val="auto"/>
                      <w:sz w:val="18"/>
                      <w:szCs w:val="18"/>
                    </w:rPr>
                  </w:pPr>
                  <w:r>
                    <w:rPr>
                      <w:color w:val="auto"/>
                      <w:sz w:val="18"/>
                      <w:szCs w:val="18"/>
                    </w:rPr>
                    <w:t>相符</w:t>
                  </w:r>
                </w:p>
              </w:tc>
            </w:tr>
            <w:tr w14:paraId="37AF7D12">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487" w:hRule="atLeast"/>
                <w:jc w:val="center"/>
              </w:trPr>
              <w:tc>
                <w:tcPr>
                  <w:tcW w:w="304" w:type="pct"/>
                  <w:vAlign w:val="center"/>
                </w:tcPr>
                <w:p w14:paraId="29729EFE">
                  <w:pPr>
                    <w:pStyle w:val="102"/>
                    <w:rPr>
                      <w:color w:val="auto"/>
                      <w:sz w:val="18"/>
                      <w:szCs w:val="18"/>
                    </w:rPr>
                  </w:pPr>
                  <w:r>
                    <w:rPr>
                      <w:color w:val="auto"/>
                      <w:sz w:val="18"/>
                      <w:szCs w:val="18"/>
                    </w:rPr>
                    <w:t>11</w:t>
                  </w:r>
                </w:p>
              </w:tc>
              <w:tc>
                <w:tcPr>
                  <w:tcW w:w="3021" w:type="pct"/>
                  <w:vAlign w:val="center"/>
                </w:tcPr>
                <w:p w14:paraId="2D4A4D7E">
                  <w:pPr>
                    <w:pStyle w:val="102"/>
                    <w:rPr>
                      <w:color w:val="auto"/>
                      <w:sz w:val="18"/>
                      <w:szCs w:val="18"/>
                    </w:rPr>
                  </w:pPr>
                  <w:r>
                    <w:rPr>
                      <w:color w:val="auto"/>
                      <w:sz w:val="18"/>
                      <w:szCs w:val="18"/>
                    </w:rPr>
                    <w:t>禁止在沿江地区新建、扩建未纳入国家和省布局规划的燃煤发电项目。</w:t>
                  </w:r>
                </w:p>
              </w:tc>
              <w:tc>
                <w:tcPr>
                  <w:tcW w:w="1339" w:type="pct"/>
                  <w:vAlign w:val="center"/>
                </w:tcPr>
                <w:p w14:paraId="168B9EBC">
                  <w:pPr>
                    <w:pStyle w:val="102"/>
                    <w:rPr>
                      <w:color w:val="auto"/>
                      <w:sz w:val="18"/>
                      <w:szCs w:val="18"/>
                    </w:rPr>
                  </w:pPr>
                  <w:r>
                    <w:rPr>
                      <w:color w:val="auto"/>
                      <w:sz w:val="18"/>
                      <w:szCs w:val="18"/>
                    </w:rPr>
                    <w:t>本项目不属于燃煤发电。</w:t>
                  </w:r>
                </w:p>
              </w:tc>
              <w:tc>
                <w:tcPr>
                  <w:tcW w:w="333" w:type="pct"/>
                  <w:vAlign w:val="center"/>
                </w:tcPr>
                <w:p w14:paraId="05556279">
                  <w:pPr>
                    <w:pStyle w:val="102"/>
                    <w:rPr>
                      <w:color w:val="auto"/>
                      <w:sz w:val="18"/>
                      <w:szCs w:val="18"/>
                    </w:rPr>
                  </w:pPr>
                  <w:r>
                    <w:rPr>
                      <w:color w:val="auto"/>
                      <w:sz w:val="18"/>
                      <w:szCs w:val="18"/>
                    </w:rPr>
                    <w:t>相符</w:t>
                  </w:r>
                </w:p>
              </w:tc>
            </w:tr>
            <w:tr w14:paraId="25C133BE">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685" w:hRule="atLeast"/>
                <w:jc w:val="center"/>
              </w:trPr>
              <w:tc>
                <w:tcPr>
                  <w:tcW w:w="304" w:type="pct"/>
                  <w:vAlign w:val="center"/>
                </w:tcPr>
                <w:p w14:paraId="625DEF75">
                  <w:pPr>
                    <w:pStyle w:val="102"/>
                    <w:rPr>
                      <w:color w:val="auto"/>
                      <w:sz w:val="18"/>
                      <w:szCs w:val="18"/>
                    </w:rPr>
                  </w:pPr>
                  <w:r>
                    <w:rPr>
                      <w:color w:val="auto"/>
                      <w:sz w:val="18"/>
                      <w:szCs w:val="18"/>
                    </w:rPr>
                    <w:t>12</w:t>
                  </w:r>
                </w:p>
              </w:tc>
              <w:tc>
                <w:tcPr>
                  <w:tcW w:w="3021" w:type="pct"/>
                  <w:vAlign w:val="center"/>
                </w:tcPr>
                <w:p w14:paraId="48B84620">
                  <w:pPr>
                    <w:pStyle w:val="102"/>
                    <w:rPr>
                      <w:color w:val="auto"/>
                      <w:sz w:val="18"/>
                      <w:szCs w:val="18"/>
                    </w:rPr>
                  </w:pPr>
                  <w:r>
                    <w:rPr>
                      <w:color w:val="auto"/>
                      <w:sz w:val="18"/>
                      <w:szCs w:val="18"/>
                    </w:rPr>
                    <w:t>禁止在合规园区外新建、扩建钢铁、石化、化工、焦化、建材、有色、制浆造纸等高污染项目。合规园区名录按照《〈长江经济带发展负面清单指南</w:t>
                  </w:r>
                  <w:r>
                    <w:rPr>
                      <w:rFonts w:hint="eastAsia"/>
                      <w:color w:val="auto"/>
                      <w:sz w:val="18"/>
                      <w:szCs w:val="18"/>
                    </w:rPr>
                    <w:t>（</w:t>
                  </w:r>
                  <w:r>
                    <w:rPr>
                      <w:color w:val="auto"/>
                      <w:sz w:val="18"/>
                      <w:szCs w:val="18"/>
                    </w:rPr>
                    <w:t>试行，2022年版)〉江苏省实施细则合规园区名录》执行。</w:t>
                  </w:r>
                </w:p>
              </w:tc>
              <w:tc>
                <w:tcPr>
                  <w:tcW w:w="1339" w:type="pct"/>
                  <w:vAlign w:val="center"/>
                </w:tcPr>
                <w:p w14:paraId="606725AC">
                  <w:pPr>
                    <w:pStyle w:val="102"/>
                    <w:rPr>
                      <w:color w:val="auto"/>
                      <w:sz w:val="18"/>
                      <w:szCs w:val="18"/>
                    </w:rPr>
                  </w:pPr>
                  <w:r>
                    <w:rPr>
                      <w:color w:val="auto"/>
                      <w:sz w:val="18"/>
                      <w:szCs w:val="18"/>
                    </w:rPr>
                    <w:t>本项目不属于高污染项目。</w:t>
                  </w:r>
                </w:p>
              </w:tc>
              <w:tc>
                <w:tcPr>
                  <w:tcW w:w="333" w:type="pct"/>
                  <w:vAlign w:val="center"/>
                </w:tcPr>
                <w:p w14:paraId="701D0E79">
                  <w:pPr>
                    <w:pStyle w:val="102"/>
                    <w:rPr>
                      <w:color w:val="auto"/>
                      <w:sz w:val="18"/>
                      <w:szCs w:val="18"/>
                    </w:rPr>
                  </w:pPr>
                  <w:r>
                    <w:rPr>
                      <w:color w:val="auto"/>
                      <w:sz w:val="18"/>
                      <w:szCs w:val="18"/>
                    </w:rPr>
                    <w:t>相符</w:t>
                  </w:r>
                </w:p>
              </w:tc>
            </w:tr>
            <w:tr w14:paraId="78547769">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154" w:hRule="atLeast"/>
                <w:jc w:val="center"/>
              </w:trPr>
              <w:tc>
                <w:tcPr>
                  <w:tcW w:w="304" w:type="pct"/>
                  <w:vAlign w:val="center"/>
                </w:tcPr>
                <w:p w14:paraId="7FEAB631">
                  <w:pPr>
                    <w:pStyle w:val="102"/>
                    <w:rPr>
                      <w:color w:val="auto"/>
                      <w:sz w:val="18"/>
                      <w:szCs w:val="18"/>
                    </w:rPr>
                  </w:pPr>
                  <w:r>
                    <w:rPr>
                      <w:color w:val="auto"/>
                      <w:sz w:val="18"/>
                      <w:szCs w:val="18"/>
                    </w:rPr>
                    <w:t>13</w:t>
                  </w:r>
                </w:p>
              </w:tc>
              <w:tc>
                <w:tcPr>
                  <w:tcW w:w="3021" w:type="pct"/>
                  <w:vAlign w:val="center"/>
                </w:tcPr>
                <w:p w14:paraId="6A5C8284">
                  <w:pPr>
                    <w:pStyle w:val="102"/>
                    <w:rPr>
                      <w:color w:val="auto"/>
                      <w:sz w:val="18"/>
                      <w:szCs w:val="18"/>
                    </w:rPr>
                  </w:pPr>
                  <w:r>
                    <w:rPr>
                      <w:color w:val="auto"/>
                      <w:sz w:val="18"/>
                      <w:szCs w:val="18"/>
                    </w:rPr>
                    <w:t>禁止在取消化工定位的园区</w:t>
                  </w:r>
                  <w:r>
                    <w:rPr>
                      <w:rFonts w:hint="eastAsia"/>
                      <w:color w:val="auto"/>
                      <w:sz w:val="18"/>
                      <w:szCs w:val="18"/>
                    </w:rPr>
                    <w:t>（</w:t>
                  </w:r>
                  <w:r>
                    <w:rPr>
                      <w:color w:val="auto"/>
                      <w:sz w:val="18"/>
                      <w:szCs w:val="18"/>
                    </w:rPr>
                    <w:t>集中区</w:t>
                  </w:r>
                  <w:r>
                    <w:rPr>
                      <w:rFonts w:hint="eastAsia"/>
                      <w:color w:val="auto"/>
                      <w:sz w:val="18"/>
                      <w:szCs w:val="18"/>
                    </w:rPr>
                    <w:t>）</w:t>
                  </w:r>
                  <w:r>
                    <w:rPr>
                      <w:color w:val="auto"/>
                      <w:sz w:val="18"/>
                      <w:szCs w:val="18"/>
                    </w:rPr>
                    <w:t>内新建化工项目。</w:t>
                  </w:r>
                </w:p>
              </w:tc>
              <w:tc>
                <w:tcPr>
                  <w:tcW w:w="1339" w:type="pct"/>
                  <w:vAlign w:val="center"/>
                </w:tcPr>
                <w:p w14:paraId="7A07E096">
                  <w:pPr>
                    <w:pStyle w:val="102"/>
                    <w:rPr>
                      <w:color w:val="auto"/>
                      <w:sz w:val="18"/>
                      <w:szCs w:val="18"/>
                    </w:rPr>
                  </w:pPr>
                  <w:r>
                    <w:rPr>
                      <w:color w:val="auto"/>
                      <w:sz w:val="18"/>
                      <w:szCs w:val="18"/>
                    </w:rPr>
                    <w:t>本项目不属于化工项目。</w:t>
                  </w:r>
                </w:p>
              </w:tc>
              <w:tc>
                <w:tcPr>
                  <w:tcW w:w="333" w:type="pct"/>
                  <w:vAlign w:val="center"/>
                </w:tcPr>
                <w:p w14:paraId="1B3FC425">
                  <w:pPr>
                    <w:pStyle w:val="102"/>
                    <w:rPr>
                      <w:color w:val="auto"/>
                      <w:sz w:val="18"/>
                      <w:szCs w:val="18"/>
                    </w:rPr>
                  </w:pPr>
                  <w:r>
                    <w:rPr>
                      <w:color w:val="auto"/>
                      <w:sz w:val="18"/>
                      <w:szCs w:val="18"/>
                    </w:rPr>
                    <w:t>相符</w:t>
                  </w:r>
                </w:p>
              </w:tc>
            </w:tr>
            <w:tr w14:paraId="0D393B5C">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199" w:hRule="atLeast"/>
                <w:jc w:val="center"/>
              </w:trPr>
              <w:tc>
                <w:tcPr>
                  <w:tcW w:w="304" w:type="pct"/>
                  <w:vAlign w:val="center"/>
                </w:tcPr>
                <w:p w14:paraId="5B75EB48">
                  <w:pPr>
                    <w:pStyle w:val="102"/>
                    <w:rPr>
                      <w:color w:val="auto"/>
                      <w:sz w:val="18"/>
                      <w:szCs w:val="18"/>
                    </w:rPr>
                  </w:pPr>
                  <w:r>
                    <w:rPr>
                      <w:color w:val="auto"/>
                      <w:sz w:val="18"/>
                      <w:szCs w:val="18"/>
                    </w:rPr>
                    <w:t>14</w:t>
                  </w:r>
                </w:p>
              </w:tc>
              <w:tc>
                <w:tcPr>
                  <w:tcW w:w="3021" w:type="pct"/>
                  <w:vAlign w:val="center"/>
                </w:tcPr>
                <w:p w14:paraId="55D017F9">
                  <w:pPr>
                    <w:pStyle w:val="102"/>
                    <w:rPr>
                      <w:color w:val="auto"/>
                      <w:sz w:val="18"/>
                      <w:szCs w:val="18"/>
                    </w:rPr>
                  </w:pPr>
                  <w:r>
                    <w:rPr>
                      <w:color w:val="auto"/>
                      <w:sz w:val="18"/>
                      <w:szCs w:val="18"/>
                    </w:rPr>
                    <w:t>禁止在化工园区周边建设不符合安全距离规定的劳动密集型的非化工项目和其他人员密集的公共设施项目。</w:t>
                  </w:r>
                </w:p>
              </w:tc>
              <w:tc>
                <w:tcPr>
                  <w:tcW w:w="1339" w:type="pct"/>
                  <w:vAlign w:val="center"/>
                </w:tcPr>
                <w:p w14:paraId="2B349E19">
                  <w:pPr>
                    <w:pStyle w:val="102"/>
                    <w:rPr>
                      <w:color w:val="auto"/>
                      <w:sz w:val="18"/>
                      <w:szCs w:val="18"/>
                    </w:rPr>
                  </w:pPr>
                  <w:r>
                    <w:rPr>
                      <w:color w:val="auto"/>
                      <w:sz w:val="18"/>
                      <w:szCs w:val="18"/>
                    </w:rPr>
                    <w:t>本项目不属于禁止投资建设的项目。</w:t>
                  </w:r>
                </w:p>
              </w:tc>
              <w:tc>
                <w:tcPr>
                  <w:tcW w:w="333" w:type="pct"/>
                  <w:vAlign w:val="center"/>
                </w:tcPr>
                <w:p w14:paraId="1CA1FB7A">
                  <w:pPr>
                    <w:pStyle w:val="102"/>
                    <w:rPr>
                      <w:color w:val="auto"/>
                      <w:sz w:val="18"/>
                      <w:szCs w:val="18"/>
                    </w:rPr>
                  </w:pPr>
                  <w:r>
                    <w:rPr>
                      <w:color w:val="auto"/>
                      <w:sz w:val="18"/>
                      <w:szCs w:val="18"/>
                    </w:rPr>
                    <w:t>相符</w:t>
                  </w:r>
                </w:p>
              </w:tc>
            </w:tr>
            <w:tr w14:paraId="79A6262F">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951" w:hRule="atLeast"/>
                <w:jc w:val="center"/>
              </w:trPr>
              <w:tc>
                <w:tcPr>
                  <w:tcW w:w="304" w:type="pct"/>
                  <w:vAlign w:val="center"/>
                </w:tcPr>
                <w:p w14:paraId="67A6E933">
                  <w:pPr>
                    <w:pStyle w:val="102"/>
                    <w:rPr>
                      <w:color w:val="auto"/>
                      <w:sz w:val="18"/>
                      <w:szCs w:val="18"/>
                    </w:rPr>
                  </w:pPr>
                  <w:r>
                    <w:rPr>
                      <w:color w:val="auto"/>
                      <w:sz w:val="18"/>
                      <w:szCs w:val="18"/>
                    </w:rPr>
                    <w:t>15</w:t>
                  </w:r>
                </w:p>
              </w:tc>
              <w:tc>
                <w:tcPr>
                  <w:tcW w:w="3021" w:type="pct"/>
                  <w:vAlign w:val="center"/>
                </w:tcPr>
                <w:p w14:paraId="094D2CE3">
                  <w:pPr>
                    <w:pStyle w:val="102"/>
                    <w:rPr>
                      <w:color w:val="auto"/>
                      <w:sz w:val="18"/>
                      <w:szCs w:val="18"/>
                    </w:rPr>
                  </w:pPr>
                  <w:r>
                    <w:rPr>
                      <w:color w:val="auto"/>
                      <w:sz w:val="18"/>
                      <w:szCs w:val="18"/>
                    </w:rPr>
                    <w:t>禁止新建、扩建不符合国家和省产业政策的尿素、磷铵、电石、烧碱、聚氯乙烯、纯碱等行业新增产能项目。</w:t>
                  </w:r>
                </w:p>
              </w:tc>
              <w:tc>
                <w:tcPr>
                  <w:tcW w:w="1339" w:type="pct"/>
                  <w:vAlign w:val="center"/>
                </w:tcPr>
                <w:p w14:paraId="70BFAE65">
                  <w:pPr>
                    <w:pStyle w:val="102"/>
                    <w:rPr>
                      <w:color w:val="auto"/>
                      <w:sz w:val="18"/>
                      <w:szCs w:val="18"/>
                    </w:rPr>
                  </w:pPr>
                  <w:r>
                    <w:rPr>
                      <w:color w:val="auto"/>
                      <w:sz w:val="18"/>
                      <w:szCs w:val="18"/>
                    </w:rPr>
                    <w:t>本项目不属于尿素、磷铵、电石、烧碱、聚氯乙烯、纯碱项目。</w:t>
                  </w:r>
                </w:p>
              </w:tc>
              <w:tc>
                <w:tcPr>
                  <w:tcW w:w="333" w:type="pct"/>
                  <w:vAlign w:val="center"/>
                </w:tcPr>
                <w:p w14:paraId="04923FCC">
                  <w:pPr>
                    <w:pStyle w:val="102"/>
                    <w:rPr>
                      <w:color w:val="auto"/>
                      <w:sz w:val="18"/>
                      <w:szCs w:val="18"/>
                    </w:rPr>
                  </w:pPr>
                  <w:r>
                    <w:rPr>
                      <w:color w:val="auto"/>
                      <w:sz w:val="18"/>
                      <w:szCs w:val="18"/>
                    </w:rPr>
                    <w:t>相符</w:t>
                  </w:r>
                </w:p>
              </w:tc>
            </w:tr>
            <w:tr w14:paraId="160B3D09">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961" w:hRule="atLeast"/>
                <w:jc w:val="center"/>
              </w:trPr>
              <w:tc>
                <w:tcPr>
                  <w:tcW w:w="304" w:type="pct"/>
                  <w:vAlign w:val="center"/>
                </w:tcPr>
                <w:p w14:paraId="7613D84D">
                  <w:pPr>
                    <w:pStyle w:val="102"/>
                    <w:rPr>
                      <w:color w:val="auto"/>
                      <w:sz w:val="18"/>
                      <w:szCs w:val="18"/>
                    </w:rPr>
                  </w:pPr>
                  <w:r>
                    <w:rPr>
                      <w:color w:val="auto"/>
                      <w:sz w:val="18"/>
                      <w:szCs w:val="18"/>
                    </w:rPr>
                    <w:t>16</w:t>
                  </w:r>
                </w:p>
              </w:tc>
              <w:tc>
                <w:tcPr>
                  <w:tcW w:w="3021" w:type="pct"/>
                  <w:vAlign w:val="center"/>
                </w:tcPr>
                <w:p w14:paraId="725DEC4B">
                  <w:pPr>
                    <w:pStyle w:val="102"/>
                    <w:rPr>
                      <w:color w:val="auto"/>
                      <w:sz w:val="18"/>
                      <w:szCs w:val="18"/>
                    </w:rPr>
                  </w:pPr>
                  <w:r>
                    <w:rPr>
                      <w:color w:val="auto"/>
                      <w:sz w:val="18"/>
                      <w:szCs w:val="18"/>
                    </w:rPr>
                    <w:t>禁止新建、改建、扩建高毒、高残留以及对环境影响大的农药原药</w:t>
                  </w:r>
                  <w:r>
                    <w:rPr>
                      <w:rFonts w:hint="eastAsia"/>
                      <w:color w:val="auto"/>
                      <w:sz w:val="18"/>
                      <w:szCs w:val="18"/>
                    </w:rPr>
                    <w:t>（</w:t>
                  </w:r>
                  <w:r>
                    <w:rPr>
                      <w:color w:val="auto"/>
                      <w:sz w:val="18"/>
                      <w:szCs w:val="18"/>
                    </w:rPr>
                    <w:t>化学合成类）项目，禁止新建、扩建不符合国家和省产业政策的农药、医药和染料中间体化工项目。</w:t>
                  </w:r>
                </w:p>
              </w:tc>
              <w:tc>
                <w:tcPr>
                  <w:tcW w:w="1339" w:type="pct"/>
                  <w:vAlign w:val="center"/>
                </w:tcPr>
                <w:p w14:paraId="183EEFDC">
                  <w:pPr>
                    <w:pStyle w:val="102"/>
                    <w:rPr>
                      <w:color w:val="auto"/>
                      <w:sz w:val="18"/>
                      <w:szCs w:val="18"/>
                    </w:rPr>
                  </w:pPr>
                  <w:r>
                    <w:rPr>
                      <w:color w:val="auto"/>
                      <w:sz w:val="18"/>
                      <w:szCs w:val="18"/>
                    </w:rPr>
                    <w:t>本项目不属于农药原药项目，不属于农药、医药和染料中间体化工项目。</w:t>
                  </w:r>
                </w:p>
              </w:tc>
              <w:tc>
                <w:tcPr>
                  <w:tcW w:w="333" w:type="pct"/>
                  <w:vAlign w:val="center"/>
                </w:tcPr>
                <w:p w14:paraId="41849314">
                  <w:pPr>
                    <w:pStyle w:val="102"/>
                    <w:rPr>
                      <w:color w:val="auto"/>
                      <w:sz w:val="18"/>
                      <w:szCs w:val="18"/>
                    </w:rPr>
                  </w:pPr>
                  <w:r>
                    <w:rPr>
                      <w:color w:val="auto"/>
                      <w:sz w:val="18"/>
                      <w:szCs w:val="18"/>
                    </w:rPr>
                    <w:t>相符</w:t>
                  </w:r>
                </w:p>
              </w:tc>
            </w:tr>
            <w:tr w14:paraId="5DD36AD6">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90" w:hRule="atLeast"/>
                <w:jc w:val="center"/>
              </w:trPr>
              <w:tc>
                <w:tcPr>
                  <w:tcW w:w="304" w:type="pct"/>
                  <w:vAlign w:val="center"/>
                </w:tcPr>
                <w:p w14:paraId="483142C8">
                  <w:pPr>
                    <w:pStyle w:val="102"/>
                    <w:rPr>
                      <w:color w:val="auto"/>
                      <w:sz w:val="18"/>
                      <w:szCs w:val="18"/>
                    </w:rPr>
                  </w:pPr>
                  <w:r>
                    <w:rPr>
                      <w:color w:val="auto"/>
                      <w:sz w:val="18"/>
                      <w:szCs w:val="18"/>
                    </w:rPr>
                    <w:t>17</w:t>
                  </w:r>
                </w:p>
              </w:tc>
              <w:tc>
                <w:tcPr>
                  <w:tcW w:w="3021" w:type="pct"/>
                  <w:vAlign w:val="center"/>
                </w:tcPr>
                <w:p w14:paraId="24DBDB8F">
                  <w:pPr>
                    <w:pStyle w:val="102"/>
                    <w:rPr>
                      <w:color w:val="auto"/>
                      <w:sz w:val="18"/>
                      <w:szCs w:val="18"/>
                    </w:rPr>
                  </w:pPr>
                  <w:r>
                    <w:rPr>
                      <w:color w:val="auto"/>
                      <w:sz w:val="18"/>
                      <w:szCs w:val="18"/>
                    </w:rPr>
                    <w:t>禁止新建、扩建不符合国家石化、现代煤化工等产业布局规划的项目，禁止新建独立焦化项目。</w:t>
                  </w:r>
                </w:p>
              </w:tc>
              <w:tc>
                <w:tcPr>
                  <w:tcW w:w="1339" w:type="pct"/>
                  <w:vAlign w:val="center"/>
                </w:tcPr>
                <w:p w14:paraId="2182BBD1">
                  <w:pPr>
                    <w:pStyle w:val="102"/>
                    <w:rPr>
                      <w:color w:val="auto"/>
                      <w:sz w:val="18"/>
                      <w:szCs w:val="18"/>
                    </w:rPr>
                  </w:pPr>
                  <w:r>
                    <w:rPr>
                      <w:color w:val="auto"/>
                      <w:sz w:val="18"/>
                      <w:szCs w:val="18"/>
                    </w:rPr>
                    <w:t>本项目不属于国家石化、现代煤化工等产业，不属于独立焦化项目。</w:t>
                  </w:r>
                </w:p>
              </w:tc>
              <w:tc>
                <w:tcPr>
                  <w:tcW w:w="333" w:type="pct"/>
                  <w:vAlign w:val="center"/>
                </w:tcPr>
                <w:p w14:paraId="2F6C039D">
                  <w:pPr>
                    <w:pStyle w:val="102"/>
                    <w:rPr>
                      <w:color w:val="auto"/>
                      <w:sz w:val="18"/>
                      <w:szCs w:val="18"/>
                    </w:rPr>
                  </w:pPr>
                  <w:r>
                    <w:rPr>
                      <w:color w:val="auto"/>
                      <w:sz w:val="18"/>
                      <w:szCs w:val="18"/>
                    </w:rPr>
                    <w:t>相符</w:t>
                  </w:r>
                </w:p>
              </w:tc>
            </w:tr>
            <w:tr w14:paraId="2AEEB57A">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1563" w:hRule="atLeast"/>
                <w:jc w:val="center"/>
              </w:trPr>
              <w:tc>
                <w:tcPr>
                  <w:tcW w:w="304" w:type="pct"/>
                  <w:vAlign w:val="center"/>
                </w:tcPr>
                <w:p w14:paraId="12B6748D">
                  <w:pPr>
                    <w:pStyle w:val="102"/>
                    <w:rPr>
                      <w:color w:val="auto"/>
                      <w:sz w:val="18"/>
                      <w:szCs w:val="18"/>
                    </w:rPr>
                  </w:pPr>
                  <w:r>
                    <w:rPr>
                      <w:color w:val="auto"/>
                      <w:sz w:val="18"/>
                      <w:szCs w:val="18"/>
                    </w:rPr>
                    <w:t>18</w:t>
                  </w:r>
                </w:p>
              </w:tc>
              <w:tc>
                <w:tcPr>
                  <w:tcW w:w="3021" w:type="pct"/>
                  <w:vAlign w:val="center"/>
                </w:tcPr>
                <w:p w14:paraId="7CA212C5">
                  <w:pPr>
                    <w:pStyle w:val="102"/>
                    <w:rPr>
                      <w:color w:val="auto"/>
                      <w:sz w:val="18"/>
                      <w:szCs w:val="18"/>
                    </w:rPr>
                  </w:pPr>
                  <w:r>
                    <w:rPr>
                      <w:color w:val="auto"/>
                      <w:sz w:val="18"/>
                      <w:szCs w:val="18"/>
                    </w:rPr>
                    <w:t>禁止新建、扩建国家《产业结构调整指导目录》《江苏省产业结构调整限制、淘汰和禁止目录》明确的限制类、淘汰类、禁止类项目，法律法规和相关政策明令禁止的落后产能项目，以及明令淘汰的安全生产落后工艺及装备项目。</w:t>
                  </w:r>
                  <w:r>
                    <w:rPr>
                      <w:color w:val="auto"/>
                      <w:sz w:val="18"/>
                      <w:szCs w:val="18"/>
                    </w:rPr>
                    <w:tab/>
                  </w:r>
                </w:p>
              </w:tc>
              <w:tc>
                <w:tcPr>
                  <w:tcW w:w="1339" w:type="pct"/>
                  <w:vAlign w:val="center"/>
                </w:tcPr>
                <w:p w14:paraId="70B70FB1">
                  <w:pPr>
                    <w:pStyle w:val="102"/>
                    <w:rPr>
                      <w:color w:val="auto"/>
                      <w:sz w:val="18"/>
                      <w:szCs w:val="18"/>
                    </w:rPr>
                  </w:pPr>
                  <w:r>
                    <w:rPr>
                      <w:color w:val="auto"/>
                      <w:sz w:val="18"/>
                      <w:szCs w:val="18"/>
                    </w:rPr>
                    <w:t>本项目不属于《产业结构调整指导目录》、《江苏省产业结构调整限制、淘汰和禁止目录》及其他相关法律法规中的限制类、淘汰类、禁止类项目。</w:t>
                  </w:r>
                </w:p>
              </w:tc>
              <w:tc>
                <w:tcPr>
                  <w:tcW w:w="333" w:type="pct"/>
                  <w:vAlign w:val="center"/>
                </w:tcPr>
                <w:p w14:paraId="39E1EA85">
                  <w:pPr>
                    <w:pStyle w:val="102"/>
                    <w:rPr>
                      <w:color w:val="auto"/>
                      <w:sz w:val="18"/>
                      <w:szCs w:val="18"/>
                    </w:rPr>
                  </w:pPr>
                  <w:r>
                    <w:rPr>
                      <w:color w:val="auto"/>
                      <w:sz w:val="18"/>
                      <w:szCs w:val="18"/>
                    </w:rPr>
                    <w:t>相符</w:t>
                  </w:r>
                </w:p>
              </w:tc>
            </w:tr>
            <w:tr w14:paraId="79D259DB">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713" w:hRule="atLeast"/>
                <w:jc w:val="center"/>
              </w:trPr>
              <w:tc>
                <w:tcPr>
                  <w:tcW w:w="304" w:type="pct"/>
                  <w:vAlign w:val="center"/>
                </w:tcPr>
                <w:p w14:paraId="22B4D5E6">
                  <w:pPr>
                    <w:pStyle w:val="102"/>
                    <w:rPr>
                      <w:color w:val="auto"/>
                      <w:sz w:val="18"/>
                      <w:szCs w:val="18"/>
                    </w:rPr>
                  </w:pPr>
                  <w:r>
                    <w:rPr>
                      <w:color w:val="auto"/>
                      <w:sz w:val="18"/>
                      <w:szCs w:val="18"/>
                    </w:rPr>
                    <w:t>19</w:t>
                  </w:r>
                </w:p>
              </w:tc>
              <w:tc>
                <w:tcPr>
                  <w:tcW w:w="3021" w:type="pct"/>
                  <w:vAlign w:val="center"/>
                </w:tcPr>
                <w:p w14:paraId="0E7EA476">
                  <w:pPr>
                    <w:pStyle w:val="102"/>
                    <w:rPr>
                      <w:color w:val="auto"/>
                      <w:sz w:val="18"/>
                      <w:szCs w:val="18"/>
                    </w:rPr>
                  </w:pPr>
                  <w:r>
                    <w:rPr>
                      <w:color w:val="auto"/>
                      <w:sz w:val="18"/>
                      <w:szCs w:val="18"/>
                    </w:rPr>
                    <w:t>禁止新建、扩建不符合国家产能置换要求的严重过剩产能行业的项目。禁止新建、扩建不符合要求的高耗能高排放项目。</w:t>
                  </w:r>
                </w:p>
              </w:tc>
              <w:tc>
                <w:tcPr>
                  <w:tcW w:w="1339" w:type="pct"/>
                  <w:vAlign w:val="center"/>
                </w:tcPr>
                <w:p w14:paraId="2B77F66B">
                  <w:pPr>
                    <w:pStyle w:val="102"/>
                    <w:rPr>
                      <w:color w:val="auto"/>
                      <w:sz w:val="18"/>
                      <w:szCs w:val="18"/>
                    </w:rPr>
                  </w:pPr>
                  <w:r>
                    <w:rPr>
                      <w:color w:val="auto"/>
                      <w:sz w:val="18"/>
                      <w:szCs w:val="18"/>
                    </w:rPr>
                    <w:t>本项目不属于国家产能置换要求的严重过剩产能行业的项目。</w:t>
                  </w:r>
                </w:p>
              </w:tc>
              <w:tc>
                <w:tcPr>
                  <w:tcW w:w="333" w:type="pct"/>
                  <w:vAlign w:val="center"/>
                </w:tcPr>
                <w:p w14:paraId="34353F83">
                  <w:pPr>
                    <w:pStyle w:val="102"/>
                    <w:rPr>
                      <w:color w:val="auto"/>
                      <w:sz w:val="18"/>
                      <w:szCs w:val="18"/>
                    </w:rPr>
                  </w:pPr>
                  <w:r>
                    <w:rPr>
                      <w:color w:val="auto"/>
                      <w:sz w:val="18"/>
                      <w:szCs w:val="18"/>
                    </w:rPr>
                    <w:t>相符</w:t>
                  </w:r>
                </w:p>
              </w:tc>
            </w:tr>
            <w:tr w14:paraId="022887C1">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546" w:hRule="atLeast"/>
                <w:jc w:val="center"/>
              </w:trPr>
              <w:tc>
                <w:tcPr>
                  <w:tcW w:w="304" w:type="pct"/>
                  <w:vAlign w:val="center"/>
                </w:tcPr>
                <w:p w14:paraId="15CE1B86">
                  <w:pPr>
                    <w:pStyle w:val="102"/>
                    <w:rPr>
                      <w:color w:val="auto"/>
                      <w:sz w:val="18"/>
                      <w:szCs w:val="18"/>
                    </w:rPr>
                  </w:pPr>
                  <w:r>
                    <w:rPr>
                      <w:color w:val="auto"/>
                      <w:sz w:val="18"/>
                      <w:szCs w:val="18"/>
                    </w:rPr>
                    <w:t>20</w:t>
                  </w:r>
                </w:p>
              </w:tc>
              <w:tc>
                <w:tcPr>
                  <w:tcW w:w="3021" w:type="pct"/>
                  <w:vAlign w:val="center"/>
                </w:tcPr>
                <w:p w14:paraId="1F02ABFD">
                  <w:pPr>
                    <w:pStyle w:val="102"/>
                    <w:rPr>
                      <w:color w:val="auto"/>
                      <w:sz w:val="18"/>
                      <w:szCs w:val="18"/>
                    </w:rPr>
                  </w:pPr>
                  <w:r>
                    <w:rPr>
                      <w:color w:val="auto"/>
                      <w:sz w:val="18"/>
                      <w:szCs w:val="18"/>
                    </w:rPr>
                    <w:t>法律法规及相关政策文件有更加严格规定的从其规定。</w:t>
                  </w:r>
                </w:p>
              </w:tc>
              <w:tc>
                <w:tcPr>
                  <w:tcW w:w="1339" w:type="pct"/>
                  <w:vAlign w:val="center"/>
                </w:tcPr>
                <w:p w14:paraId="448CC740">
                  <w:pPr>
                    <w:pStyle w:val="102"/>
                    <w:rPr>
                      <w:color w:val="auto"/>
                      <w:sz w:val="18"/>
                      <w:szCs w:val="18"/>
                    </w:rPr>
                  </w:pPr>
                  <w:r>
                    <w:rPr>
                      <w:color w:val="auto"/>
                      <w:sz w:val="18"/>
                      <w:szCs w:val="18"/>
                    </w:rPr>
                    <w:t>本项目严格执行相关文件。</w:t>
                  </w:r>
                </w:p>
              </w:tc>
              <w:tc>
                <w:tcPr>
                  <w:tcW w:w="333" w:type="pct"/>
                  <w:vAlign w:val="center"/>
                </w:tcPr>
                <w:p w14:paraId="67C4C0E2">
                  <w:pPr>
                    <w:pStyle w:val="102"/>
                    <w:rPr>
                      <w:color w:val="auto"/>
                      <w:sz w:val="18"/>
                      <w:szCs w:val="18"/>
                    </w:rPr>
                  </w:pPr>
                  <w:r>
                    <w:rPr>
                      <w:color w:val="auto"/>
                      <w:sz w:val="18"/>
                      <w:szCs w:val="18"/>
                    </w:rPr>
                    <w:t>相符</w:t>
                  </w:r>
                </w:p>
              </w:tc>
            </w:tr>
          </w:tbl>
          <w:p w14:paraId="67ECAEEF">
            <w:pPr>
              <w:autoSpaceDE w:val="0"/>
              <w:autoSpaceDN w:val="0"/>
              <w:adjustRightInd w:val="0"/>
              <w:snapToGrid w:val="0"/>
              <w:spacing w:line="360" w:lineRule="auto"/>
              <w:ind w:firstLine="444" w:firstLineChars="200"/>
              <w:rPr>
                <w:color w:val="auto"/>
                <w:spacing w:val="6"/>
                <w:szCs w:val="21"/>
                <w:shd w:val="clear" w:color="auto" w:fill="FFFFFF"/>
              </w:rPr>
            </w:pPr>
            <w:r>
              <w:rPr>
                <w:color w:val="auto"/>
                <w:spacing w:val="6"/>
                <w:szCs w:val="21"/>
                <w:shd w:val="clear" w:color="auto" w:fill="FFFFFF"/>
              </w:rPr>
              <w:t>建设项目为</w:t>
            </w:r>
            <w:r>
              <w:rPr>
                <w:rFonts w:hint="eastAsia"/>
                <w:color w:val="auto"/>
                <w:spacing w:val="6"/>
                <w:szCs w:val="21"/>
                <w:shd w:val="clear" w:color="auto" w:fill="FFFFFF"/>
              </w:rPr>
              <w:t>标准物质研发中心建设项目</w:t>
            </w:r>
            <w:r>
              <w:rPr>
                <w:color w:val="auto"/>
                <w:spacing w:val="6"/>
                <w:szCs w:val="21"/>
                <w:shd w:val="clear" w:color="auto" w:fill="FFFFFF"/>
              </w:rPr>
              <w:t>，行业类别为</w:t>
            </w:r>
            <w:r>
              <w:rPr>
                <w:rFonts w:hint="eastAsia"/>
                <w:color w:val="auto"/>
                <w:spacing w:val="6"/>
                <w:szCs w:val="21"/>
                <w:shd w:val="clear" w:color="auto" w:fill="FFFFFF"/>
              </w:rPr>
              <w:t>M7320工程和技术研究和试验发展</w:t>
            </w:r>
            <w:r>
              <w:rPr>
                <w:color w:val="auto"/>
                <w:spacing w:val="6"/>
                <w:szCs w:val="21"/>
                <w:shd w:val="clear" w:color="auto" w:fill="FFFFFF"/>
              </w:rPr>
              <w:t>，对照《长江经济带发展负面清单指南（试行，2022年版）》的相关要求，项目不属于《长江经济带发展负面清单指南（试行，2022年版）》中所列禁止建设项目。</w:t>
            </w:r>
          </w:p>
          <w:p w14:paraId="7DFFED06">
            <w:pPr>
              <w:autoSpaceDE w:val="0"/>
              <w:autoSpaceDN w:val="0"/>
              <w:adjustRightInd w:val="0"/>
              <w:snapToGrid w:val="0"/>
              <w:spacing w:line="360" w:lineRule="auto"/>
              <w:ind w:firstLine="444" w:firstLineChars="200"/>
              <w:rPr>
                <w:b/>
                <w:bCs/>
                <w:color w:val="auto"/>
              </w:rPr>
            </w:pPr>
            <w:r>
              <w:rPr>
                <w:color w:val="auto"/>
                <w:spacing w:val="6"/>
                <w:szCs w:val="21"/>
                <w:shd w:val="clear" w:color="auto" w:fill="FFFFFF"/>
              </w:rPr>
              <w:fldChar w:fldCharType="begin"/>
            </w:r>
            <w:r>
              <w:rPr>
                <w:color w:val="auto"/>
                <w:spacing w:val="6"/>
                <w:szCs w:val="21"/>
                <w:shd w:val="clear" w:color="auto" w:fill="FFFFFF"/>
              </w:rPr>
              <w:instrText xml:space="preserve"> = 2 \* GB3 </w:instrText>
            </w:r>
            <w:r>
              <w:rPr>
                <w:color w:val="auto"/>
                <w:spacing w:val="6"/>
                <w:szCs w:val="21"/>
                <w:shd w:val="clear" w:color="auto" w:fill="FFFFFF"/>
              </w:rPr>
              <w:fldChar w:fldCharType="separate"/>
            </w:r>
            <w:r>
              <w:rPr>
                <w:rFonts w:hint="eastAsia" w:ascii="宋体" w:hAnsi="宋体" w:cs="宋体"/>
                <w:color w:val="auto"/>
                <w:spacing w:val="6"/>
                <w:szCs w:val="21"/>
                <w:shd w:val="clear" w:color="auto" w:fill="FFFFFF"/>
              </w:rPr>
              <w:t>②</w:t>
            </w:r>
            <w:r>
              <w:rPr>
                <w:color w:val="auto"/>
                <w:spacing w:val="6"/>
                <w:szCs w:val="21"/>
                <w:shd w:val="clear" w:color="auto" w:fill="FFFFFF"/>
              </w:rPr>
              <w:fldChar w:fldCharType="end"/>
            </w:r>
            <w:r>
              <w:rPr>
                <w:color w:val="auto"/>
                <w:spacing w:val="6"/>
                <w:szCs w:val="21"/>
                <w:shd w:val="clear" w:color="auto" w:fill="FFFFFF"/>
              </w:rPr>
              <w:t>对照《市场准入负面清单（202</w:t>
            </w:r>
            <w:r>
              <w:rPr>
                <w:rFonts w:hint="eastAsia"/>
                <w:color w:val="auto"/>
                <w:spacing w:val="6"/>
                <w:szCs w:val="21"/>
                <w:shd w:val="clear" w:color="auto" w:fill="FFFFFF"/>
              </w:rPr>
              <w:t>5</w:t>
            </w:r>
            <w:r>
              <w:rPr>
                <w:color w:val="auto"/>
                <w:spacing w:val="6"/>
                <w:szCs w:val="21"/>
                <w:shd w:val="clear" w:color="auto" w:fill="FFFFFF"/>
              </w:rPr>
              <w:t>年版）》，本项目不属于其中的禁止准入类或许可准入类。具体参照情况见表1-3。</w:t>
            </w:r>
          </w:p>
          <w:p w14:paraId="5E350D18">
            <w:pPr>
              <w:jc w:val="center"/>
              <w:rPr>
                <w:b/>
                <w:bCs/>
                <w:color w:val="auto"/>
              </w:rPr>
            </w:pPr>
            <w:r>
              <w:rPr>
                <w:b/>
                <w:bCs/>
                <w:color w:val="auto"/>
              </w:rPr>
              <w:t>表1-</w:t>
            </w:r>
            <w:r>
              <w:rPr>
                <w:rFonts w:hint="eastAsia"/>
                <w:b/>
                <w:bCs/>
                <w:color w:val="auto"/>
              </w:rPr>
              <w:t>3</w:t>
            </w:r>
            <w:r>
              <w:rPr>
                <w:b/>
                <w:bCs/>
                <w:color w:val="auto"/>
              </w:rPr>
              <w:t xml:space="preserve"> 《市场准入负面清单（202</w:t>
            </w:r>
            <w:r>
              <w:rPr>
                <w:rFonts w:hint="eastAsia"/>
                <w:b/>
                <w:bCs/>
                <w:color w:val="auto"/>
              </w:rPr>
              <w:t>5</w:t>
            </w:r>
            <w:r>
              <w:rPr>
                <w:b/>
                <w:bCs/>
                <w:color w:val="auto"/>
              </w:rPr>
              <w:t>年版）》对照分析</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357"/>
              <w:gridCol w:w="5343"/>
              <w:gridCol w:w="967"/>
              <w:gridCol w:w="1154"/>
            </w:tblGrid>
            <w:tr w14:paraId="44EFDD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28" w:type="pct"/>
                  <w:vAlign w:val="center"/>
                </w:tcPr>
                <w:p w14:paraId="34442CC2">
                  <w:pPr>
                    <w:pStyle w:val="55"/>
                    <w:autoSpaceDE w:val="0"/>
                    <w:spacing w:before="24" w:after="24"/>
                    <w:rPr>
                      <w:rFonts w:ascii="Times New Roman"/>
                      <w:b/>
                      <w:bCs/>
                      <w:color w:val="auto"/>
                      <w:sz w:val="18"/>
                      <w:szCs w:val="18"/>
                    </w:rPr>
                  </w:pPr>
                  <w:r>
                    <w:rPr>
                      <w:rFonts w:ascii="Times New Roman"/>
                      <w:b/>
                      <w:bCs/>
                      <w:color w:val="auto"/>
                      <w:sz w:val="18"/>
                      <w:szCs w:val="18"/>
                    </w:rPr>
                    <w:t>序号</w:t>
                  </w:r>
                </w:p>
              </w:tc>
              <w:tc>
                <w:tcPr>
                  <w:tcW w:w="3415" w:type="pct"/>
                  <w:vAlign w:val="center"/>
                </w:tcPr>
                <w:p w14:paraId="3675DC8E">
                  <w:pPr>
                    <w:pStyle w:val="55"/>
                    <w:autoSpaceDE w:val="0"/>
                    <w:spacing w:before="24" w:after="24"/>
                    <w:rPr>
                      <w:rFonts w:ascii="Times New Roman"/>
                      <w:b/>
                      <w:bCs/>
                      <w:color w:val="auto"/>
                      <w:sz w:val="18"/>
                      <w:szCs w:val="18"/>
                    </w:rPr>
                  </w:pPr>
                  <w:r>
                    <w:rPr>
                      <w:rFonts w:ascii="Times New Roman"/>
                      <w:b/>
                      <w:bCs/>
                      <w:color w:val="auto"/>
                      <w:sz w:val="18"/>
                      <w:szCs w:val="18"/>
                    </w:rPr>
                    <w:t>管控条款</w:t>
                  </w:r>
                </w:p>
              </w:tc>
              <w:tc>
                <w:tcPr>
                  <w:tcW w:w="618" w:type="pct"/>
                  <w:vAlign w:val="center"/>
                </w:tcPr>
                <w:p w14:paraId="629AF166">
                  <w:pPr>
                    <w:pStyle w:val="55"/>
                    <w:autoSpaceDE w:val="0"/>
                    <w:spacing w:before="24" w:after="24"/>
                    <w:rPr>
                      <w:rFonts w:ascii="Times New Roman"/>
                      <w:b/>
                      <w:bCs/>
                      <w:color w:val="auto"/>
                      <w:sz w:val="18"/>
                      <w:szCs w:val="18"/>
                    </w:rPr>
                  </w:pPr>
                  <w:r>
                    <w:rPr>
                      <w:rFonts w:ascii="Times New Roman"/>
                      <w:b/>
                      <w:bCs/>
                      <w:color w:val="auto"/>
                      <w:sz w:val="18"/>
                      <w:szCs w:val="18"/>
                    </w:rPr>
                    <w:t>本项目情况</w:t>
                  </w:r>
                </w:p>
              </w:tc>
              <w:tc>
                <w:tcPr>
                  <w:tcW w:w="736" w:type="pct"/>
                  <w:vAlign w:val="center"/>
                </w:tcPr>
                <w:p w14:paraId="6D2BD0A3">
                  <w:pPr>
                    <w:pStyle w:val="55"/>
                    <w:autoSpaceDE w:val="0"/>
                    <w:spacing w:before="24" w:after="24"/>
                    <w:rPr>
                      <w:rFonts w:ascii="Times New Roman"/>
                      <w:b/>
                      <w:bCs/>
                      <w:color w:val="auto"/>
                      <w:sz w:val="18"/>
                      <w:szCs w:val="18"/>
                    </w:rPr>
                  </w:pPr>
                  <w:r>
                    <w:rPr>
                      <w:rFonts w:ascii="Times New Roman"/>
                      <w:b/>
                      <w:bCs/>
                      <w:color w:val="auto"/>
                      <w:sz w:val="18"/>
                      <w:szCs w:val="18"/>
                    </w:rPr>
                    <w:t>是否属于禁止范畴</w:t>
                  </w:r>
                </w:p>
              </w:tc>
            </w:tr>
            <w:tr w14:paraId="7ABA19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9" w:hRule="atLeast"/>
                <w:jc w:val="center"/>
              </w:trPr>
              <w:tc>
                <w:tcPr>
                  <w:tcW w:w="228" w:type="pct"/>
                  <w:vAlign w:val="center"/>
                </w:tcPr>
                <w:p w14:paraId="410B7AF8">
                  <w:pPr>
                    <w:pStyle w:val="55"/>
                    <w:autoSpaceDE w:val="0"/>
                    <w:spacing w:before="24" w:after="24"/>
                    <w:rPr>
                      <w:rFonts w:ascii="Times New Roman"/>
                      <w:b/>
                      <w:bCs/>
                      <w:color w:val="auto"/>
                      <w:sz w:val="18"/>
                      <w:szCs w:val="18"/>
                    </w:rPr>
                  </w:pPr>
                  <w:r>
                    <w:rPr>
                      <w:rFonts w:ascii="Times New Roman"/>
                      <w:b/>
                      <w:bCs/>
                      <w:color w:val="auto"/>
                      <w:sz w:val="18"/>
                      <w:szCs w:val="18"/>
                    </w:rPr>
                    <w:t>一</w:t>
                  </w:r>
                </w:p>
              </w:tc>
              <w:tc>
                <w:tcPr>
                  <w:tcW w:w="4771" w:type="pct"/>
                  <w:gridSpan w:val="3"/>
                  <w:vAlign w:val="center"/>
                </w:tcPr>
                <w:p w14:paraId="70795B8D">
                  <w:pPr>
                    <w:pStyle w:val="55"/>
                    <w:autoSpaceDE w:val="0"/>
                    <w:spacing w:before="24" w:after="24"/>
                    <w:rPr>
                      <w:rFonts w:ascii="Times New Roman"/>
                      <w:color w:val="auto"/>
                      <w:sz w:val="18"/>
                      <w:szCs w:val="18"/>
                    </w:rPr>
                  </w:pPr>
                  <w:r>
                    <w:rPr>
                      <w:rFonts w:ascii="Times New Roman"/>
                      <w:b/>
                      <w:bCs/>
                      <w:color w:val="auto"/>
                      <w:sz w:val="18"/>
                      <w:szCs w:val="18"/>
                    </w:rPr>
                    <w:t>禁止准入类</w:t>
                  </w:r>
                </w:p>
              </w:tc>
            </w:tr>
            <w:tr w14:paraId="6FAB0F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3" w:hRule="atLeast"/>
                <w:jc w:val="center"/>
              </w:trPr>
              <w:tc>
                <w:tcPr>
                  <w:tcW w:w="228" w:type="pct"/>
                  <w:vAlign w:val="center"/>
                </w:tcPr>
                <w:p w14:paraId="507C7E66">
                  <w:pPr>
                    <w:pStyle w:val="95"/>
                    <w:widowControl/>
                    <w:adjustRightInd w:val="0"/>
                    <w:snapToGrid w:val="0"/>
                    <w:jc w:val="center"/>
                    <w:rPr>
                      <w:rFonts w:ascii="Times New Roman" w:hAnsi="Times New Roman"/>
                      <w:color w:val="auto"/>
                      <w:sz w:val="18"/>
                      <w:szCs w:val="18"/>
                    </w:rPr>
                  </w:pPr>
                  <w:r>
                    <w:rPr>
                      <w:rFonts w:ascii="Times New Roman" w:hAnsi="Times New Roman"/>
                      <w:color w:val="auto"/>
                      <w:sz w:val="18"/>
                      <w:szCs w:val="18"/>
                    </w:rPr>
                    <w:t>1</w:t>
                  </w:r>
                </w:p>
              </w:tc>
              <w:tc>
                <w:tcPr>
                  <w:tcW w:w="3415" w:type="pct"/>
                  <w:vAlign w:val="center"/>
                </w:tcPr>
                <w:p w14:paraId="530A006C">
                  <w:pPr>
                    <w:pStyle w:val="95"/>
                    <w:widowControl/>
                    <w:adjustRightInd w:val="0"/>
                    <w:snapToGrid w:val="0"/>
                    <w:jc w:val="center"/>
                    <w:rPr>
                      <w:rFonts w:ascii="Times New Roman" w:hAnsi="Times New Roman"/>
                      <w:color w:val="auto"/>
                      <w:sz w:val="18"/>
                      <w:szCs w:val="18"/>
                      <w:lang w:eastAsia="zh-CN"/>
                    </w:rPr>
                  </w:pPr>
                  <w:r>
                    <w:rPr>
                      <w:rFonts w:ascii="Times New Roman" w:hAnsi="Times New Roman"/>
                      <w:color w:val="auto"/>
                      <w:sz w:val="18"/>
                      <w:szCs w:val="18"/>
                      <w:lang w:eastAsia="zh-CN"/>
                    </w:rPr>
                    <w:t>法律、法规、国务院决定等明确设立且与市场准入相关的禁止性规定</w:t>
                  </w:r>
                </w:p>
              </w:tc>
              <w:tc>
                <w:tcPr>
                  <w:tcW w:w="618" w:type="pct"/>
                  <w:vAlign w:val="center"/>
                </w:tcPr>
                <w:p w14:paraId="41BF0241">
                  <w:pPr>
                    <w:pStyle w:val="95"/>
                    <w:widowControl/>
                    <w:adjustRightInd w:val="0"/>
                    <w:snapToGrid w:val="0"/>
                    <w:jc w:val="center"/>
                    <w:rPr>
                      <w:rFonts w:ascii="Times New Roman" w:hAnsi="Times New Roman"/>
                      <w:color w:val="auto"/>
                      <w:sz w:val="18"/>
                      <w:szCs w:val="18"/>
                    </w:rPr>
                  </w:pPr>
                  <w:r>
                    <w:rPr>
                      <w:rFonts w:ascii="Times New Roman" w:hAnsi="Times New Roman"/>
                      <w:color w:val="auto"/>
                      <w:sz w:val="18"/>
                      <w:szCs w:val="18"/>
                    </w:rPr>
                    <w:t>不涉及</w:t>
                  </w:r>
                </w:p>
              </w:tc>
              <w:tc>
                <w:tcPr>
                  <w:tcW w:w="736" w:type="pct"/>
                  <w:vAlign w:val="center"/>
                </w:tcPr>
                <w:p w14:paraId="57C65B57">
                  <w:pPr>
                    <w:pStyle w:val="95"/>
                    <w:widowControl/>
                    <w:adjustRightInd w:val="0"/>
                    <w:snapToGrid w:val="0"/>
                    <w:jc w:val="center"/>
                    <w:rPr>
                      <w:rFonts w:ascii="Times New Roman" w:hAnsi="Times New Roman"/>
                      <w:color w:val="auto"/>
                      <w:sz w:val="18"/>
                      <w:szCs w:val="18"/>
                    </w:rPr>
                  </w:pPr>
                  <w:r>
                    <w:rPr>
                      <w:rFonts w:ascii="Times New Roman" w:hAnsi="Times New Roman"/>
                      <w:color w:val="auto"/>
                      <w:sz w:val="18"/>
                      <w:szCs w:val="18"/>
                    </w:rPr>
                    <w:t>否</w:t>
                  </w:r>
                </w:p>
              </w:tc>
            </w:tr>
            <w:tr w14:paraId="1BA2A1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3" w:hRule="atLeast"/>
                <w:jc w:val="center"/>
              </w:trPr>
              <w:tc>
                <w:tcPr>
                  <w:tcW w:w="228" w:type="pct"/>
                  <w:vAlign w:val="center"/>
                </w:tcPr>
                <w:p w14:paraId="1087BE86">
                  <w:pPr>
                    <w:pStyle w:val="95"/>
                    <w:widowControl/>
                    <w:adjustRightInd w:val="0"/>
                    <w:snapToGrid w:val="0"/>
                    <w:jc w:val="center"/>
                    <w:rPr>
                      <w:rFonts w:ascii="Times New Roman" w:hAnsi="Times New Roman"/>
                      <w:color w:val="auto"/>
                      <w:sz w:val="18"/>
                      <w:szCs w:val="18"/>
                    </w:rPr>
                  </w:pPr>
                  <w:r>
                    <w:rPr>
                      <w:rFonts w:ascii="Times New Roman" w:hAnsi="Times New Roman"/>
                      <w:color w:val="auto"/>
                      <w:sz w:val="18"/>
                      <w:szCs w:val="18"/>
                    </w:rPr>
                    <w:t>2</w:t>
                  </w:r>
                </w:p>
              </w:tc>
              <w:tc>
                <w:tcPr>
                  <w:tcW w:w="3415" w:type="pct"/>
                  <w:vAlign w:val="center"/>
                </w:tcPr>
                <w:p w14:paraId="42A4CDB5">
                  <w:pPr>
                    <w:widowControl/>
                    <w:adjustRightInd w:val="0"/>
                    <w:snapToGrid w:val="0"/>
                    <w:jc w:val="center"/>
                    <w:rPr>
                      <w:color w:val="auto"/>
                      <w:sz w:val="18"/>
                      <w:szCs w:val="18"/>
                    </w:rPr>
                  </w:pPr>
                  <w:r>
                    <w:rPr>
                      <w:color w:val="auto"/>
                      <w:sz w:val="18"/>
                      <w:szCs w:val="18"/>
                    </w:rPr>
                    <w:t>国家产业政策明令淘汰和限制的产品、技术、工艺、设备及行为</w:t>
                  </w:r>
                </w:p>
              </w:tc>
              <w:tc>
                <w:tcPr>
                  <w:tcW w:w="618" w:type="pct"/>
                  <w:vAlign w:val="center"/>
                </w:tcPr>
                <w:p w14:paraId="477466FB">
                  <w:pPr>
                    <w:pStyle w:val="95"/>
                    <w:widowControl/>
                    <w:adjustRightInd w:val="0"/>
                    <w:snapToGrid w:val="0"/>
                    <w:jc w:val="center"/>
                    <w:rPr>
                      <w:rFonts w:ascii="Times New Roman" w:hAnsi="Times New Roman"/>
                      <w:color w:val="auto"/>
                      <w:sz w:val="18"/>
                      <w:szCs w:val="18"/>
                    </w:rPr>
                  </w:pPr>
                  <w:r>
                    <w:rPr>
                      <w:rFonts w:ascii="Times New Roman" w:hAnsi="Times New Roman"/>
                      <w:color w:val="auto"/>
                      <w:sz w:val="18"/>
                      <w:szCs w:val="18"/>
                    </w:rPr>
                    <w:t>不涉及</w:t>
                  </w:r>
                </w:p>
              </w:tc>
              <w:tc>
                <w:tcPr>
                  <w:tcW w:w="736" w:type="pct"/>
                  <w:vAlign w:val="center"/>
                </w:tcPr>
                <w:p w14:paraId="579F76EF">
                  <w:pPr>
                    <w:pStyle w:val="95"/>
                    <w:widowControl/>
                    <w:adjustRightInd w:val="0"/>
                    <w:snapToGrid w:val="0"/>
                    <w:jc w:val="center"/>
                    <w:rPr>
                      <w:rFonts w:ascii="Times New Roman" w:hAnsi="Times New Roman"/>
                      <w:color w:val="auto"/>
                      <w:sz w:val="18"/>
                      <w:szCs w:val="18"/>
                    </w:rPr>
                  </w:pPr>
                  <w:r>
                    <w:rPr>
                      <w:rFonts w:ascii="Times New Roman" w:hAnsi="Times New Roman"/>
                      <w:color w:val="auto"/>
                      <w:sz w:val="18"/>
                      <w:szCs w:val="18"/>
                    </w:rPr>
                    <w:t>否</w:t>
                  </w:r>
                </w:p>
              </w:tc>
            </w:tr>
            <w:tr w14:paraId="575CC8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28" w:type="pct"/>
                  <w:vAlign w:val="center"/>
                </w:tcPr>
                <w:p w14:paraId="490DA924">
                  <w:pPr>
                    <w:pStyle w:val="95"/>
                    <w:widowControl/>
                    <w:adjustRightInd w:val="0"/>
                    <w:snapToGrid w:val="0"/>
                    <w:jc w:val="center"/>
                    <w:rPr>
                      <w:rFonts w:ascii="Times New Roman" w:hAnsi="Times New Roman"/>
                      <w:color w:val="auto"/>
                      <w:sz w:val="18"/>
                      <w:szCs w:val="18"/>
                    </w:rPr>
                  </w:pPr>
                  <w:r>
                    <w:rPr>
                      <w:rFonts w:ascii="Times New Roman" w:hAnsi="Times New Roman"/>
                      <w:color w:val="auto"/>
                      <w:sz w:val="18"/>
                      <w:szCs w:val="18"/>
                    </w:rPr>
                    <w:t>3</w:t>
                  </w:r>
                </w:p>
              </w:tc>
              <w:tc>
                <w:tcPr>
                  <w:tcW w:w="3415" w:type="pct"/>
                  <w:vAlign w:val="center"/>
                </w:tcPr>
                <w:p w14:paraId="2C1E9E99">
                  <w:pPr>
                    <w:pStyle w:val="95"/>
                    <w:widowControl/>
                    <w:adjustRightInd w:val="0"/>
                    <w:snapToGrid w:val="0"/>
                    <w:jc w:val="center"/>
                    <w:rPr>
                      <w:rFonts w:ascii="Times New Roman" w:hAnsi="Times New Roman"/>
                      <w:color w:val="auto"/>
                      <w:sz w:val="18"/>
                      <w:szCs w:val="18"/>
                      <w:lang w:eastAsia="zh-CN"/>
                    </w:rPr>
                  </w:pPr>
                  <w:r>
                    <w:rPr>
                      <w:rFonts w:ascii="Times New Roman" w:hAnsi="Times New Roman"/>
                      <w:color w:val="auto"/>
                      <w:sz w:val="18"/>
                      <w:szCs w:val="18"/>
                      <w:lang w:eastAsia="zh-CN"/>
                    </w:rPr>
                    <w:t>不符合主体功能区建设要求的各类开发活动</w:t>
                  </w:r>
                </w:p>
              </w:tc>
              <w:tc>
                <w:tcPr>
                  <w:tcW w:w="618" w:type="pct"/>
                  <w:vAlign w:val="center"/>
                </w:tcPr>
                <w:p w14:paraId="2DB7293A">
                  <w:pPr>
                    <w:pStyle w:val="95"/>
                    <w:widowControl/>
                    <w:adjustRightInd w:val="0"/>
                    <w:snapToGrid w:val="0"/>
                    <w:jc w:val="center"/>
                    <w:rPr>
                      <w:rFonts w:ascii="Times New Roman" w:hAnsi="Times New Roman"/>
                      <w:color w:val="auto"/>
                      <w:sz w:val="18"/>
                      <w:szCs w:val="18"/>
                    </w:rPr>
                  </w:pPr>
                  <w:r>
                    <w:rPr>
                      <w:rFonts w:ascii="Times New Roman" w:hAnsi="Times New Roman"/>
                      <w:color w:val="auto"/>
                      <w:sz w:val="18"/>
                      <w:szCs w:val="18"/>
                    </w:rPr>
                    <w:t>不涉及</w:t>
                  </w:r>
                </w:p>
              </w:tc>
              <w:tc>
                <w:tcPr>
                  <w:tcW w:w="736" w:type="pct"/>
                  <w:vAlign w:val="center"/>
                </w:tcPr>
                <w:p w14:paraId="66B56125">
                  <w:pPr>
                    <w:pStyle w:val="95"/>
                    <w:widowControl/>
                    <w:adjustRightInd w:val="0"/>
                    <w:snapToGrid w:val="0"/>
                    <w:jc w:val="center"/>
                    <w:rPr>
                      <w:rFonts w:ascii="Times New Roman" w:hAnsi="Times New Roman"/>
                      <w:color w:val="auto"/>
                      <w:sz w:val="18"/>
                      <w:szCs w:val="18"/>
                    </w:rPr>
                  </w:pPr>
                  <w:r>
                    <w:rPr>
                      <w:rFonts w:ascii="Times New Roman" w:hAnsi="Times New Roman"/>
                      <w:color w:val="auto"/>
                      <w:sz w:val="18"/>
                      <w:szCs w:val="18"/>
                    </w:rPr>
                    <w:t>否</w:t>
                  </w:r>
                </w:p>
              </w:tc>
            </w:tr>
            <w:tr w14:paraId="378D67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28" w:type="pct"/>
                  <w:vAlign w:val="center"/>
                </w:tcPr>
                <w:p w14:paraId="1D8FF35B">
                  <w:pPr>
                    <w:pStyle w:val="95"/>
                    <w:widowControl/>
                    <w:adjustRightInd w:val="0"/>
                    <w:snapToGrid w:val="0"/>
                    <w:jc w:val="center"/>
                    <w:rPr>
                      <w:rFonts w:ascii="Times New Roman" w:hAnsi="Times New Roman"/>
                      <w:color w:val="auto"/>
                      <w:sz w:val="18"/>
                      <w:szCs w:val="18"/>
                    </w:rPr>
                  </w:pPr>
                  <w:r>
                    <w:rPr>
                      <w:rFonts w:ascii="Times New Roman" w:hAnsi="Times New Roman"/>
                      <w:color w:val="auto"/>
                      <w:sz w:val="18"/>
                      <w:szCs w:val="18"/>
                    </w:rPr>
                    <w:t>4</w:t>
                  </w:r>
                </w:p>
              </w:tc>
              <w:tc>
                <w:tcPr>
                  <w:tcW w:w="3415" w:type="pct"/>
                  <w:vAlign w:val="center"/>
                </w:tcPr>
                <w:p w14:paraId="3677BB35">
                  <w:pPr>
                    <w:pStyle w:val="95"/>
                    <w:widowControl/>
                    <w:adjustRightInd w:val="0"/>
                    <w:snapToGrid w:val="0"/>
                    <w:jc w:val="center"/>
                    <w:rPr>
                      <w:rFonts w:ascii="Times New Roman" w:hAnsi="Times New Roman"/>
                      <w:color w:val="auto"/>
                      <w:sz w:val="18"/>
                      <w:szCs w:val="18"/>
                      <w:lang w:eastAsia="zh-CN"/>
                    </w:rPr>
                  </w:pPr>
                  <w:r>
                    <w:rPr>
                      <w:rFonts w:ascii="Times New Roman" w:hAnsi="Times New Roman"/>
                      <w:color w:val="auto"/>
                      <w:sz w:val="18"/>
                      <w:szCs w:val="18"/>
                      <w:lang w:eastAsia="zh-CN"/>
                    </w:rPr>
                    <w:t>禁止违规开展金融相关经营活动</w:t>
                  </w:r>
                </w:p>
              </w:tc>
              <w:tc>
                <w:tcPr>
                  <w:tcW w:w="618" w:type="pct"/>
                  <w:vAlign w:val="center"/>
                </w:tcPr>
                <w:p w14:paraId="2A55AF3B">
                  <w:pPr>
                    <w:pStyle w:val="95"/>
                    <w:widowControl/>
                    <w:adjustRightInd w:val="0"/>
                    <w:snapToGrid w:val="0"/>
                    <w:jc w:val="center"/>
                    <w:rPr>
                      <w:rFonts w:ascii="Times New Roman" w:hAnsi="Times New Roman"/>
                      <w:color w:val="auto"/>
                      <w:sz w:val="18"/>
                      <w:szCs w:val="18"/>
                    </w:rPr>
                  </w:pPr>
                  <w:r>
                    <w:rPr>
                      <w:rFonts w:ascii="Times New Roman" w:hAnsi="Times New Roman"/>
                      <w:color w:val="auto"/>
                      <w:sz w:val="18"/>
                      <w:szCs w:val="18"/>
                    </w:rPr>
                    <w:t>不涉及</w:t>
                  </w:r>
                </w:p>
              </w:tc>
              <w:tc>
                <w:tcPr>
                  <w:tcW w:w="736" w:type="pct"/>
                  <w:vAlign w:val="center"/>
                </w:tcPr>
                <w:p w14:paraId="34302F25">
                  <w:pPr>
                    <w:pStyle w:val="95"/>
                    <w:widowControl/>
                    <w:adjustRightInd w:val="0"/>
                    <w:snapToGrid w:val="0"/>
                    <w:jc w:val="center"/>
                    <w:rPr>
                      <w:rFonts w:ascii="Times New Roman" w:hAnsi="Times New Roman"/>
                      <w:color w:val="auto"/>
                      <w:sz w:val="18"/>
                      <w:szCs w:val="18"/>
                    </w:rPr>
                  </w:pPr>
                  <w:r>
                    <w:rPr>
                      <w:rFonts w:ascii="Times New Roman" w:hAnsi="Times New Roman"/>
                      <w:color w:val="auto"/>
                      <w:sz w:val="18"/>
                      <w:szCs w:val="18"/>
                    </w:rPr>
                    <w:t>否</w:t>
                  </w:r>
                </w:p>
              </w:tc>
            </w:tr>
            <w:tr w14:paraId="2787C7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8" w:hRule="atLeast"/>
                <w:jc w:val="center"/>
              </w:trPr>
              <w:tc>
                <w:tcPr>
                  <w:tcW w:w="228" w:type="pct"/>
                  <w:vAlign w:val="center"/>
                </w:tcPr>
                <w:p w14:paraId="46CB30AB">
                  <w:pPr>
                    <w:pStyle w:val="95"/>
                    <w:widowControl/>
                    <w:adjustRightInd w:val="0"/>
                    <w:snapToGrid w:val="0"/>
                    <w:jc w:val="center"/>
                    <w:rPr>
                      <w:rFonts w:ascii="Times New Roman" w:hAnsi="Times New Roman"/>
                      <w:color w:val="auto"/>
                      <w:sz w:val="18"/>
                      <w:szCs w:val="18"/>
                    </w:rPr>
                  </w:pPr>
                  <w:r>
                    <w:rPr>
                      <w:rFonts w:ascii="Times New Roman" w:hAnsi="Times New Roman"/>
                      <w:color w:val="auto"/>
                      <w:sz w:val="18"/>
                      <w:szCs w:val="18"/>
                    </w:rPr>
                    <w:t>5</w:t>
                  </w:r>
                </w:p>
              </w:tc>
              <w:tc>
                <w:tcPr>
                  <w:tcW w:w="3415" w:type="pct"/>
                  <w:vAlign w:val="center"/>
                </w:tcPr>
                <w:p w14:paraId="7C16E7C9">
                  <w:pPr>
                    <w:pStyle w:val="95"/>
                    <w:widowControl/>
                    <w:adjustRightInd w:val="0"/>
                    <w:snapToGrid w:val="0"/>
                    <w:jc w:val="center"/>
                    <w:rPr>
                      <w:rFonts w:ascii="Times New Roman" w:hAnsi="Times New Roman"/>
                      <w:color w:val="auto"/>
                      <w:sz w:val="18"/>
                      <w:szCs w:val="18"/>
                      <w:lang w:eastAsia="zh-CN"/>
                    </w:rPr>
                  </w:pPr>
                  <w:r>
                    <w:rPr>
                      <w:rFonts w:ascii="Times New Roman" w:hAnsi="Times New Roman"/>
                      <w:color w:val="auto"/>
                      <w:sz w:val="18"/>
                      <w:szCs w:val="18"/>
                      <w:lang w:eastAsia="zh-CN"/>
                    </w:rPr>
                    <w:t>禁止违规开展互联网相关经营活动</w:t>
                  </w:r>
                </w:p>
              </w:tc>
              <w:tc>
                <w:tcPr>
                  <w:tcW w:w="618" w:type="pct"/>
                  <w:vAlign w:val="center"/>
                </w:tcPr>
                <w:p w14:paraId="15C6F7CB">
                  <w:pPr>
                    <w:pStyle w:val="95"/>
                    <w:widowControl/>
                    <w:adjustRightInd w:val="0"/>
                    <w:snapToGrid w:val="0"/>
                    <w:jc w:val="center"/>
                    <w:rPr>
                      <w:rFonts w:ascii="Times New Roman" w:hAnsi="Times New Roman"/>
                      <w:color w:val="auto"/>
                      <w:sz w:val="18"/>
                      <w:szCs w:val="18"/>
                    </w:rPr>
                  </w:pPr>
                  <w:r>
                    <w:rPr>
                      <w:rFonts w:ascii="Times New Roman" w:hAnsi="Times New Roman"/>
                      <w:color w:val="auto"/>
                      <w:sz w:val="18"/>
                      <w:szCs w:val="18"/>
                    </w:rPr>
                    <w:t>不涉及</w:t>
                  </w:r>
                </w:p>
              </w:tc>
              <w:tc>
                <w:tcPr>
                  <w:tcW w:w="736" w:type="pct"/>
                  <w:vAlign w:val="center"/>
                </w:tcPr>
                <w:p w14:paraId="0D1CDE45">
                  <w:pPr>
                    <w:pStyle w:val="95"/>
                    <w:widowControl/>
                    <w:adjustRightInd w:val="0"/>
                    <w:snapToGrid w:val="0"/>
                    <w:jc w:val="center"/>
                    <w:rPr>
                      <w:rFonts w:ascii="Times New Roman" w:hAnsi="Times New Roman"/>
                      <w:color w:val="auto"/>
                      <w:sz w:val="18"/>
                      <w:szCs w:val="18"/>
                    </w:rPr>
                  </w:pPr>
                  <w:r>
                    <w:rPr>
                      <w:rFonts w:ascii="Times New Roman" w:hAnsi="Times New Roman"/>
                      <w:color w:val="auto"/>
                      <w:sz w:val="18"/>
                      <w:szCs w:val="18"/>
                    </w:rPr>
                    <w:t>否</w:t>
                  </w:r>
                </w:p>
              </w:tc>
            </w:tr>
            <w:tr w14:paraId="26F030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8" w:hRule="atLeast"/>
                <w:jc w:val="center"/>
              </w:trPr>
              <w:tc>
                <w:tcPr>
                  <w:tcW w:w="228" w:type="pct"/>
                  <w:vAlign w:val="center"/>
                </w:tcPr>
                <w:p w14:paraId="1EF94EBA">
                  <w:pPr>
                    <w:pStyle w:val="95"/>
                    <w:widowControl/>
                    <w:adjustRightInd w:val="0"/>
                    <w:snapToGrid w:val="0"/>
                    <w:jc w:val="center"/>
                    <w:rPr>
                      <w:rFonts w:ascii="Times New Roman" w:hAnsi="Times New Roman"/>
                      <w:color w:val="auto"/>
                      <w:sz w:val="18"/>
                      <w:szCs w:val="18"/>
                    </w:rPr>
                  </w:pPr>
                  <w:r>
                    <w:rPr>
                      <w:rFonts w:ascii="Times New Roman" w:hAnsi="Times New Roman"/>
                      <w:color w:val="auto"/>
                      <w:sz w:val="18"/>
                      <w:szCs w:val="18"/>
                    </w:rPr>
                    <w:t>6</w:t>
                  </w:r>
                </w:p>
              </w:tc>
              <w:tc>
                <w:tcPr>
                  <w:tcW w:w="3415" w:type="pct"/>
                  <w:vAlign w:val="center"/>
                </w:tcPr>
                <w:p w14:paraId="5D4DF1A9">
                  <w:pPr>
                    <w:pStyle w:val="95"/>
                    <w:widowControl/>
                    <w:adjustRightInd w:val="0"/>
                    <w:snapToGrid w:val="0"/>
                    <w:jc w:val="center"/>
                    <w:rPr>
                      <w:rFonts w:ascii="Times New Roman" w:hAnsi="Times New Roman"/>
                      <w:color w:val="auto"/>
                      <w:sz w:val="18"/>
                      <w:szCs w:val="18"/>
                      <w:lang w:eastAsia="zh-CN"/>
                    </w:rPr>
                  </w:pPr>
                  <w:r>
                    <w:rPr>
                      <w:rFonts w:ascii="Times New Roman" w:hAnsi="Times New Roman"/>
                      <w:color w:val="auto"/>
                      <w:sz w:val="18"/>
                      <w:szCs w:val="18"/>
                      <w:lang w:eastAsia="zh-CN"/>
                    </w:rPr>
                    <w:t>禁止违规开展新闻传媒相关业务</w:t>
                  </w:r>
                </w:p>
              </w:tc>
              <w:tc>
                <w:tcPr>
                  <w:tcW w:w="618" w:type="pct"/>
                  <w:vAlign w:val="center"/>
                </w:tcPr>
                <w:p w14:paraId="123CD429">
                  <w:pPr>
                    <w:pStyle w:val="95"/>
                    <w:widowControl/>
                    <w:adjustRightInd w:val="0"/>
                    <w:snapToGrid w:val="0"/>
                    <w:jc w:val="center"/>
                    <w:rPr>
                      <w:rFonts w:ascii="Times New Roman" w:hAnsi="Times New Roman"/>
                      <w:color w:val="auto"/>
                      <w:sz w:val="18"/>
                      <w:szCs w:val="18"/>
                    </w:rPr>
                  </w:pPr>
                  <w:r>
                    <w:rPr>
                      <w:rFonts w:ascii="Times New Roman" w:hAnsi="Times New Roman"/>
                      <w:color w:val="auto"/>
                      <w:sz w:val="18"/>
                      <w:szCs w:val="18"/>
                    </w:rPr>
                    <w:t>不涉及</w:t>
                  </w:r>
                </w:p>
              </w:tc>
              <w:tc>
                <w:tcPr>
                  <w:tcW w:w="736" w:type="pct"/>
                  <w:vAlign w:val="center"/>
                </w:tcPr>
                <w:p w14:paraId="42A3F4B9">
                  <w:pPr>
                    <w:pStyle w:val="95"/>
                    <w:widowControl/>
                    <w:adjustRightInd w:val="0"/>
                    <w:snapToGrid w:val="0"/>
                    <w:jc w:val="center"/>
                    <w:rPr>
                      <w:rFonts w:ascii="Times New Roman" w:hAnsi="Times New Roman"/>
                      <w:color w:val="auto"/>
                      <w:sz w:val="18"/>
                      <w:szCs w:val="18"/>
                    </w:rPr>
                  </w:pPr>
                  <w:r>
                    <w:rPr>
                      <w:rFonts w:ascii="Times New Roman" w:hAnsi="Times New Roman"/>
                      <w:color w:val="auto"/>
                      <w:sz w:val="18"/>
                      <w:szCs w:val="18"/>
                    </w:rPr>
                    <w:t>否</w:t>
                  </w:r>
                </w:p>
              </w:tc>
            </w:tr>
            <w:tr w14:paraId="0356DC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8" w:hRule="atLeast"/>
                <w:jc w:val="center"/>
              </w:trPr>
              <w:tc>
                <w:tcPr>
                  <w:tcW w:w="228" w:type="pct"/>
                  <w:vAlign w:val="center"/>
                </w:tcPr>
                <w:p w14:paraId="677424ED">
                  <w:pPr>
                    <w:pStyle w:val="95"/>
                    <w:widowControl/>
                    <w:adjustRightInd w:val="0"/>
                    <w:snapToGrid w:val="0"/>
                    <w:jc w:val="center"/>
                    <w:rPr>
                      <w:rFonts w:ascii="Times New Roman" w:hAnsi="Times New Roman"/>
                      <w:b/>
                      <w:bCs/>
                      <w:color w:val="auto"/>
                      <w:sz w:val="18"/>
                      <w:szCs w:val="18"/>
                    </w:rPr>
                  </w:pPr>
                  <w:r>
                    <w:rPr>
                      <w:rFonts w:ascii="Times New Roman" w:hAnsi="Times New Roman"/>
                      <w:b/>
                      <w:bCs/>
                      <w:color w:val="auto"/>
                      <w:sz w:val="18"/>
                      <w:szCs w:val="18"/>
                    </w:rPr>
                    <w:t>二</w:t>
                  </w:r>
                </w:p>
              </w:tc>
              <w:tc>
                <w:tcPr>
                  <w:tcW w:w="4771" w:type="pct"/>
                  <w:gridSpan w:val="3"/>
                  <w:vAlign w:val="center"/>
                </w:tcPr>
                <w:p w14:paraId="6DB9935A">
                  <w:pPr>
                    <w:pStyle w:val="95"/>
                    <w:widowControl/>
                    <w:adjustRightInd w:val="0"/>
                    <w:snapToGrid w:val="0"/>
                    <w:jc w:val="center"/>
                    <w:rPr>
                      <w:rFonts w:ascii="Times New Roman" w:hAnsi="Times New Roman"/>
                      <w:color w:val="auto"/>
                      <w:sz w:val="18"/>
                      <w:szCs w:val="18"/>
                      <w:lang w:eastAsia="zh-CN"/>
                    </w:rPr>
                  </w:pPr>
                  <w:r>
                    <w:rPr>
                      <w:rFonts w:ascii="Times New Roman" w:hAnsi="Times New Roman"/>
                      <w:b/>
                      <w:bCs/>
                      <w:color w:val="auto"/>
                      <w:sz w:val="18"/>
                      <w:szCs w:val="18"/>
                      <w:lang w:eastAsia="zh-CN"/>
                    </w:rPr>
                    <w:t>许可准入类（</w:t>
                  </w:r>
                  <w:r>
                    <w:rPr>
                      <w:rFonts w:hint="eastAsia" w:ascii="Times New Roman" w:hAnsi="Times New Roman"/>
                      <w:b/>
                      <w:bCs/>
                      <w:color w:val="auto"/>
                      <w:sz w:val="18"/>
                      <w:szCs w:val="18"/>
                      <w:lang w:eastAsia="zh-CN"/>
                    </w:rPr>
                    <w:t>科学研究和技术服务业</w:t>
                  </w:r>
                  <w:r>
                    <w:rPr>
                      <w:rFonts w:ascii="Times New Roman" w:hAnsi="Times New Roman"/>
                      <w:b/>
                      <w:bCs/>
                      <w:color w:val="auto"/>
                      <w:sz w:val="18"/>
                      <w:szCs w:val="18"/>
                      <w:lang w:eastAsia="zh-CN"/>
                    </w:rPr>
                    <w:t>）</w:t>
                  </w:r>
                </w:p>
              </w:tc>
            </w:tr>
            <w:tr w14:paraId="6F58ED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3" w:hRule="atLeast"/>
                <w:jc w:val="center"/>
              </w:trPr>
              <w:tc>
                <w:tcPr>
                  <w:tcW w:w="228" w:type="pct"/>
                  <w:vAlign w:val="center"/>
                </w:tcPr>
                <w:p w14:paraId="3649AD8C">
                  <w:pPr>
                    <w:pStyle w:val="95"/>
                    <w:widowControl/>
                    <w:adjustRightInd w:val="0"/>
                    <w:snapToGrid w:val="0"/>
                    <w:jc w:val="center"/>
                    <w:rPr>
                      <w:rFonts w:ascii="Times New Roman" w:hAnsi="Times New Roman"/>
                      <w:color w:val="auto"/>
                      <w:sz w:val="18"/>
                      <w:szCs w:val="18"/>
                    </w:rPr>
                  </w:pPr>
                  <w:r>
                    <w:rPr>
                      <w:rFonts w:ascii="Times New Roman" w:hAnsi="Times New Roman"/>
                      <w:color w:val="auto"/>
                      <w:sz w:val="18"/>
                      <w:szCs w:val="18"/>
                    </w:rPr>
                    <w:t>1</w:t>
                  </w:r>
                </w:p>
              </w:tc>
              <w:tc>
                <w:tcPr>
                  <w:tcW w:w="3415" w:type="pct"/>
                  <w:vAlign w:val="center"/>
                </w:tcPr>
                <w:p w14:paraId="4393AFB9">
                  <w:pPr>
                    <w:pStyle w:val="95"/>
                    <w:widowControl/>
                    <w:adjustRightInd w:val="0"/>
                    <w:snapToGrid w:val="0"/>
                    <w:jc w:val="center"/>
                    <w:rPr>
                      <w:rFonts w:ascii="Times New Roman" w:hAnsi="Times New Roman"/>
                      <w:color w:val="auto"/>
                      <w:sz w:val="18"/>
                      <w:szCs w:val="18"/>
                      <w:lang w:eastAsia="zh-CN"/>
                    </w:rPr>
                  </w:pPr>
                  <w:r>
                    <w:rPr>
                      <w:rFonts w:hint="eastAsia" w:ascii="Times New Roman" w:hAnsi="Times New Roman"/>
                      <w:color w:val="auto"/>
                      <w:sz w:val="18"/>
                      <w:szCs w:val="18"/>
                      <w:lang w:eastAsia="zh-CN"/>
                    </w:rPr>
                    <w:t>未获得许可，不得从事特定人类遗传资源相关业务</w:t>
                  </w:r>
                </w:p>
              </w:tc>
              <w:tc>
                <w:tcPr>
                  <w:tcW w:w="618" w:type="pct"/>
                  <w:vAlign w:val="center"/>
                </w:tcPr>
                <w:p w14:paraId="13C91A36">
                  <w:pPr>
                    <w:pStyle w:val="95"/>
                    <w:widowControl/>
                    <w:adjustRightInd w:val="0"/>
                    <w:snapToGrid w:val="0"/>
                    <w:jc w:val="center"/>
                    <w:rPr>
                      <w:rFonts w:ascii="Times New Roman" w:hAnsi="Times New Roman"/>
                      <w:color w:val="auto"/>
                      <w:sz w:val="18"/>
                      <w:szCs w:val="18"/>
                    </w:rPr>
                  </w:pPr>
                  <w:r>
                    <w:rPr>
                      <w:rFonts w:ascii="Times New Roman" w:hAnsi="Times New Roman"/>
                      <w:color w:val="auto"/>
                      <w:sz w:val="18"/>
                      <w:szCs w:val="18"/>
                    </w:rPr>
                    <w:t>不涉及</w:t>
                  </w:r>
                </w:p>
              </w:tc>
              <w:tc>
                <w:tcPr>
                  <w:tcW w:w="736" w:type="pct"/>
                  <w:vAlign w:val="center"/>
                </w:tcPr>
                <w:p w14:paraId="24FF4077">
                  <w:pPr>
                    <w:pStyle w:val="95"/>
                    <w:widowControl/>
                    <w:adjustRightInd w:val="0"/>
                    <w:snapToGrid w:val="0"/>
                    <w:jc w:val="center"/>
                    <w:rPr>
                      <w:rFonts w:ascii="Times New Roman" w:hAnsi="Times New Roman"/>
                      <w:color w:val="auto"/>
                      <w:sz w:val="18"/>
                      <w:szCs w:val="18"/>
                    </w:rPr>
                  </w:pPr>
                  <w:r>
                    <w:rPr>
                      <w:rFonts w:ascii="Times New Roman" w:hAnsi="Times New Roman"/>
                      <w:color w:val="auto"/>
                      <w:sz w:val="18"/>
                      <w:szCs w:val="18"/>
                    </w:rPr>
                    <w:t>否</w:t>
                  </w:r>
                </w:p>
              </w:tc>
            </w:tr>
            <w:tr w14:paraId="3119E6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8" w:hRule="atLeast"/>
                <w:jc w:val="center"/>
              </w:trPr>
              <w:tc>
                <w:tcPr>
                  <w:tcW w:w="228" w:type="pct"/>
                  <w:vAlign w:val="center"/>
                </w:tcPr>
                <w:p w14:paraId="419ED9CC">
                  <w:pPr>
                    <w:pStyle w:val="95"/>
                    <w:widowControl/>
                    <w:adjustRightInd w:val="0"/>
                    <w:snapToGrid w:val="0"/>
                    <w:jc w:val="center"/>
                    <w:rPr>
                      <w:rFonts w:ascii="Times New Roman" w:hAnsi="Times New Roman"/>
                      <w:color w:val="auto"/>
                      <w:sz w:val="18"/>
                      <w:szCs w:val="18"/>
                    </w:rPr>
                  </w:pPr>
                  <w:r>
                    <w:rPr>
                      <w:rFonts w:ascii="Times New Roman" w:hAnsi="Times New Roman"/>
                      <w:color w:val="auto"/>
                      <w:sz w:val="18"/>
                      <w:szCs w:val="18"/>
                    </w:rPr>
                    <w:t>2</w:t>
                  </w:r>
                </w:p>
              </w:tc>
              <w:tc>
                <w:tcPr>
                  <w:tcW w:w="3415" w:type="pct"/>
                  <w:vAlign w:val="center"/>
                </w:tcPr>
                <w:p w14:paraId="06164659">
                  <w:pPr>
                    <w:pStyle w:val="95"/>
                    <w:widowControl/>
                    <w:adjustRightInd w:val="0"/>
                    <w:snapToGrid w:val="0"/>
                    <w:jc w:val="center"/>
                    <w:rPr>
                      <w:rFonts w:ascii="Times New Roman" w:hAnsi="Times New Roman"/>
                      <w:color w:val="auto"/>
                      <w:sz w:val="18"/>
                      <w:szCs w:val="18"/>
                      <w:lang w:eastAsia="zh-CN"/>
                    </w:rPr>
                  </w:pPr>
                  <w:r>
                    <w:rPr>
                      <w:rFonts w:hint="eastAsia" w:ascii="Times New Roman" w:hAnsi="Times New Roman"/>
                      <w:color w:val="auto"/>
                      <w:sz w:val="18"/>
                      <w:szCs w:val="18"/>
                      <w:lang w:eastAsia="zh-CN"/>
                    </w:rPr>
                    <w:t>未获得许可，不得从事动物、微生物等特定科学研究活动</w:t>
                  </w:r>
                </w:p>
              </w:tc>
              <w:tc>
                <w:tcPr>
                  <w:tcW w:w="618" w:type="pct"/>
                  <w:vAlign w:val="center"/>
                </w:tcPr>
                <w:p w14:paraId="1F9572A4">
                  <w:pPr>
                    <w:pStyle w:val="95"/>
                    <w:widowControl/>
                    <w:adjustRightInd w:val="0"/>
                    <w:snapToGrid w:val="0"/>
                    <w:jc w:val="center"/>
                    <w:rPr>
                      <w:rFonts w:ascii="Times New Roman" w:hAnsi="Times New Roman"/>
                      <w:color w:val="auto"/>
                      <w:sz w:val="18"/>
                      <w:szCs w:val="18"/>
                    </w:rPr>
                  </w:pPr>
                  <w:r>
                    <w:rPr>
                      <w:rFonts w:ascii="Times New Roman" w:hAnsi="Times New Roman"/>
                      <w:color w:val="auto"/>
                      <w:sz w:val="18"/>
                      <w:szCs w:val="18"/>
                    </w:rPr>
                    <w:t>不涉及</w:t>
                  </w:r>
                </w:p>
              </w:tc>
              <w:tc>
                <w:tcPr>
                  <w:tcW w:w="736" w:type="pct"/>
                  <w:vAlign w:val="center"/>
                </w:tcPr>
                <w:p w14:paraId="435BBACB">
                  <w:pPr>
                    <w:pStyle w:val="95"/>
                    <w:widowControl/>
                    <w:adjustRightInd w:val="0"/>
                    <w:snapToGrid w:val="0"/>
                    <w:jc w:val="center"/>
                    <w:rPr>
                      <w:rFonts w:ascii="Times New Roman" w:hAnsi="Times New Roman"/>
                      <w:color w:val="auto"/>
                      <w:sz w:val="18"/>
                      <w:szCs w:val="18"/>
                    </w:rPr>
                  </w:pPr>
                  <w:r>
                    <w:rPr>
                      <w:rFonts w:ascii="Times New Roman" w:hAnsi="Times New Roman"/>
                      <w:color w:val="auto"/>
                      <w:sz w:val="18"/>
                      <w:szCs w:val="18"/>
                    </w:rPr>
                    <w:t>否</w:t>
                  </w:r>
                </w:p>
              </w:tc>
            </w:tr>
            <w:tr w14:paraId="647246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228" w:type="pct"/>
                  <w:vAlign w:val="center"/>
                </w:tcPr>
                <w:p w14:paraId="49BDACA7">
                  <w:pPr>
                    <w:pStyle w:val="95"/>
                    <w:widowControl/>
                    <w:adjustRightInd w:val="0"/>
                    <w:snapToGrid w:val="0"/>
                    <w:jc w:val="center"/>
                    <w:rPr>
                      <w:rFonts w:ascii="Times New Roman" w:hAnsi="Times New Roman"/>
                      <w:color w:val="auto"/>
                      <w:sz w:val="18"/>
                      <w:szCs w:val="18"/>
                    </w:rPr>
                  </w:pPr>
                  <w:r>
                    <w:rPr>
                      <w:rFonts w:ascii="Times New Roman" w:hAnsi="Times New Roman"/>
                      <w:color w:val="auto"/>
                      <w:sz w:val="18"/>
                      <w:szCs w:val="18"/>
                    </w:rPr>
                    <w:t>3</w:t>
                  </w:r>
                </w:p>
              </w:tc>
              <w:tc>
                <w:tcPr>
                  <w:tcW w:w="3415" w:type="pct"/>
                  <w:vAlign w:val="center"/>
                </w:tcPr>
                <w:p w14:paraId="0C955B3D">
                  <w:pPr>
                    <w:pStyle w:val="95"/>
                    <w:widowControl/>
                    <w:adjustRightInd w:val="0"/>
                    <w:snapToGrid w:val="0"/>
                    <w:jc w:val="center"/>
                    <w:rPr>
                      <w:rFonts w:ascii="Times New Roman" w:hAnsi="Times New Roman"/>
                      <w:color w:val="auto"/>
                      <w:sz w:val="18"/>
                      <w:szCs w:val="18"/>
                      <w:lang w:eastAsia="zh-CN"/>
                    </w:rPr>
                  </w:pPr>
                  <w:r>
                    <w:rPr>
                      <w:rFonts w:hint="eastAsia" w:ascii="Times New Roman" w:hAnsi="Times New Roman"/>
                      <w:color w:val="auto"/>
                      <w:sz w:val="18"/>
                      <w:szCs w:val="18"/>
                      <w:lang w:eastAsia="zh-CN"/>
                    </w:rPr>
                    <w:t>未获得许可，不得从事建设工程勘察、设计、监理业务</w:t>
                  </w:r>
                </w:p>
              </w:tc>
              <w:tc>
                <w:tcPr>
                  <w:tcW w:w="618" w:type="pct"/>
                  <w:vAlign w:val="center"/>
                </w:tcPr>
                <w:p w14:paraId="58D9DB19">
                  <w:pPr>
                    <w:pStyle w:val="95"/>
                    <w:widowControl/>
                    <w:adjustRightInd w:val="0"/>
                    <w:snapToGrid w:val="0"/>
                    <w:jc w:val="center"/>
                    <w:rPr>
                      <w:rFonts w:ascii="Times New Roman" w:hAnsi="Times New Roman"/>
                      <w:color w:val="auto"/>
                      <w:sz w:val="18"/>
                      <w:szCs w:val="18"/>
                    </w:rPr>
                  </w:pPr>
                  <w:r>
                    <w:rPr>
                      <w:rFonts w:ascii="Times New Roman" w:hAnsi="Times New Roman"/>
                      <w:color w:val="auto"/>
                      <w:sz w:val="18"/>
                      <w:szCs w:val="18"/>
                    </w:rPr>
                    <w:t>不涉及</w:t>
                  </w:r>
                </w:p>
              </w:tc>
              <w:tc>
                <w:tcPr>
                  <w:tcW w:w="736" w:type="pct"/>
                  <w:vAlign w:val="center"/>
                </w:tcPr>
                <w:p w14:paraId="38B720CE">
                  <w:pPr>
                    <w:pStyle w:val="95"/>
                    <w:widowControl/>
                    <w:adjustRightInd w:val="0"/>
                    <w:snapToGrid w:val="0"/>
                    <w:jc w:val="center"/>
                    <w:rPr>
                      <w:rFonts w:ascii="Times New Roman" w:hAnsi="Times New Roman"/>
                      <w:color w:val="auto"/>
                      <w:sz w:val="18"/>
                      <w:szCs w:val="18"/>
                    </w:rPr>
                  </w:pPr>
                  <w:r>
                    <w:rPr>
                      <w:rFonts w:ascii="Times New Roman" w:hAnsi="Times New Roman"/>
                      <w:color w:val="auto"/>
                      <w:sz w:val="18"/>
                      <w:szCs w:val="18"/>
                    </w:rPr>
                    <w:t>否</w:t>
                  </w:r>
                </w:p>
              </w:tc>
            </w:tr>
            <w:tr w14:paraId="270E5F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8" w:hRule="atLeast"/>
                <w:jc w:val="center"/>
              </w:trPr>
              <w:tc>
                <w:tcPr>
                  <w:tcW w:w="228" w:type="pct"/>
                  <w:vAlign w:val="center"/>
                </w:tcPr>
                <w:p w14:paraId="0F0ED590">
                  <w:pPr>
                    <w:pStyle w:val="95"/>
                    <w:widowControl/>
                    <w:adjustRightInd w:val="0"/>
                    <w:snapToGrid w:val="0"/>
                    <w:jc w:val="center"/>
                    <w:rPr>
                      <w:rFonts w:ascii="Times New Roman" w:hAnsi="Times New Roman"/>
                      <w:color w:val="auto"/>
                      <w:sz w:val="18"/>
                      <w:szCs w:val="18"/>
                    </w:rPr>
                  </w:pPr>
                  <w:r>
                    <w:rPr>
                      <w:rFonts w:ascii="Times New Roman" w:hAnsi="Times New Roman"/>
                      <w:color w:val="auto"/>
                      <w:sz w:val="18"/>
                      <w:szCs w:val="18"/>
                    </w:rPr>
                    <w:t>4</w:t>
                  </w:r>
                </w:p>
              </w:tc>
              <w:tc>
                <w:tcPr>
                  <w:tcW w:w="3415" w:type="pct"/>
                  <w:vAlign w:val="center"/>
                </w:tcPr>
                <w:p w14:paraId="47239FF2">
                  <w:pPr>
                    <w:pStyle w:val="95"/>
                    <w:widowControl/>
                    <w:adjustRightInd w:val="0"/>
                    <w:snapToGrid w:val="0"/>
                    <w:jc w:val="center"/>
                    <w:rPr>
                      <w:rFonts w:ascii="Times New Roman" w:hAnsi="Times New Roman"/>
                      <w:color w:val="auto"/>
                      <w:sz w:val="18"/>
                      <w:szCs w:val="18"/>
                      <w:lang w:eastAsia="zh-CN"/>
                    </w:rPr>
                  </w:pPr>
                  <w:r>
                    <w:rPr>
                      <w:rFonts w:hint="eastAsia" w:ascii="Times New Roman" w:hAnsi="Times New Roman"/>
                      <w:color w:val="auto"/>
                      <w:sz w:val="18"/>
                      <w:szCs w:val="18"/>
                      <w:lang w:eastAsia="zh-CN"/>
                    </w:rPr>
                    <w:t>未获得许可，不得从事检验、检测、认证业务</w:t>
                  </w:r>
                </w:p>
              </w:tc>
              <w:tc>
                <w:tcPr>
                  <w:tcW w:w="618" w:type="pct"/>
                  <w:vAlign w:val="center"/>
                </w:tcPr>
                <w:p w14:paraId="3CBBEE51">
                  <w:pPr>
                    <w:pStyle w:val="95"/>
                    <w:widowControl/>
                    <w:adjustRightInd w:val="0"/>
                    <w:snapToGrid w:val="0"/>
                    <w:jc w:val="center"/>
                    <w:rPr>
                      <w:rFonts w:ascii="Times New Roman" w:hAnsi="Times New Roman"/>
                      <w:color w:val="auto"/>
                      <w:sz w:val="18"/>
                      <w:szCs w:val="18"/>
                    </w:rPr>
                  </w:pPr>
                  <w:r>
                    <w:rPr>
                      <w:rFonts w:ascii="Times New Roman" w:hAnsi="Times New Roman"/>
                      <w:color w:val="auto"/>
                      <w:sz w:val="18"/>
                      <w:szCs w:val="18"/>
                    </w:rPr>
                    <w:t>不涉及</w:t>
                  </w:r>
                </w:p>
              </w:tc>
              <w:tc>
                <w:tcPr>
                  <w:tcW w:w="736" w:type="pct"/>
                  <w:vAlign w:val="center"/>
                </w:tcPr>
                <w:p w14:paraId="10B26661">
                  <w:pPr>
                    <w:pStyle w:val="95"/>
                    <w:widowControl/>
                    <w:adjustRightInd w:val="0"/>
                    <w:snapToGrid w:val="0"/>
                    <w:jc w:val="center"/>
                    <w:rPr>
                      <w:rFonts w:ascii="Times New Roman" w:hAnsi="Times New Roman"/>
                      <w:color w:val="auto"/>
                      <w:sz w:val="18"/>
                      <w:szCs w:val="18"/>
                    </w:rPr>
                  </w:pPr>
                  <w:r>
                    <w:rPr>
                      <w:rFonts w:ascii="Times New Roman" w:hAnsi="Times New Roman"/>
                      <w:color w:val="auto"/>
                      <w:sz w:val="18"/>
                      <w:szCs w:val="18"/>
                    </w:rPr>
                    <w:t>否</w:t>
                  </w:r>
                </w:p>
              </w:tc>
            </w:tr>
            <w:tr w14:paraId="2B4A6F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28" w:type="pct"/>
                  <w:vAlign w:val="center"/>
                </w:tcPr>
                <w:p w14:paraId="6D771C11">
                  <w:pPr>
                    <w:pStyle w:val="95"/>
                    <w:widowControl/>
                    <w:adjustRightInd w:val="0"/>
                    <w:snapToGrid w:val="0"/>
                    <w:jc w:val="center"/>
                    <w:rPr>
                      <w:rFonts w:ascii="Times New Roman" w:hAnsi="Times New Roman"/>
                      <w:color w:val="auto"/>
                      <w:sz w:val="18"/>
                      <w:szCs w:val="18"/>
                    </w:rPr>
                  </w:pPr>
                  <w:r>
                    <w:rPr>
                      <w:rFonts w:ascii="Times New Roman" w:hAnsi="Times New Roman"/>
                      <w:color w:val="auto"/>
                      <w:sz w:val="18"/>
                      <w:szCs w:val="18"/>
                    </w:rPr>
                    <w:t>5</w:t>
                  </w:r>
                </w:p>
              </w:tc>
              <w:tc>
                <w:tcPr>
                  <w:tcW w:w="3415" w:type="pct"/>
                  <w:vAlign w:val="center"/>
                </w:tcPr>
                <w:p w14:paraId="0D7CB90E">
                  <w:pPr>
                    <w:pStyle w:val="95"/>
                    <w:widowControl/>
                    <w:adjustRightInd w:val="0"/>
                    <w:snapToGrid w:val="0"/>
                    <w:jc w:val="center"/>
                    <w:rPr>
                      <w:rFonts w:ascii="Times New Roman" w:hAnsi="Times New Roman"/>
                      <w:color w:val="auto"/>
                      <w:sz w:val="18"/>
                      <w:szCs w:val="18"/>
                      <w:lang w:eastAsia="zh-CN"/>
                    </w:rPr>
                  </w:pPr>
                  <w:r>
                    <w:rPr>
                      <w:rFonts w:hint="eastAsia" w:ascii="Times New Roman" w:hAnsi="Times New Roman"/>
                      <w:color w:val="auto"/>
                      <w:sz w:val="18"/>
                      <w:szCs w:val="18"/>
                      <w:lang w:eastAsia="zh-CN"/>
                    </w:rPr>
                    <w:t>未获得许可，不得从事特定地理测绘、遥感、海洋科学研究、气象服务及相关业务</w:t>
                  </w:r>
                </w:p>
              </w:tc>
              <w:tc>
                <w:tcPr>
                  <w:tcW w:w="618" w:type="pct"/>
                  <w:vAlign w:val="center"/>
                </w:tcPr>
                <w:p w14:paraId="04D411C0">
                  <w:pPr>
                    <w:pStyle w:val="95"/>
                    <w:widowControl/>
                    <w:adjustRightInd w:val="0"/>
                    <w:snapToGrid w:val="0"/>
                    <w:jc w:val="center"/>
                    <w:rPr>
                      <w:rFonts w:ascii="Times New Roman" w:hAnsi="Times New Roman"/>
                      <w:color w:val="auto"/>
                      <w:sz w:val="18"/>
                      <w:szCs w:val="18"/>
                      <w:lang w:eastAsia="zh-CN"/>
                    </w:rPr>
                  </w:pPr>
                  <w:r>
                    <w:rPr>
                      <w:rFonts w:ascii="Times New Roman" w:hAnsi="Times New Roman"/>
                      <w:color w:val="auto"/>
                      <w:sz w:val="18"/>
                      <w:szCs w:val="18"/>
                      <w:lang w:eastAsia="zh-CN"/>
                    </w:rPr>
                    <w:t>不涉及</w:t>
                  </w:r>
                </w:p>
              </w:tc>
              <w:tc>
                <w:tcPr>
                  <w:tcW w:w="736" w:type="pct"/>
                  <w:vAlign w:val="center"/>
                </w:tcPr>
                <w:p w14:paraId="56B9A70D">
                  <w:pPr>
                    <w:pStyle w:val="95"/>
                    <w:widowControl/>
                    <w:adjustRightInd w:val="0"/>
                    <w:snapToGrid w:val="0"/>
                    <w:jc w:val="center"/>
                    <w:rPr>
                      <w:rFonts w:ascii="Times New Roman" w:hAnsi="Times New Roman"/>
                      <w:color w:val="auto"/>
                      <w:sz w:val="18"/>
                      <w:szCs w:val="18"/>
                      <w:lang w:eastAsia="zh-CN"/>
                    </w:rPr>
                  </w:pPr>
                  <w:r>
                    <w:rPr>
                      <w:rFonts w:ascii="Times New Roman" w:hAnsi="Times New Roman"/>
                      <w:color w:val="auto"/>
                      <w:sz w:val="18"/>
                      <w:szCs w:val="18"/>
                      <w:lang w:eastAsia="zh-CN"/>
                    </w:rPr>
                    <w:t>否</w:t>
                  </w:r>
                </w:p>
              </w:tc>
            </w:tr>
          </w:tbl>
          <w:p w14:paraId="619D6F35">
            <w:pPr>
              <w:autoSpaceDE w:val="0"/>
              <w:autoSpaceDN w:val="0"/>
              <w:adjustRightInd w:val="0"/>
              <w:snapToGrid w:val="0"/>
              <w:spacing w:line="360" w:lineRule="auto"/>
              <w:ind w:firstLine="444" w:firstLineChars="200"/>
              <w:jc w:val="left"/>
              <w:rPr>
                <w:color w:val="auto"/>
                <w:spacing w:val="6"/>
                <w:szCs w:val="21"/>
                <w:shd w:val="clear" w:color="auto" w:fill="FFFFFF"/>
              </w:rPr>
            </w:pPr>
            <w:r>
              <w:rPr>
                <w:color w:val="auto"/>
                <w:spacing w:val="6"/>
                <w:szCs w:val="21"/>
                <w:shd w:val="clear" w:color="auto" w:fill="FFFFFF"/>
              </w:rPr>
              <w:t>5）与</w:t>
            </w:r>
            <w:r>
              <w:rPr>
                <w:rFonts w:hint="eastAsia"/>
                <w:color w:val="auto"/>
                <w:spacing w:val="6"/>
                <w:szCs w:val="21"/>
                <w:shd w:val="clear" w:color="auto" w:fill="FFFFFF"/>
              </w:rPr>
              <w:t>《江苏省2023年度生态环境分区管控动态更新成果》（2024年6月13日）、《南通市生态环境分区管控方案动态更新成果（2023年）》及《海安市“三线一单”生态环境分区管控实施方案》</w:t>
            </w:r>
            <w:r>
              <w:rPr>
                <w:color w:val="auto"/>
                <w:spacing w:val="6"/>
                <w:szCs w:val="21"/>
                <w:shd w:val="clear" w:color="auto" w:fill="FFFFFF"/>
              </w:rPr>
              <w:t>相符性分析</w:t>
            </w:r>
          </w:p>
          <w:p w14:paraId="6FC03CF6">
            <w:pPr>
              <w:pStyle w:val="106"/>
              <w:adjustRightInd w:val="0"/>
              <w:snapToGrid w:val="0"/>
              <w:spacing w:line="360" w:lineRule="auto"/>
              <w:rPr>
                <w:color w:val="auto"/>
                <w:szCs w:val="21"/>
              </w:rPr>
            </w:pPr>
            <w:r>
              <w:rPr>
                <w:rFonts w:hint="eastAsia"/>
                <w:color w:val="auto"/>
                <w:szCs w:val="21"/>
              </w:rPr>
              <w:t>根据《江苏省2023年度生态环境分区管控动态更新成果》（2024年6月13日）、《南通市生态环境分区管控方案动态更新成果（2023年）》及《海安市“三线一单”生态 环境分区管控实施方案》，</w:t>
            </w:r>
            <w:r>
              <w:rPr>
                <w:color w:val="auto"/>
                <w:spacing w:val="6"/>
                <w:szCs w:val="21"/>
                <w:shd w:val="clear" w:color="auto" w:fill="FFFFFF"/>
              </w:rPr>
              <w:t>本项目位于</w:t>
            </w:r>
            <w:r>
              <w:rPr>
                <w:rFonts w:hint="eastAsia"/>
                <w:color w:val="auto"/>
                <w:szCs w:val="21"/>
              </w:rPr>
              <w:t>江苏省南通市海安市李堡镇富庄村7组（江海路23号）</w:t>
            </w:r>
            <w:r>
              <w:rPr>
                <w:color w:val="auto"/>
                <w:spacing w:val="6"/>
                <w:szCs w:val="21"/>
                <w:shd w:val="clear" w:color="auto" w:fill="FFFFFF"/>
              </w:rPr>
              <w:t>，属于</w:t>
            </w:r>
            <w:r>
              <w:rPr>
                <w:rFonts w:hint="eastAsia"/>
                <w:color w:val="auto"/>
                <w:spacing w:val="6"/>
                <w:szCs w:val="21"/>
                <w:shd w:val="clear" w:color="auto" w:fill="FFFFFF"/>
              </w:rPr>
              <w:t>海安锻压机械产业园</w:t>
            </w:r>
            <w:r>
              <w:rPr>
                <w:rStyle w:val="29"/>
                <w:rFonts w:hint="eastAsia"/>
                <w:color w:val="auto"/>
                <w:kern w:val="0"/>
                <w:szCs w:val="20"/>
              </w:rPr>
              <w:t>（</w:t>
            </w:r>
            <w:r>
              <w:rPr>
                <w:rFonts w:hint="eastAsia"/>
                <w:color w:val="auto"/>
                <w:szCs w:val="21"/>
              </w:rPr>
              <w:t>江苏省生态环境分区管控系统</w:t>
            </w:r>
            <w:r>
              <w:rPr>
                <w:rFonts w:hint="eastAsia" w:ascii="宋体" w:hAnsi="宋体" w:cs="宋体"/>
                <w:color w:val="auto"/>
                <w:szCs w:val="21"/>
              </w:rPr>
              <w:t>中重点管控单元海安锻压机械产业园含</w:t>
            </w:r>
            <w:r>
              <w:rPr>
                <w:rFonts w:ascii="宋体" w:hAnsi="宋体" w:cs="宋体"/>
                <w:color w:val="auto"/>
                <w:szCs w:val="21"/>
              </w:rPr>
              <w:t>李堡镇工业集中</w:t>
            </w:r>
            <w:r>
              <w:rPr>
                <w:rFonts w:hint="eastAsia" w:ascii="宋体" w:hAnsi="宋体" w:cs="宋体"/>
                <w:color w:val="auto"/>
                <w:szCs w:val="21"/>
              </w:rPr>
              <w:t>区</w:t>
            </w:r>
            <w:r>
              <w:rPr>
                <w:rStyle w:val="29"/>
                <w:rFonts w:hint="eastAsia"/>
                <w:color w:val="auto"/>
                <w:kern w:val="0"/>
                <w:szCs w:val="20"/>
              </w:rPr>
              <w:t>）</w:t>
            </w:r>
            <w:r>
              <w:rPr>
                <w:rFonts w:hint="eastAsia"/>
                <w:color w:val="auto"/>
                <w:spacing w:val="6"/>
                <w:szCs w:val="21"/>
                <w:shd w:val="clear" w:color="auto" w:fill="FFFFFF"/>
              </w:rPr>
              <w:t>，为</w:t>
            </w:r>
            <w:r>
              <w:rPr>
                <w:color w:val="auto"/>
                <w:szCs w:val="21"/>
              </w:rPr>
              <w:t>重点管控单元，重点管控单元指涉及水、大气、土壤、自然资源等资源环境要素重点管控的区域，主要包括人口密集的中心城区和产业园区。南通市全市共划分重点管控单元247个，占全市陆域国土面积的24.41%。重点管控单元主要推进产业布局优化、转型升级，不断提高资源利用效率，加强污染物排放标准和环境风险防控，解决突出生态环境问题。具体管控要求见下表。</w:t>
            </w:r>
          </w:p>
          <w:p w14:paraId="06BA38E6">
            <w:pPr>
              <w:jc w:val="center"/>
              <w:rPr>
                <w:b/>
                <w:bCs/>
                <w:color w:val="auto"/>
              </w:rPr>
            </w:pPr>
          </w:p>
          <w:p w14:paraId="07911295">
            <w:pPr>
              <w:jc w:val="center"/>
              <w:rPr>
                <w:b/>
                <w:bCs/>
                <w:color w:val="auto"/>
              </w:rPr>
            </w:pPr>
          </w:p>
          <w:p w14:paraId="696BDD8F">
            <w:pPr>
              <w:jc w:val="center"/>
              <w:rPr>
                <w:b/>
                <w:bCs/>
                <w:color w:val="auto"/>
              </w:rPr>
            </w:pPr>
          </w:p>
          <w:p w14:paraId="3CEF9B1C">
            <w:pPr>
              <w:jc w:val="center"/>
              <w:rPr>
                <w:b/>
                <w:bCs/>
                <w:color w:val="auto"/>
              </w:rPr>
            </w:pPr>
            <w:r>
              <w:rPr>
                <w:b/>
                <w:bCs/>
                <w:color w:val="auto"/>
              </w:rPr>
              <w:t>表1-</w:t>
            </w:r>
            <w:r>
              <w:rPr>
                <w:rFonts w:hint="eastAsia"/>
                <w:b/>
                <w:bCs/>
                <w:color w:val="auto"/>
              </w:rPr>
              <w:t xml:space="preserve">4 </w:t>
            </w:r>
            <w:r>
              <w:rPr>
                <w:b/>
                <w:bCs/>
                <w:color w:val="auto"/>
              </w:rPr>
              <w:t>与</w:t>
            </w:r>
            <w:r>
              <w:rPr>
                <w:rFonts w:hint="eastAsia"/>
                <w:b/>
                <w:bCs/>
                <w:color w:val="auto"/>
              </w:rPr>
              <w:t>《南通市生态环境分区管控方案动态更新成果（2023年）》</w:t>
            </w:r>
            <w:r>
              <w:rPr>
                <w:b/>
                <w:bCs/>
                <w:color w:val="auto"/>
              </w:rPr>
              <w:t>相符性分析</w:t>
            </w:r>
          </w:p>
          <w:tbl>
            <w:tblPr>
              <w:tblStyle w:val="23"/>
              <w:tblW w:w="4998" w:type="pct"/>
              <w:tblInd w:w="1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293"/>
              <w:gridCol w:w="5621"/>
              <w:gridCol w:w="1360"/>
              <w:gridCol w:w="544"/>
            </w:tblGrid>
            <w:tr w14:paraId="7FCDBF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3782" w:type="pct"/>
                  <w:gridSpan w:val="2"/>
                  <w:vAlign w:val="center"/>
                </w:tcPr>
                <w:p w14:paraId="4F1E50D2">
                  <w:pPr>
                    <w:pStyle w:val="8"/>
                    <w:adjustRightInd w:val="0"/>
                    <w:snapToGrid/>
                    <w:spacing w:before="0" w:after="0" w:line="240" w:lineRule="auto"/>
                    <w:ind w:right="0"/>
                    <w:jc w:val="center"/>
                    <w:rPr>
                      <w:b/>
                      <w:bCs/>
                      <w:color w:val="auto"/>
                      <w:szCs w:val="18"/>
                    </w:rPr>
                  </w:pPr>
                  <w:r>
                    <w:rPr>
                      <w:b/>
                      <w:bCs/>
                      <w:color w:val="auto"/>
                      <w:szCs w:val="18"/>
                    </w:rPr>
                    <w:t>文件要求</w:t>
                  </w:r>
                </w:p>
              </w:tc>
              <w:tc>
                <w:tcPr>
                  <w:tcW w:w="869" w:type="pct"/>
                  <w:vAlign w:val="center"/>
                </w:tcPr>
                <w:p w14:paraId="590F6559">
                  <w:pPr>
                    <w:pStyle w:val="8"/>
                    <w:adjustRightInd w:val="0"/>
                    <w:snapToGrid/>
                    <w:spacing w:before="0" w:after="0" w:line="240" w:lineRule="auto"/>
                    <w:ind w:right="0"/>
                    <w:jc w:val="center"/>
                    <w:rPr>
                      <w:b/>
                      <w:bCs/>
                      <w:color w:val="auto"/>
                      <w:szCs w:val="18"/>
                    </w:rPr>
                  </w:pPr>
                  <w:r>
                    <w:rPr>
                      <w:b/>
                      <w:bCs/>
                      <w:color w:val="auto"/>
                      <w:szCs w:val="18"/>
                    </w:rPr>
                    <w:t>相符性分析</w:t>
                  </w:r>
                </w:p>
              </w:tc>
              <w:tc>
                <w:tcPr>
                  <w:tcW w:w="347" w:type="pct"/>
                  <w:vAlign w:val="center"/>
                </w:tcPr>
                <w:p w14:paraId="3EAFF819">
                  <w:pPr>
                    <w:pStyle w:val="8"/>
                    <w:adjustRightInd w:val="0"/>
                    <w:snapToGrid/>
                    <w:spacing w:before="0" w:after="0" w:line="240" w:lineRule="auto"/>
                    <w:ind w:right="0"/>
                    <w:jc w:val="center"/>
                    <w:rPr>
                      <w:b/>
                      <w:bCs/>
                      <w:color w:val="auto"/>
                      <w:szCs w:val="18"/>
                    </w:rPr>
                  </w:pPr>
                  <w:r>
                    <w:rPr>
                      <w:b/>
                      <w:bCs/>
                      <w:color w:val="auto"/>
                      <w:szCs w:val="18"/>
                    </w:rPr>
                    <w:t>是否相符</w:t>
                  </w:r>
                </w:p>
              </w:tc>
            </w:tr>
            <w:tr w14:paraId="5FE9C5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000" w:hRule="atLeast"/>
              </w:trPr>
              <w:tc>
                <w:tcPr>
                  <w:tcW w:w="187" w:type="pct"/>
                  <w:vMerge w:val="restart"/>
                  <w:vAlign w:val="center"/>
                </w:tcPr>
                <w:p w14:paraId="132866F7">
                  <w:pPr>
                    <w:pStyle w:val="8"/>
                    <w:adjustRightInd w:val="0"/>
                    <w:snapToGrid/>
                    <w:spacing w:before="0" w:after="0" w:line="240" w:lineRule="auto"/>
                    <w:ind w:right="0"/>
                    <w:jc w:val="center"/>
                    <w:rPr>
                      <w:color w:val="auto"/>
                      <w:szCs w:val="18"/>
                    </w:rPr>
                  </w:pPr>
                  <w:r>
                    <w:rPr>
                      <w:color w:val="auto"/>
                      <w:szCs w:val="18"/>
                    </w:rPr>
                    <w:t>空间布局约束</w:t>
                  </w:r>
                </w:p>
              </w:tc>
              <w:tc>
                <w:tcPr>
                  <w:tcW w:w="3594" w:type="pct"/>
                  <w:vAlign w:val="center"/>
                </w:tcPr>
                <w:p w14:paraId="1002DF96">
                  <w:pPr>
                    <w:pStyle w:val="8"/>
                    <w:adjustRightInd w:val="0"/>
                    <w:snapToGrid/>
                    <w:spacing w:before="0" w:after="0" w:line="240" w:lineRule="auto"/>
                    <w:ind w:right="0"/>
                    <w:jc w:val="left"/>
                    <w:rPr>
                      <w:color w:val="auto"/>
                      <w:szCs w:val="18"/>
                    </w:rPr>
                  </w:pPr>
                  <w:r>
                    <w:rPr>
                      <w:rFonts w:hint="eastAsia"/>
                      <w:color w:val="auto"/>
                      <w:szCs w:val="18"/>
                    </w:rPr>
                    <w:t>1、落实国土空间总体规划，严守生态保护红线</w:t>
                  </w:r>
                  <w:r>
                    <w:rPr>
                      <w:rFonts w:hint="eastAsia"/>
                      <w:color w:val="auto"/>
                      <w:szCs w:val="18"/>
                      <w:lang w:eastAsia="zh-CN"/>
                    </w:rPr>
                    <w:t>，</w:t>
                  </w:r>
                  <w:r>
                    <w:rPr>
                      <w:rFonts w:hint="eastAsia"/>
                      <w:color w:val="auto"/>
                      <w:szCs w:val="18"/>
                    </w:rPr>
                    <w:t>陆域生态保护红线</w:t>
                  </w:r>
                  <w:r>
                    <w:rPr>
                      <w:rFonts w:hint="eastAsia"/>
                      <w:color w:val="auto"/>
                      <w:szCs w:val="18"/>
                      <w:lang w:val="en-US" w:eastAsia="zh-CN"/>
                    </w:rPr>
                    <w:t>5</w:t>
                  </w:r>
                  <w:r>
                    <w:rPr>
                      <w:rFonts w:hint="eastAsia"/>
                      <w:color w:val="auto"/>
                      <w:szCs w:val="18"/>
                    </w:rPr>
                    <w:t>3.4917平方公里，海洋生态保护红线2480.777平方公里。南通市生态空间管控区域面积1532.87平方公里。</w:t>
                  </w:r>
                </w:p>
              </w:tc>
              <w:tc>
                <w:tcPr>
                  <w:tcW w:w="869" w:type="pct"/>
                  <w:vAlign w:val="center"/>
                </w:tcPr>
                <w:p w14:paraId="59482667">
                  <w:pPr>
                    <w:pStyle w:val="8"/>
                    <w:adjustRightInd w:val="0"/>
                    <w:snapToGrid/>
                    <w:spacing w:before="0" w:after="0" w:line="240" w:lineRule="auto"/>
                    <w:ind w:right="0"/>
                    <w:jc w:val="center"/>
                    <w:rPr>
                      <w:color w:val="auto"/>
                      <w:szCs w:val="18"/>
                    </w:rPr>
                  </w:pPr>
                  <w:r>
                    <w:rPr>
                      <w:rFonts w:hint="eastAsia"/>
                      <w:color w:val="auto"/>
                      <w:szCs w:val="18"/>
                    </w:rPr>
                    <w:t>本项目位于</w:t>
                  </w:r>
                  <w:r>
                    <w:rPr>
                      <w:rFonts w:hint="eastAsia"/>
                      <w:color w:val="auto"/>
                    </w:rPr>
                    <w:t>海安市李堡镇富庄村7组（江海路23号）</w:t>
                  </w:r>
                  <w:r>
                    <w:rPr>
                      <w:rFonts w:hint="eastAsia"/>
                      <w:color w:val="auto"/>
                      <w:szCs w:val="18"/>
                    </w:rPr>
                    <w:t>，不涉及生态红线，符合国土空间总体规划。</w:t>
                  </w:r>
                </w:p>
              </w:tc>
              <w:tc>
                <w:tcPr>
                  <w:tcW w:w="347" w:type="pct"/>
                  <w:vAlign w:val="center"/>
                </w:tcPr>
                <w:p w14:paraId="3FF61E00">
                  <w:pPr>
                    <w:pStyle w:val="8"/>
                    <w:adjustRightInd w:val="0"/>
                    <w:snapToGrid/>
                    <w:spacing w:before="0" w:after="0" w:line="240" w:lineRule="auto"/>
                    <w:ind w:right="0"/>
                    <w:jc w:val="center"/>
                    <w:rPr>
                      <w:color w:val="auto"/>
                      <w:szCs w:val="18"/>
                    </w:rPr>
                  </w:pPr>
                  <w:r>
                    <w:rPr>
                      <w:color w:val="auto"/>
                      <w:szCs w:val="18"/>
                    </w:rPr>
                    <w:t>是</w:t>
                  </w:r>
                </w:p>
              </w:tc>
            </w:tr>
            <w:tr w14:paraId="50567B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038" w:hRule="atLeast"/>
              </w:trPr>
              <w:tc>
                <w:tcPr>
                  <w:tcW w:w="187" w:type="pct"/>
                  <w:vMerge w:val="continue"/>
                  <w:vAlign w:val="center"/>
                </w:tcPr>
                <w:p w14:paraId="2637C3DB">
                  <w:pPr>
                    <w:pStyle w:val="8"/>
                    <w:adjustRightInd w:val="0"/>
                    <w:snapToGrid/>
                    <w:spacing w:before="0" w:after="0" w:line="240" w:lineRule="auto"/>
                    <w:ind w:right="0"/>
                    <w:jc w:val="center"/>
                    <w:rPr>
                      <w:color w:val="auto"/>
                      <w:szCs w:val="18"/>
                    </w:rPr>
                  </w:pPr>
                </w:p>
              </w:tc>
              <w:tc>
                <w:tcPr>
                  <w:tcW w:w="3594" w:type="pct"/>
                  <w:vAlign w:val="center"/>
                </w:tcPr>
                <w:p w14:paraId="44617223">
                  <w:pPr>
                    <w:pStyle w:val="8"/>
                    <w:adjustRightInd w:val="0"/>
                    <w:snapToGrid/>
                    <w:spacing w:before="0" w:after="0" w:line="240" w:lineRule="auto"/>
                    <w:ind w:right="0"/>
                    <w:jc w:val="left"/>
                    <w:rPr>
                      <w:color w:val="auto"/>
                      <w:szCs w:val="18"/>
                    </w:rPr>
                  </w:pPr>
                  <w:r>
                    <w:rPr>
                      <w:color w:val="auto"/>
                      <w:szCs w:val="18"/>
                    </w:rPr>
                    <w:t>2、严格执行《（长江经济带发展负面清单指南）江苏省实施细则（试行）》；禁止引进列入《南通市工业结构调整指导目录》淘汰类的产业；列入《南通市工业产业技术改造负面清单》严格禁止的技术改造工艺装备及产品。</w:t>
                  </w:r>
                </w:p>
              </w:tc>
              <w:tc>
                <w:tcPr>
                  <w:tcW w:w="869" w:type="pct"/>
                  <w:vAlign w:val="center"/>
                </w:tcPr>
                <w:p w14:paraId="696490CA">
                  <w:pPr>
                    <w:pStyle w:val="8"/>
                    <w:adjustRightInd w:val="0"/>
                    <w:snapToGrid/>
                    <w:spacing w:before="0" w:after="0" w:line="240" w:lineRule="auto"/>
                    <w:ind w:right="0"/>
                    <w:jc w:val="center"/>
                    <w:rPr>
                      <w:color w:val="auto"/>
                      <w:szCs w:val="18"/>
                    </w:rPr>
                  </w:pPr>
                  <w:r>
                    <w:rPr>
                      <w:color w:val="auto"/>
                      <w:szCs w:val="18"/>
                    </w:rPr>
                    <w:t>项目为</w:t>
                  </w:r>
                  <w:r>
                    <w:rPr>
                      <w:rFonts w:hint="eastAsia"/>
                      <w:color w:val="auto"/>
                      <w:szCs w:val="18"/>
                    </w:rPr>
                    <w:t>工程和技术研究和试验发展</w:t>
                  </w:r>
                  <w:r>
                    <w:rPr>
                      <w:color w:val="auto"/>
                      <w:szCs w:val="18"/>
                    </w:rPr>
                    <w:t>，不属于上述禁止产业</w:t>
                  </w:r>
                </w:p>
              </w:tc>
              <w:tc>
                <w:tcPr>
                  <w:tcW w:w="347" w:type="pct"/>
                  <w:vAlign w:val="center"/>
                </w:tcPr>
                <w:p w14:paraId="52137AAF">
                  <w:pPr>
                    <w:pStyle w:val="8"/>
                    <w:adjustRightInd w:val="0"/>
                    <w:snapToGrid/>
                    <w:spacing w:before="0" w:after="0" w:line="240" w:lineRule="auto"/>
                    <w:ind w:right="0"/>
                    <w:jc w:val="center"/>
                    <w:rPr>
                      <w:color w:val="auto"/>
                      <w:szCs w:val="18"/>
                    </w:rPr>
                  </w:pPr>
                  <w:r>
                    <w:rPr>
                      <w:color w:val="auto"/>
                      <w:szCs w:val="18"/>
                    </w:rPr>
                    <w:t>是</w:t>
                  </w:r>
                </w:p>
              </w:tc>
            </w:tr>
            <w:tr w14:paraId="3E1B0C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35" w:hRule="atLeast"/>
              </w:trPr>
              <w:tc>
                <w:tcPr>
                  <w:tcW w:w="187" w:type="pct"/>
                  <w:vMerge w:val="continue"/>
                  <w:vAlign w:val="center"/>
                </w:tcPr>
                <w:p w14:paraId="20D03EE7">
                  <w:pPr>
                    <w:pStyle w:val="8"/>
                    <w:adjustRightInd w:val="0"/>
                    <w:snapToGrid/>
                    <w:spacing w:before="0" w:after="0" w:line="240" w:lineRule="auto"/>
                    <w:ind w:right="0"/>
                    <w:jc w:val="center"/>
                    <w:rPr>
                      <w:color w:val="auto"/>
                      <w:szCs w:val="18"/>
                    </w:rPr>
                  </w:pPr>
                </w:p>
              </w:tc>
              <w:tc>
                <w:tcPr>
                  <w:tcW w:w="3594" w:type="pct"/>
                  <w:vAlign w:val="center"/>
                </w:tcPr>
                <w:p w14:paraId="7009DEBC">
                  <w:pPr>
                    <w:pStyle w:val="8"/>
                    <w:adjustRightInd w:val="0"/>
                    <w:snapToGrid/>
                    <w:spacing w:before="0" w:after="0" w:line="240" w:lineRule="auto"/>
                    <w:ind w:right="0"/>
                    <w:jc w:val="left"/>
                    <w:rPr>
                      <w:rFonts w:hint="eastAsia" w:eastAsia="宋体"/>
                      <w:color w:val="auto"/>
                      <w:szCs w:val="18"/>
                      <w:lang w:eastAsia="zh-CN"/>
                    </w:rPr>
                  </w:pPr>
                  <w:r>
                    <w:rPr>
                      <w:color w:val="auto"/>
                      <w:szCs w:val="18"/>
                    </w:rPr>
                    <w:t>3、根据《省政府关于加强全省化工园区化工集中区规范化管理的通知》（苏政发〔2020〕94号）</w:t>
                  </w:r>
                  <w:r>
                    <w:rPr>
                      <w:rFonts w:hint="eastAsia"/>
                      <w:color w:val="auto"/>
                      <w:szCs w:val="18"/>
                      <w:lang w:eastAsia="zh-CN"/>
                    </w:rPr>
                    <w:t>，</w:t>
                  </w:r>
                  <w:r>
                    <w:rPr>
                      <w:color w:val="auto"/>
                      <w:szCs w:val="18"/>
                    </w:rPr>
                    <w:t>化工园区、化工集中区处于长江干流和主要支流岸线1公里范围（以下简称沿江1公里范围）内的区域不得新建、扩建化工企业和项目（安全、环保</w:t>
                  </w:r>
                  <w:r>
                    <w:rPr>
                      <w:rFonts w:hint="eastAsia"/>
                      <w:color w:val="auto"/>
                      <w:szCs w:val="18"/>
                      <w:lang w:eastAsia="zh-CN"/>
                    </w:rPr>
                    <w:t>、</w:t>
                  </w:r>
                  <w:r>
                    <w:rPr>
                      <w:color w:val="auto"/>
                      <w:szCs w:val="18"/>
                    </w:rPr>
                    <w:t>节能、信息化智能化、提升产品品质技术改造项目除外）。禁止建设属于国家、省和我市禁止类、淘汰类生产工艺、产品的项目。从严控制农药、传统医药、染料化工项目审批，原则上不再新上医药中间体、农药中间体、染料中间体项目（具有自主知识产权的关键中间体及高产出、低污染项目除外，分别由科技部门和环保部门认定）。沿江化工园区不再新增农药、染料化工企业。</w:t>
                  </w:r>
                </w:p>
              </w:tc>
              <w:tc>
                <w:tcPr>
                  <w:tcW w:w="869" w:type="pct"/>
                  <w:vAlign w:val="center"/>
                </w:tcPr>
                <w:p w14:paraId="45B2C2B0">
                  <w:pPr>
                    <w:pStyle w:val="8"/>
                    <w:adjustRightInd w:val="0"/>
                    <w:snapToGrid/>
                    <w:spacing w:before="0" w:after="0" w:line="240" w:lineRule="auto"/>
                    <w:ind w:right="0"/>
                    <w:jc w:val="center"/>
                    <w:rPr>
                      <w:rFonts w:hint="eastAsia" w:eastAsia="宋体"/>
                      <w:color w:val="auto"/>
                      <w:szCs w:val="18"/>
                      <w:lang w:eastAsia="zh-CN"/>
                    </w:rPr>
                  </w:pPr>
                  <w:r>
                    <w:rPr>
                      <w:color w:val="auto"/>
                      <w:szCs w:val="18"/>
                    </w:rPr>
                    <w:t>项目位于</w:t>
                  </w:r>
                  <w:r>
                    <w:rPr>
                      <w:rFonts w:hint="eastAsia"/>
                      <w:color w:val="auto"/>
                      <w:szCs w:val="18"/>
                    </w:rPr>
                    <w:t>江苏省南通市海安市李堡镇富庄村7组（江海路23号）</w:t>
                  </w:r>
                  <w:r>
                    <w:rPr>
                      <w:rFonts w:hint="eastAsia"/>
                      <w:color w:val="auto"/>
                      <w:szCs w:val="18"/>
                      <w:lang w:eastAsia="zh-CN"/>
                    </w:rPr>
                    <w:t>，</w:t>
                  </w:r>
                  <w:r>
                    <w:rPr>
                      <w:color w:val="auto"/>
                      <w:szCs w:val="18"/>
                    </w:rPr>
                    <w:t>项目不属于化工项目，不属于国家、省和我市禁止建设类项目</w:t>
                  </w:r>
                  <w:r>
                    <w:rPr>
                      <w:rFonts w:hint="eastAsia"/>
                      <w:color w:val="auto"/>
                      <w:szCs w:val="18"/>
                      <w:lang w:eastAsia="zh-CN"/>
                    </w:rPr>
                    <w:t>。</w:t>
                  </w:r>
                </w:p>
              </w:tc>
              <w:tc>
                <w:tcPr>
                  <w:tcW w:w="347" w:type="pct"/>
                  <w:vAlign w:val="center"/>
                </w:tcPr>
                <w:p w14:paraId="75E3C575">
                  <w:pPr>
                    <w:pStyle w:val="8"/>
                    <w:adjustRightInd w:val="0"/>
                    <w:snapToGrid/>
                    <w:spacing w:before="0" w:after="0" w:line="240" w:lineRule="auto"/>
                    <w:ind w:right="0"/>
                    <w:jc w:val="center"/>
                    <w:rPr>
                      <w:color w:val="auto"/>
                      <w:szCs w:val="18"/>
                    </w:rPr>
                  </w:pPr>
                  <w:r>
                    <w:rPr>
                      <w:color w:val="auto"/>
                      <w:szCs w:val="18"/>
                    </w:rPr>
                    <w:t>是</w:t>
                  </w:r>
                </w:p>
              </w:tc>
            </w:tr>
            <w:tr w14:paraId="57FD5E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227" w:hRule="atLeast"/>
              </w:trPr>
              <w:tc>
                <w:tcPr>
                  <w:tcW w:w="187" w:type="pct"/>
                  <w:vMerge w:val="continue"/>
                  <w:vAlign w:val="center"/>
                </w:tcPr>
                <w:p w14:paraId="64E9603A">
                  <w:pPr>
                    <w:pStyle w:val="8"/>
                    <w:adjustRightInd w:val="0"/>
                    <w:snapToGrid/>
                    <w:spacing w:before="0" w:after="0" w:line="240" w:lineRule="auto"/>
                    <w:ind w:right="0"/>
                    <w:jc w:val="center"/>
                    <w:rPr>
                      <w:color w:val="auto"/>
                      <w:szCs w:val="18"/>
                    </w:rPr>
                  </w:pPr>
                </w:p>
              </w:tc>
              <w:tc>
                <w:tcPr>
                  <w:tcW w:w="3594" w:type="pct"/>
                  <w:vAlign w:val="center"/>
                </w:tcPr>
                <w:p w14:paraId="58A3C277">
                  <w:pPr>
                    <w:pStyle w:val="8"/>
                    <w:adjustRightInd w:val="0"/>
                    <w:snapToGrid/>
                    <w:spacing w:before="0" w:after="0" w:line="240" w:lineRule="auto"/>
                    <w:ind w:right="0"/>
                    <w:jc w:val="left"/>
                    <w:rPr>
                      <w:color w:val="auto"/>
                      <w:szCs w:val="18"/>
                    </w:rPr>
                  </w:pPr>
                  <w:r>
                    <w:rPr>
                      <w:color w:val="auto"/>
                      <w:szCs w:val="18"/>
                    </w:rPr>
                    <w:t>4、</w:t>
                  </w:r>
                  <w:r>
                    <w:rPr>
                      <w:rFonts w:hint="eastAsia"/>
                      <w:color w:val="auto"/>
                      <w:szCs w:val="18"/>
                      <w:lang w:val="en-US" w:eastAsia="zh-CN"/>
                    </w:rPr>
                    <w:t>落实《市政府办公室印发&lt;关于进一步促进全市乡镇工业集聚区高质量发展的实施意见&gt;的通知》（通政办发〔2022〕70号），严格控制新增集聚区，推动园区外企业入园进区。除保障农村一二三产业融合发展所需项目外，对招商中不符合规划的项目实行一票否决，各地不得为项目随意调整规划。</w:t>
                  </w:r>
                </w:p>
              </w:tc>
              <w:tc>
                <w:tcPr>
                  <w:tcW w:w="869" w:type="pct"/>
                  <w:vAlign w:val="center"/>
                </w:tcPr>
                <w:p w14:paraId="7B55ACED">
                  <w:pPr>
                    <w:pStyle w:val="8"/>
                    <w:adjustRightInd w:val="0"/>
                    <w:snapToGrid/>
                    <w:spacing w:before="0" w:after="0" w:line="240" w:lineRule="auto"/>
                    <w:ind w:right="0"/>
                    <w:jc w:val="center"/>
                    <w:rPr>
                      <w:rFonts w:hint="default" w:eastAsia="宋体"/>
                      <w:color w:val="auto"/>
                      <w:szCs w:val="18"/>
                      <w:lang w:val="en-US" w:eastAsia="zh-CN"/>
                    </w:rPr>
                  </w:pPr>
                  <w:r>
                    <w:rPr>
                      <w:rFonts w:hint="eastAsia"/>
                      <w:color w:val="auto"/>
                      <w:szCs w:val="18"/>
                    </w:rPr>
                    <w:t>本项目位于</w:t>
                  </w:r>
                  <w:r>
                    <w:rPr>
                      <w:rFonts w:hint="eastAsia"/>
                      <w:color w:val="auto"/>
                    </w:rPr>
                    <w:t>海安市李堡镇富庄村7组（江海路23号）</w:t>
                  </w:r>
                  <w:r>
                    <w:rPr>
                      <w:rFonts w:hint="eastAsia"/>
                      <w:color w:val="auto"/>
                      <w:szCs w:val="18"/>
                    </w:rPr>
                    <w:t>，</w:t>
                  </w:r>
                  <w:r>
                    <w:rPr>
                      <w:rFonts w:hint="eastAsia"/>
                      <w:color w:val="auto"/>
                      <w:szCs w:val="18"/>
                      <w:lang w:val="en-US" w:eastAsia="zh-CN"/>
                    </w:rPr>
                    <w:t>位于装备制造产业聚集区，符合规划要求。</w:t>
                  </w:r>
                </w:p>
              </w:tc>
              <w:tc>
                <w:tcPr>
                  <w:tcW w:w="347" w:type="pct"/>
                  <w:vAlign w:val="center"/>
                </w:tcPr>
                <w:p w14:paraId="1540F61F">
                  <w:pPr>
                    <w:pStyle w:val="8"/>
                    <w:adjustRightInd w:val="0"/>
                    <w:snapToGrid/>
                    <w:spacing w:before="0" w:after="0" w:line="240" w:lineRule="auto"/>
                    <w:ind w:right="0"/>
                    <w:jc w:val="center"/>
                    <w:rPr>
                      <w:color w:val="auto"/>
                      <w:szCs w:val="18"/>
                    </w:rPr>
                  </w:pPr>
                  <w:r>
                    <w:rPr>
                      <w:color w:val="auto"/>
                      <w:szCs w:val="18"/>
                    </w:rPr>
                    <w:t>是</w:t>
                  </w:r>
                </w:p>
              </w:tc>
            </w:tr>
            <w:tr w14:paraId="389C66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227" w:hRule="atLeast"/>
              </w:trPr>
              <w:tc>
                <w:tcPr>
                  <w:tcW w:w="187" w:type="pct"/>
                  <w:vMerge w:val="continue"/>
                  <w:vAlign w:val="center"/>
                </w:tcPr>
                <w:p w14:paraId="798749B2">
                  <w:pPr>
                    <w:pStyle w:val="8"/>
                    <w:adjustRightInd w:val="0"/>
                    <w:snapToGrid/>
                    <w:spacing w:before="0" w:after="0" w:line="240" w:lineRule="auto"/>
                    <w:ind w:right="0"/>
                    <w:jc w:val="center"/>
                    <w:rPr>
                      <w:color w:val="auto"/>
                      <w:szCs w:val="18"/>
                    </w:rPr>
                  </w:pPr>
                </w:p>
              </w:tc>
              <w:tc>
                <w:tcPr>
                  <w:tcW w:w="3594" w:type="pct"/>
                  <w:vAlign w:val="center"/>
                </w:tcPr>
                <w:p w14:paraId="5097146A">
                  <w:pPr>
                    <w:pStyle w:val="8"/>
                    <w:adjustRightInd w:val="0"/>
                    <w:snapToGrid/>
                    <w:spacing w:before="0" w:after="0" w:line="240" w:lineRule="auto"/>
                    <w:ind w:right="0"/>
                    <w:jc w:val="left"/>
                    <w:rPr>
                      <w:rFonts w:hint="eastAsia" w:eastAsia="宋体"/>
                      <w:color w:val="auto"/>
                      <w:szCs w:val="18"/>
                      <w:lang w:val="en-US" w:eastAsia="zh-CN"/>
                    </w:rPr>
                  </w:pPr>
                  <w:r>
                    <w:rPr>
                      <w:rFonts w:hint="eastAsia"/>
                      <w:color w:val="auto"/>
                      <w:szCs w:val="18"/>
                      <w:lang w:val="en-US" w:eastAsia="zh-CN"/>
                    </w:rPr>
                    <w:t>5、落实《市政府办公室关于印发南通市减污降碳协同增效三年行动计划（2023-2025年）的通知》（通政办发〔2023〕24 号），实施“两高”项目清单化管理，推进沿江产业转型和沿海钢铁石化产业布局，推动落后和过剩产能退出。加快工业领域低碳工艺革新，全面提升船舶海工、新材料、建筑等重点行业数字化水平。推动生态环保产业与 5G、人工智能、区块链等创新技术融合发展，构建自主可控、安全可靠的绿色产业链。</w:t>
                  </w:r>
                </w:p>
              </w:tc>
              <w:tc>
                <w:tcPr>
                  <w:tcW w:w="869" w:type="pct"/>
                  <w:vAlign w:val="center"/>
                </w:tcPr>
                <w:p w14:paraId="77454045">
                  <w:pPr>
                    <w:pStyle w:val="8"/>
                    <w:adjustRightInd w:val="0"/>
                    <w:snapToGrid/>
                    <w:spacing w:before="0" w:after="0" w:line="240" w:lineRule="auto"/>
                    <w:ind w:right="0"/>
                    <w:jc w:val="center"/>
                    <w:rPr>
                      <w:rFonts w:hint="eastAsia"/>
                      <w:color w:val="auto"/>
                      <w:szCs w:val="18"/>
                    </w:rPr>
                  </w:pPr>
                  <w:r>
                    <w:rPr>
                      <w:rFonts w:hint="eastAsia"/>
                      <w:color w:val="auto"/>
                      <w:szCs w:val="18"/>
                    </w:rPr>
                    <w:t>本项目不属于“两高”项目。</w:t>
                  </w:r>
                </w:p>
              </w:tc>
              <w:tc>
                <w:tcPr>
                  <w:tcW w:w="347" w:type="pct"/>
                  <w:vAlign w:val="center"/>
                </w:tcPr>
                <w:p w14:paraId="2E23FD86">
                  <w:pPr>
                    <w:pStyle w:val="8"/>
                    <w:adjustRightInd w:val="0"/>
                    <w:snapToGrid/>
                    <w:spacing w:before="0" w:after="0" w:line="240" w:lineRule="auto"/>
                    <w:ind w:right="0"/>
                    <w:jc w:val="center"/>
                    <w:rPr>
                      <w:color w:val="auto"/>
                      <w:szCs w:val="18"/>
                    </w:rPr>
                  </w:pPr>
                  <w:r>
                    <w:rPr>
                      <w:color w:val="auto"/>
                      <w:szCs w:val="18"/>
                    </w:rPr>
                    <w:t>是</w:t>
                  </w:r>
                </w:p>
              </w:tc>
            </w:tr>
            <w:tr w14:paraId="2FE719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663" w:hRule="atLeast"/>
              </w:trPr>
              <w:tc>
                <w:tcPr>
                  <w:tcW w:w="187" w:type="pct"/>
                  <w:vMerge w:val="continue"/>
                  <w:vAlign w:val="center"/>
                </w:tcPr>
                <w:p w14:paraId="27A6992F">
                  <w:pPr>
                    <w:pStyle w:val="8"/>
                    <w:adjustRightInd w:val="0"/>
                    <w:snapToGrid/>
                    <w:spacing w:before="0" w:after="0" w:line="240" w:lineRule="auto"/>
                    <w:ind w:right="0"/>
                    <w:jc w:val="center"/>
                    <w:rPr>
                      <w:color w:val="auto"/>
                      <w:szCs w:val="18"/>
                    </w:rPr>
                  </w:pPr>
                </w:p>
              </w:tc>
              <w:tc>
                <w:tcPr>
                  <w:tcW w:w="3594" w:type="pct"/>
                  <w:vAlign w:val="center"/>
                </w:tcPr>
                <w:p w14:paraId="1377E616">
                  <w:pPr>
                    <w:pStyle w:val="8"/>
                    <w:adjustRightInd w:val="0"/>
                    <w:snapToGrid/>
                    <w:spacing w:before="0" w:after="0" w:line="240" w:lineRule="auto"/>
                    <w:ind w:right="0"/>
                    <w:jc w:val="left"/>
                    <w:rPr>
                      <w:color w:val="auto"/>
                      <w:szCs w:val="18"/>
                    </w:rPr>
                  </w:pPr>
                  <w:r>
                    <w:rPr>
                      <w:rFonts w:hint="eastAsia"/>
                      <w:color w:val="auto"/>
                      <w:szCs w:val="18"/>
                    </w:rPr>
                    <w:t>6、落实《自然资源部</w:t>
                  </w:r>
                  <w:r>
                    <w:rPr>
                      <w:rFonts w:hint="eastAsia"/>
                      <w:color w:val="auto"/>
                      <w:szCs w:val="18"/>
                      <w:lang w:val="en-US" w:eastAsia="zh-CN"/>
                    </w:rPr>
                    <w:t xml:space="preserve"> </w:t>
                  </w:r>
                  <w:r>
                    <w:rPr>
                      <w:rFonts w:hint="eastAsia"/>
                      <w:color w:val="auto"/>
                      <w:szCs w:val="18"/>
                    </w:rPr>
                    <w:t>国家发展改革委</w:t>
                  </w:r>
                  <w:r>
                    <w:rPr>
                      <w:rFonts w:hint="eastAsia"/>
                      <w:color w:val="auto"/>
                      <w:szCs w:val="18"/>
                      <w:lang w:val="en-US" w:eastAsia="zh-CN"/>
                    </w:rPr>
                    <w:t xml:space="preserve"> </w:t>
                  </w:r>
                  <w:r>
                    <w:rPr>
                      <w:rFonts w:hint="eastAsia"/>
                      <w:color w:val="auto"/>
                      <w:szCs w:val="18"/>
                    </w:rPr>
                    <w:t>农业农村部关于保障和规范农村一二三产业融合发展用地的通知》（自然资发〔2021〕16号）要求，规模较大、工业化程度高、分散布局配套设施成本高的产业项目要进产业园区；具有一定规模的农产品加工要向县城或有条件的乡镇城镇开发边界内集聚；直接服务种植养殖业的农产品加工、电子商务、仓储保鲜冷链、产地低温直销配送等产业，原则上应集中在行政村村庄建设边界内；利用农村本地资源开展农产品初加工、发展休闲观光旅游而必须的配套设施建设，可在不占用永久基本农田和生态保护红线、不突破国土空间规划建设用地指标等约束条件、不破坏生态环境和乡村风貌的前提下，在村庄建设边界外安排少量建设用地，实行比例和面积控制，并依法办理农用地转用审批和供地手续。</w:t>
                  </w:r>
                </w:p>
              </w:tc>
              <w:tc>
                <w:tcPr>
                  <w:tcW w:w="869" w:type="pct"/>
                  <w:vAlign w:val="center"/>
                </w:tcPr>
                <w:p w14:paraId="79C28406">
                  <w:pPr>
                    <w:pStyle w:val="8"/>
                    <w:adjustRightInd w:val="0"/>
                    <w:snapToGrid/>
                    <w:spacing w:before="0" w:after="0" w:line="240" w:lineRule="auto"/>
                    <w:ind w:right="0"/>
                    <w:jc w:val="center"/>
                    <w:rPr>
                      <w:color w:val="auto"/>
                      <w:szCs w:val="18"/>
                    </w:rPr>
                  </w:pPr>
                  <w:r>
                    <w:rPr>
                      <w:rFonts w:hint="eastAsia"/>
                      <w:color w:val="auto"/>
                      <w:szCs w:val="18"/>
                    </w:rPr>
                    <w:t>本项目位于</w:t>
                  </w:r>
                  <w:r>
                    <w:rPr>
                      <w:rFonts w:hint="eastAsia"/>
                      <w:color w:val="auto"/>
                    </w:rPr>
                    <w:t>海安市李堡镇富庄村7组（江海路23号）</w:t>
                  </w:r>
                  <w:r>
                    <w:rPr>
                      <w:rFonts w:hint="eastAsia"/>
                      <w:color w:val="auto"/>
                      <w:szCs w:val="18"/>
                    </w:rPr>
                    <w:t>，</w:t>
                  </w:r>
                  <w:r>
                    <w:rPr>
                      <w:rFonts w:hint="eastAsia"/>
                      <w:color w:val="auto"/>
                      <w:szCs w:val="18"/>
                      <w:lang w:val="en-US" w:eastAsia="zh-CN"/>
                    </w:rPr>
                    <w:t>位于装备制造产业聚集区，</w:t>
                  </w:r>
                  <w:r>
                    <w:rPr>
                      <w:rFonts w:hint="eastAsia"/>
                      <w:color w:val="auto"/>
                      <w:szCs w:val="18"/>
                    </w:rPr>
                    <w:t>不占用永久基本农田和生态保护红线、不突破国土空间规划建设用地。</w:t>
                  </w:r>
                </w:p>
              </w:tc>
              <w:tc>
                <w:tcPr>
                  <w:tcW w:w="347" w:type="pct"/>
                  <w:vAlign w:val="center"/>
                </w:tcPr>
                <w:p w14:paraId="364FD690">
                  <w:pPr>
                    <w:pStyle w:val="8"/>
                    <w:adjustRightInd w:val="0"/>
                    <w:snapToGrid/>
                    <w:spacing w:before="0" w:after="0" w:line="240" w:lineRule="auto"/>
                    <w:ind w:right="0"/>
                    <w:jc w:val="center"/>
                    <w:rPr>
                      <w:color w:val="auto"/>
                      <w:szCs w:val="18"/>
                    </w:rPr>
                  </w:pPr>
                  <w:r>
                    <w:rPr>
                      <w:color w:val="auto"/>
                      <w:szCs w:val="18"/>
                    </w:rPr>
                    <w:t>是</w:t>
                  </w:r>
                </w:p>
              </w:tc>
            </w:tr>
            <w:tr w14:paraId="62D6B4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023" w:hRule="atLeast"/>
              </w:trPr>
              <w:tc>
                <w:tcPr>
                  <w:tcW w:w="187" w:type="pct"/>
                  <w:vMerge w:val="restart"/>
                  <w:vAlign w:val="center"/>
                </w:tcPr>
                <w:p w14:paraId="4FD84565">
                  <w:pPr>
                    <w:pStyle w:val="8"/>
                    <w:adjustRightInd w:val="0"/>
                    <w:snapToGrid/>
                    <w:spacing w:before="0" w:after="0" w:line="240" w:lineRule="auto"/>
                    <w:ind w:right="0"/>
                    <w:jc w:val="center"/>
                    <w:rPr>
                      <w:color w:val="auto"/>
                      <w:szCs w:val="18"/>
                    </w:rPr>
                  </w:pPr>
                  <w:r>
                    <w:rPr>
                      <w:color w:val="auto"/>
                      <w:szCs w:val="18"/>
                    </w:rPr>
                    <w:t>污染物排放管 控</w:t>
                  </w:r>
                </w:p>
              </w:tc>
              <w:tc>
                <w:tcPr>
                  <w:tcW w:w="3594" w:type="pct"/>
                  <w:vAlign w:val="center"/>
                </w:tcPr>
                <w:p w14:paraId="36EB152D">
                  <w:pPr>
                    <w:pStyle w:val="8"/>
                    <w:adjustRightInd w:val="0"/>
                    <w:snapToGrid/>
                    <w:spacing w:before="0" w:after="0" w:line="240" w:lineRule="auto"/>
                    <w:ind w:right="0"/>
                    <w:jc w:val="left"/>
                    <w:rPr>
                      <w:color w:val="auto"/>
                      <w:szCs w:val="18"/>
                    </w:rPr>
                  </w:pPr>
                  <w:r>
                    <w:rPr>
                      <w:color w:val="auto"/>
                      <w:szCs w:val="18"/>
                    </w:rPr>
                    <w:t>1、严格落实污染物排放总量控制制度，把主要污染物排放总量指标作为建设项目环境影响评价审批的前置条件。排放主要污染物的建设项目，在环境影响评价文件（以下简称环评文件）审批前，须取得主要污染物排放总量指标。</w:t>
                  </w:r>
                </w:p>
              </w:tc>
              <w:tc>
                <w:tcPr>
                  <w:tcW w:w="869" w:type="pct"/>
                  <w:vAlign w:val="center"/>
                </w:tcPr>
                <w:p w14:paraId="73981EE2">
                  <w:pPr>
                    <w:pStyle w:val="8"/>
                    <w:adjustRightInd w:val="0"/>
                    <w:snapToGrid/>
                    <w:spacing w:before="0" w:after="0" w:line="240" w:lineRule="auto"/>
                    <w:ind w:right="0"/>
                    <w:jc w:val="center"/>
                    <w:rPr>
                      <w:color w:val="auto"/>
                      <w:szCs w:val="18"/>
                    </w:rPr>
                  </w:pPr>
                  <w:r>
                    <w:rPr>
                      <w:color w:val="auto"/>
                      <w:szCs w:val="18"/>
                    </w:rPr>
                    <w:t>项目新增污染物总量在区域内平衡</w:t>
                  </w:r>
                </w:p>
              </w:tc>
              <w:tc>
                <w:tcPr>
                  <w:tcW w:w="347" w:type="pct"/>
                  <w:vAlign w:val="center"/>
                </w:tcPr>
                <w:p w14:paraId="2DE5C581">
                  <w:pPr>
                    <w:pStyle w:val="8"/>
                    <w:adjustRightInd w:val="0"/>
                    <w:snapToGrid/>
                    <w:spacing w:before="0" w:after="0" w:line="240" w:lineRule="auto"/>
                    <w:ind w:right="0"/>
                    <w:jc w:val="center"/>
                    <w:rPr>
                      <w:color w:val="auto"/>
                      <w:szCs w:val="18"/>
                    </w:rPr>
                  </w:pPr>
                  <w:r>
                    <w:rPr>
                      <w:color w:val="auto"/>
                      <w:szCs w:val="18"/>
                    </w:rPr>
                    <w:t>是</w:t>
                  </w:r>
                </w:p>
              </w:tc>
            </w:tr>
            <w:tr w14:paraId="74FAD9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0" w:hRule="atLeast"/>
              </w:trPr>
              <w:tc>
                <w:tcPr>
                  <w:tcW w:w="187" w:type="pct"/>
                  <w:vMerge w:val="continue"/>
                  <w:vAlign w:val="center"/>
                </w:tcPr>
                <w:p w14:paraId="61C4C23C">
                  <w:pPr>
                    <w:pStyle w:val="8"/>
                    <w:adjustRightInd w:val="0"/>
                    <w:snapToGrid/>
                    <w:spacing w:before="0" w:after="0" w:line="240" w:lineRule="auto"/>
                    <w:ind w:right="0"/>
                    <w:jc w:val="center"/>
                    <w:rPr>
                      <w:color w:val="auto"/>
                      <w:szCs w:val="18"/>
                    </w:rPr>
                  </w:pPr>
                </w:p>
              </w:tc>
              <w:tc>
                <w:tcPr>
                  <w:tcW w:w="3594" w:type="pct"/>
                  <w:vAlign w:val="center"/>
                </w:tcPr>
                <w:p w14:paraId="545C6E42">
                  <w:pPr>
                    <w:pStyle w:val="8"/>
                    <w:adjustRightInd w:val="0"/>
                    <w:snapToGrid/>
                    <w:spacing w:before="0" w:after="0" w:line="240" w:lineRule="auto"/>
                    <w:ind w:right="0"/>
                    <w:jc w:val="left"/>
                    <w:rPr>
                      <w:color w:val="auto"/>
                      <w:szCs w:val="18"/>
                    </w:rPr>
                  </w:pPr>
                  <w:r>
                    <w:rPr>
                      <w:color w:val="auto"/>
                      <w:szCs w:val="18"/>
                    </w:rPr>
                    <w:t>2、用于建设项目的“可替代总量指标”不得低于建设项目所需替代的主要污染物排放总量指标。上一年度环境空气质量年平均浓度不达标的城市、水环境质量未达到要求的市县，相关污染物应按照建设项目所需替代的主要污染物排放总量指标的2倍进行削减替代（燃煤发电机组大气污染物排放浓度基本达到燃气轮机组排放限值的除外）；细颗粒物（PM</w:t>
                  </w:r>
                  <w:r>
                    <w:rPr>
                      <w:color w:val="auto"/>
                      <w:szCs w:val="18"/>
                      <w:vertAlign w:val="subscript"/>
                    </w:rPr>
                    <w:t>2.5</w:t>
                  </w:r>
                  <w:r>
                    <w:rPr>
                      <w:color w:val="auto"/>
                      <w:szCs w:val="18"/>
                    </w:rPr>
                    <w:t>）年平均浓度不达标的城市，二氧化硫、氮氧化物、烟粉尘、挥发性有机物四项污染物均需进行2倍削减替代（燃煤发电机组大气污染物排放浓度基本达到燃气轮机组排放限值的除外）。</w:t>
                  </w:r>
                </w:p>
              </w:tc>
              <w:tc>
                <w:tcPr>
                  <w:tcW w:w="869" w:type="pct"/>
                  <w:vAlign w:val="center"/>
                </w:tcPr>
                <w:p w14:paraId="78FEBA7B">
                  <w:pPr>
                    <w:pStyle w:val="8"/>
                    <w:adjustRightInd w:val="0"/>
                    <w:snapToGrid/>
                    <w:spacing w:before="0" w:after="0" w:line="240" w:lineRule="auto"/>
                    <w:ind w:right="0"/>
                    <w:jc w:val="center"/>
                    <w:rPr>
                      <w:color w:val="auto"/>
                      <w:szCs w:val="18"/>
                    </w:rPr>
                  </w:pPr>
                  <w:r>
                    <w:rPr>
                      <w:color w:val="auto"/>
                      <w:szCs w:val="18"/>
                    </w:rPr>
                    <w:t>项目所在区域属于大气环境质量达标区，新增污染物总量在区域内平衡</w:t>
                  </w:r>
                </w:p>
              </w:tc>
              <w:tc>
                <w:tcPr>
                  <w:tcW w:w="347" w:type="pct"/>
                  <w:vAlign w:val="center"/>
                </w:tcPr>
                <w:p w14:paraId="5F44FF16">
                  <w:pPr>
                    <w:pStyle w:val="8"/>
                    <w:adjustRightInd w:val="0"/>
                    <w:snapToGrid/>
                    <w:spacing w:before="0" w:after="0" w:line="240" w:lineRule="auto"/>
                    <w:ind w:right="0"/>
                    <w:jc w:val="center"/>
                    <w:rPr>
                      <w:color w:val="auto"/>
                      <w:szCs w:val="18"/>
                    </w:rPr>
                  </w:pPr>
                  <w:r>
                    <w:rPr>
                      <w:color w:val="auto"/>
                      <w:szCs w:val="18"/>
                    </w:rPr>
                    <w:t>是</w:t>
                  </w:r>
                </w:p>
              </w:tc>
            </w:tr>
            <w:tr w14:paraId="5B285A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0" w:hRule="atLeast"/>
              </w:trPr>
              <w:tc>
                <w:tcPr>
                  <w:tcW w:w="187" w:type="pct"/>
                  <w:vMerge w:val="continue"/>
                  <w:vAlign w:val="center"/>
                </w:tcPr>
                <w:p w14:paraId="787917CF">
                  <w:pPr>
                    <w:pStyle w:val="8"/>
                    <w:adjustRightInd w:val="0"/>
                    <w:snapToGrid/>
                    <w:spacing w:before="0" w:after="0" w:line="240" w:lineRule="auto"/>
                    <w:ind w:right="0"/>
                    <w:jc w:val="center"/>
                    <w:rPr>
                      <w:color w:val="auto"/>
                      <w:szCs w:val="18"/>
                    </w:rPr>
                  </w:pPr>
                </w:p>
              </w:tc>
              <w:tc>
                <w:tcPr>
                  <w:tcW w:w="3594" w:type="pct"/>
                  <w:shd w:val="clear" w:color="auto" w:fill="auto"/>
                  <w:vAlign w:val="center"/>
                </w:tcPr>
                <w:p w14:paraId="16C4624D">
                  <w:pPr>
                    <w:pStyle w:val="8"/>
                    <w:adjustRightInd w:val="0"/>
                    <w:snapToGrid/>
                    <w:spacing w:before="0" w:after="0" w:line="240" w:lineRule="auto"/>
                    <w:ind w:right="0" w:rightChars="0"/>
                    <w:jc w:val="left"/>
                    <w:rPr>
                      <w:rFonts w:ascii="Times New Roman" w:hAnsi="Times New Roman" w:eastAsia="宋体" w:cs="Times New Roman"/>
                      <w:color w:val="auto"/>
                      <w:kern w:val="0"/>
                      <w:sz w:val="18"/>
                      <w:szCs w:val="18"/>
                      <w:lang w:val="en-US" w:eastAsia="zh-CN" w:bidi="ar-SA"/>
                    </w:rPr>
                  </w:pPr>
                  <w:r>
                    <w:rPr>
                      <w:color w:val="auto"/>
                      <w:szCs w:val="18"/>
                    </w:rPr>
                    <w:t>3、落实《省政府办公厅关于印发江苏省排污权有偿使用和交易管理暂行办法的通知》（苏政办发〔2017〕115号）及配套的实施细则中，关于新、改</w:t>
                  </w:r>
                  <w:r>
                    <w:rPr>
                      <w:rFonts w:hint="eastAsia"/>
                      <w:color w:val="auto"/>
                      <w:szCs w:val="18"/>
                      <w:lang w:val="en-US" w:eastAsia="zh-CN"/>
                    </w:rPr>
                    <w:t>扩建</w:t>
                  </w:r>
                  <w:r>
                    <w:rPr>
                      <w:color w:val="auto"/>
                      <w:szCs w:val="18"/>
                    </w:rPr>
                    <w:t>项目获得排污权指标的相关要求。</w:t>
                  </w:r>
                </w:p>
              </w:tc>
              <w:tc>
                <w:tcPr>
                  <w:tcW w:w="869" w:type="pct"/>
                  <w:shd w:val="clear" w:color="auto" w:fill="auto"/>
                  <w:vAlign w:val="center"/>
                </w:tcPr>
                <w:p w14:paraId="6AA2133E">
                  <w:pPr>
                    <w:pStyle w:val="8"/>
                    <w:adjustRightInd w:val="0"/>
                    <w:snapToGrid/>
                    <w:spacing w:before="0" w:after="0" w:line="240" w:lineRule="auto"/>
                    <w:ind w:right="0" w:rightChars="0"/>
                    <w:jc w:val="center"/>
                    <w:rPr>
                      <w:rFonts w:ascii="Times New Roman" w:hAnsi="Times New Roman" w:eastAsia="宋体" w:cs="Times New Roman"/>
                      <w:color w:val="auto"/>
                      <w:kern w:val="0"/>
                      <w:sz w:val="18"/>
                      <w:szCs w:val="18"/>
                      <w:lang w:val="en-US" w:eastAsia="zh-CN" w:bidi="ar-SA"/>
                    </w:rPr>
                  </w:pPr>
                  <w:r>
                    <w:rPr>
                      <w:color w:val="auto"/>
                      <w:szCs w:val="18"/>
                    </w:rPr>
                    <w:t>项目不涉及排污权交易</w:t>
                  </w:r>
                </w:p>
              </w:tc>
              <w:tc>
                <w:tcPr>
                  <w:tcW w:w="347" w:type="pct"/>
                  <w:shd w:val="clear" w:color="auto" w:fill="auto"/>
                  <w:vAlign w:val="center"/>
                </w:tcPr>
                <w:p w14:paraId="69E39EBE">
                  <w:pPr>
                    <w:pStyle w:val="8"/>
                    <w:adjustRightInd w:val="0"/>
                    <w:snapToGrid/>
                    <w:spacing w:before="0" w:after="0" w:line="240" w:lineRule="auto"/>
                    <w:ind w:right="0" w:rightChars="0"/>
                    <w:jc w:val="center"/>
                    <w:rPr>
                      <w:rFonts w:ascii="Times New Roman" w:hAnsi="Times New Roman" w:eastAsia="宋体" w:cs="Times New Roman"/>
                      <w:color w:val="auto"/>
                      <w:kern w:val="0"/>
                      <w:sz w:val="18"/>
                      <w:szCs w:val="18"/>
                      <w:lang w:val="en-US" w:eastAsia="zh-CN" w:bidi="ar-SA"/>
                    </w:rPr>
                  </w:pPr>
                  <w:r>
                    <w:rPr>
                      <w:color w:val="auto"/>
                      <w:szCs w:val="18"/>
                    </w:rPr>
                    <w:t>是</w:t>
                  </w:r>
                </w:p>
              </w:tc>
            </w:tr>
            <w:tr w14:paraId="29446E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67" w:hRule="atLeast"/>
              </w:trPr>
              <w:tc>
                <w:tcPr>
                  <w:tcW w:w="187" w:type="pct"/>
                  <w:vMerge w:val="continue"/>
                  <w:vAlign w:val="center"/>
                </w:tcPr>
                <w:p w14:paraId="5F7BF7F6">
                  <w:pPr>
                    <w:pStyle w:val="8"/>
                    <w:adjustRightInd w:val="0"/>
                    <w:snapToGrid/>
                    <w:spacing w:before="0" w:after="0" w:line="240" w:lineRule="auto"/>
                    <w:ind w:right="0"/>
                    <w:jc w:val="center"/>
                    <w:rPr>
                      <w:color w:val="auto"/>
                      <w:szCs w:val="18"/>
                    </w:rPr>
                  </w:pPr>
                </w:p>
              </w:tc>
              <w:tc>
                <w:tcPr>
                  <w:tcW w:w="3594" w:type="pct"/>
                  <w:vAlign w:val="center"/>
                </w:tcPr>
                <w:p w14:paraId="196F7D36">
                  <w:pPr>
                    <w:pStyle w:val="8"/>
                    <w:adjustRightInd w:val="0"/>
                    <w:snapToGrid/>
                    <w:spacing w:before="0" w:after="0" w:line="240" w:lineRule="auto"/>
                    <w:ind w:right="0"/>
                    <w:jc w:val="left"/>
                    <w:rPr>
                      <w:color w:val="auto"/>
                      <w:szCs w:val="18"/>
                    </w:rPr>
                  </w:pPr>
                  <w:r>
                    <w:rPr>
                      <w:rFonts w:hint="eastAsia"/>
                      <w:color w:val="auto"/>
                      <w:szCs w:val="18"/>
                    </w:rPr>
                    <w:t>4、落实《南通市减污降碳协同增效三年行动计划（2023—2025年）》（通政办发〔2023〕24 号），升级产业结构，健全绿色交通运输体系，单位GDP二氧化碳排放下降率力争超额完成省定目标。完善园区排污总量与环境质量挂钩的动态分配机制，构建市、县、园区三级总量管理体系，促进排污指标优化配置，差异化保障市级以上重大项目，实施污染物排放浓度和总量“双控”。</w:t>
                  </w:r>
                </w:p>
              </w:tc>
              <w:tc>
                <w:tcPr>
                  <w:tcW w:w="869" w:type="pct"/>
                  <w:vAlign w:val="center"/>
                </w:tcPr>
                <w:p w14:paraId="65233C1C">
                  <w:pPr>
                    <w:pStyle w:val="8"/>
                    <w:adjustRightInd w:val="0"/>
                    <w:snapToGrid/>
                    <w:spacing w:before="0" w:after="0" w:line="240" w:lineRule="auto"/>
                    <w:ind w:right="0"/>
                    <w:jc w:val="center"/>
                    <w:rPr>
                      <w:color w:val="auto"/>
                      <w:szCs w:val="18"/>
                    </w:rPr>
                  </w:pPr>
                  <w:r>
                    <w:rPr>
                      <w:color w:val="auto"/>
                      <w:szCs w:val="18"/>
                    </w:rPr>
                    <w:t>项目新增污染物总量在区域内平衡</w:t>
                  </w:r>
                </w:p>
              </w:tc>
              <w:tc>
                <w:tcPr>
                  <w:tcW w:w="347" w:type="pct"/>
                  <w:vAlign w:val="center"/>
                </w:tcPr>
                <w:p w14:paraId="13C5E08E">
                  <w:pPr>
                    <w:pStyle w:val="8"/>
                    <w:adjustRightInd w:val="0"/>
                    <w:snapToGrid/>
                    <w:spacing w:before="0" w:after="0" w:line="240" w:lineRule="auto"/>
                    <w:ind w:right="0"/>
                    <w:jc w:val="center"/>
                    <w:rPr>
                      <w:color w:val="auto"/>
                      <w:szCs w:val="18"/>
                    </w:rPr>
                  </w:pPr>
                  <w:r>
                    <w:rPr>
                      <w:color w:val="auto"/>
                      <w:szCs w:val="18"/>
                    </w:rPr>
                    <w:t>是</w:t>
                  </w:r>
                </w:p>
              </w:tc>
            </w:tr>
            <w:tr w14:paraId="1E6FCB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00" w:hRule="atLeast"/>
              </w:trPr>
              <w:tc>
                <w:tcPr>
                  <w:tcW w:w="187" w:type="pct"/>
                  <w:vAlign w:val="center"/>
                </w:tcPr>
                <w:p w14:paraId="413D85C4">
                  <w:pPr>
                    <w:pStyle w:val="8"/>
                    <w:adjustRightInd w:val="0"/>
                    <w:snapToGrid/>
                    <w:spacing w:before="0" w:after="0" w:line="240" w:lineRule="auto"/>
                    <w:ind w:right="0"/>
                    <w:jc w:val="center"/>
                    <w:rPr>
                      <w:color w:val="auto"/>
                      <w:szCs w:val="18"/>
                    </w:rPr>
                  </w:pPr>
                  <w:r>
                    <w:rPr>
                      <w:color w:val="auto"/>
                      <w:szCs w:val="18"/>
                    </w:rPr>
                    <w:t>环境风险防控</w:t>
                  </w:r>
                </w:p>
              </w:tc>
              <w:tc>
                <w:tcPr>
                  <w:tcW w:w="3594" w:type="pct"/>
                  <w:vAlign w:val="center"/>
                </w:tcPr>
                <w:p w14:paraId="704182C5">
                  <w:pPr>
                    <w:pStyle w:val="8"/>
                    <w:adjustRightInd w:val="0"/>
                    <w:snapToGrid/>
                    <w:spacing w:before="0" w:after="0" w:line="240" w:lineRule="auto"/>
                    <w:ind w:right="0"/>
                    <w:jc w:val="left"/>
                    <w:rPr>
                      <w:color w:val="auto"/>
                      <w:szCs w:val="18"/>
                    </w:rPr>
                  </w:pPr>
                  <w:r>
                    <w:rPr>
                      <w:color w:val="auto"/>
                      <w:szCs w:val="18"/>
                    </w:rPr>
                    <w:t>1、落实《南通市突发环境事件应急预案（2020年修订版）》（通政办发〔2020〕46号）。</w:t>
                  </w:r>
                </w:p>
                <w:p w14:paraId="1C42C637">
                  <w:pPr>
                    <w:pStyle w:val="8"/>
                    <w:adjustRightInd w:val="0"/>
                    <w:snapToGrid/>
                    <w:spacing w:before="0" w:after="0" w:line="240" w:lineRule="auto"/>
                    <w:ind w:right="0"/>
                    <w:jc w:val="left"/>
                    <w:rPr>
                      <w:color w:val="auto"/>
                      <w:szCs w:val="18"/>
                    </w:rPr>
                  </w:pPr>
                  <w:r>
                    <w:rPr>
                      <w:color w:val="auto"/>
                      <w:szCs w:val="18"/>
                    </w:rPr>
                    <w:t>2、根据《关于加快全省化工钢铁煤电行业转型升级高质量发展的实施意见》（苏办发〔2018〕32号），钢铁行业企业总平面布置必须符合国家规范要求，有较大变更的必须进行安全风险分析和评估论证。企业必须按规定设计、设置和运行自动控制系统，按规定实施全流程自动控制改造，有条件的鼓励创建智能工厂（装置）。企业涉及重大危险源的设施设备与周边重要公共建筑安全距离须符合国家相关标准要求。坚决淘汰超期服役的高风险设备和设施。</w:t>
                  </w:r>
                </w:p>
                <w:p w14:paraId="48BAEF31">
                  <w:pPr>
                    <w:pStyle w:val="8"/>
                    <w:adjustRightInd w:val="0"/>
                    <w:snapToGrid/>
                    <w:spacing w:before="0" w:after="0" w:line="240" w:lineRule="auto"/>
                    <w:ind w:right="0"/>
                    <w:jc w:val="left"/>
                    <w:rPr>
                      <w:color w:val="auto"/>
                      <w:szCs w:val="18"/>
                    </w:rPr>
                  </w:pPr>
                  <w:r>
                    <w:rPr>
                      <w:color w:val="auto"/>
                      <w:szCs w:val="18"/>
                    </w:rPr>
                    <w:t>3、</w:t>
                  </w:r>
                  <w:r>
                    <w:rPr>
                      <w:rFonts w:hint="eastAsia"/>
                      <w:color w:val="auto"/>
                      <w:szCs w:val="18"/>
                    </w:rPr>
                    <w:t>落实《市政府办公室关于印发南通市减污降碳协同增效三年行动计划（2023-2025年）的通知》（通政办发〔2023〕24号），完善空气质量异常预警管控、重污染天气应急管控机制，严格落实应急减排措施清单化管理，基于环境绩效推动重点行业企业错峰生产，确保污染缩时削峰。推进土壤污染重点监管单位隐患排查，严格防范关闭搬迁化工企业拆除活动可能造成的土壤污染风险。</w:t>
                  </w:r>
                </w:p>
              </w:tc>
              <w:tc>
                <w:tcPr>
                  <w:tcW w:w="869" w:type="pct"/>
                  <w:vAlign w:val="center"/>
                </w:tcPr>
                <w:p w14:paraId="46770204">
                  <w:pPr>
                    <w:pStyle w:val="8"/>
                    <w:adjustRightInd w:val="0"/>
                    <w:snapToGrid/>
                    <w:spacing w:before="0" w:after="0" w:line="240" w:lineRule="auto"/>
                    <w:ind w:right="0"/>
                    <w:jc w:val="center"/>
                    <w:rPr>
                      <w:color w:val="auto"/>
                      <w:szCs w:val="18"/>
                    </w:rPr>
                  </w:pPr>
                  <w:r>
                    <w:rPr>
                      <w:rFonts w:hint="eastAsia"/>
                      <w:color w:val="auto"/>
                      <w:szCs w:val="18"/>
                    </w:rPr>
                    <w:t>本项目不属于化工钢铁煤电行业，本项目将落实《南通市突发环境事件应急预案（2020年修订版）》、《市政府办公室关于印发南通市减污降碳协同增效三年行动计划（2023-2025年）的通知》中相应的应急管控措施。</w:t>
                  </w:r>
                </w:p>
              </w:tc>
              <w:tc>
                <w:tcPr>
                  <w:tcW w:w="347" w:type="pct"/>
                  <w:vAlign w:val="center"/>
                </w:tcPr>
                <w:p w14:paraId="5E953DC6">
                  <w:pPr>
                    <w:pStyle w:val="8"/>
                    <w:adjustRightInd w:val="0"/>
                    <w:snapToGrid/>
                    <w:spacing w:before="0" w:after="0" w:line="240" w:lineRule="auto"/>
                    <w:ind w:right="0"/>
                    <w:jc w:val="center"/>
                    <w:rPr>
                      <w:color w:val="auto"/>
                      <w:szCs w:val="18"/>
                    </w:rPr>
                  </w:pPr>
                  <w:r>
                    <w:rPr>
                      <w:color w:val="auto"/>
                      <w:szCs w:val="18"/>
                    </w:rPr>
                    <w:t>是</w:t>
                  </w:r>
                </w:p>
              </w:tc>
            </w:tr>
            <w:tr w14:paraId="5E36B2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844" w:hRule="atLeast"/>
              </w:trPr>
              <w:tc>
                <w:tcPr>
                  <w:tcW w:w="187" w:type="pct"/>
                  <w:vAlign w:val="center"/>
                </w:tcPr>
                <w:p w14:paraId="41DD7BB5">
                  <w:pPr>
                    <w:pStyle w:val="8"/>
                    <w:adjustRightInd w:val="0"/>
                    <w:snapToGrid/>
                    <w:spacing w:before="0" w:after="0" w:line="240" w:lineRule="auto"/>
                    <w:ind w:right="0"/>
                    <w:jc w:val="center"/>
                    <w:rPr>
                      <w:color w:val="auto"/>
                      <w:szCs w:val="18"/>
                    </w:rPr>
                  </w:pPr>
                  <w:r>
                    <w:rPr>
                      <w:color w:val="auto"/>
                      <w:szCs w:val="18"/>
                    </w:rPr>
                    <w:t>资源利用效率 要求</w:t>
                  </w:r>
                </w:p>
              </w:tc>
              <w:tc>
                <w:tcPr>
                  <w:tcW w:w="3594" w:type="pct"/>
                  <w:vAlign w:val="center"/>
                </w:tcPr>
                <w:p w14:paraId="68DFA2AC">
                  <w:pPr>
                    <w:pStyle w:val="8"/>
                    <w:adjustRightInd w:val="0"/>
                    <w:snapToGrid/>
                    <w:spacing w:before="0" w:after="0" w:line="240" w:lineRule="auto"/>
                    <w:ind w:right="0"/>
                    <w:jc w:val="left"/>
                    <w:rPr>
                      <w:color w:val="auto"/>
                      <w:szCs w:val="18"/>
                    </w:rPr>
                  </w:pPr>
                  <w:r>
                    <w:rPr>
                      <w:color w:val="auto"/>
                      <w:szCs w:val="18"/>
                    </w:rPr>
                    <w:t>1、根据《中华人民共和国大气污染防治法》，禁燃区禁止新建、扩建燃用高污染燃料的项目和设施，已建成的应逐步或依法限期改用天然气、电或者其他清洁能源。</w:t>
                  </w:r>
                </w:p>
                <w:p w14:paraId="6C945877">
                  <w:pPr>
                    <w:pStyle w:val="8"/>
                    <w:adjustRightInd w:val="0"/>
                    <w:snapToGrid/>
                    <w:spacing w:before="0" w:after="0" w:line="240" w:lineRule="auto"/>
                    <w:ind w:right="0"/>
                    <w:jc w:val="left"/>
                    <w:rPr>
                      <w:rFonts w:hint="eastAsia"/>
                      <w:color w:val="auto"/>
                      <w:szCs w:val="18"/>
                      <w:lang w:eastAsia="zh-CN"/>
                    </w:rPr>
                  </w:pPr>
                  <w:r>
                    <w:rPr>
                      <w:color w:val="auto"/>
                      <w:szCs w:val="18"/>
                    </w:rPr>
                    <w:t>2、</w:t>
                  </w:r>
                  <w:r>
                    <w:rPr>
                      <w:rFonts w:hint="eastAsia"/>
                      <w:color w:val="auto"/>
                      <w:szCs w:val="18"/>
                    </w:rPr>
                    <w:t>化工行业新建化工项目须达到国内清洁生产先进水平或行业先进水平，生产过程连续化、密闭化、自动化、智能化；钢铁行业沿海地区新建钢厂、其他地区钢厂改造升级项目必须符合《江苏省钢铁行业布局优化结构调整项目建设实施标准》要求</w:t>
                  </w:r>
                  <w:r>
                    <w:rPr>
                      <w:rFonts w:hint="eastAsia"/>
                      <w:color w:val="auto"/>
                      <w:szCs w:val="18"/>
                      <w:lang w:eastAsia="zh-CN"/>
                    </w:rPr>
                    <w:t>。</w:t>
                  </w:r>
                </w:p>
                <w:p w14:paraId="2EFD868D">
                  <w:pPr>
                    <w:pStyle w:val="8"/>
                    <w:adjustRightInd w:val="0"/>
                    <w:snapToGrid/>
                    <w:spacing w:before="0" w:after="0" w:line="240" w:lineRule="auto"/>
                    <w:ind w:right="0"/>
                    <w:jc w:val="left"/>
                    <w:rPr>
                      <w:color w:val="auto"/>
                      <w:szCs w:val="18"/>
                    </w:rPr>
                  </w:pPr>
                  <w:r>
                    <w:rPr>
                      <w:color w:val="auto"/>
                      <w:szCs w:val="18"/>
                    </w:rPr>
                    <w:t>3、严格控制地下水开采。落实《江苏省地下水超采区划分方案》</w:t>
                  </w:r>
                  <w:r>
                    <w:rPr>
                      <w:rFonts w:hint="eastAsia"/>
                      <w:color w:val="auto"/>
                      <w:szCs w:val="18"/>
                    </w:rPr>
                    <w:t>（苏政复〔2013〕59号），</w:t>
                  </w:r>
                  <w:r>
                    <w:rPr>
                      <w:color w:val="auto"/>
                      <w:szCs w:val="18"/>
                    </w:rPr>
                    <w:t>在海门区的海门城区、三厂、常乐等乡镇共计136.9平方公里，实施地下水禁采；在如东县的掘港及马塘、岔河、洋口、丰利等乡镇，海门区除三阳、海永外的大部分地区，启东市的汇龙、吕四、北新等乡镇，通州区的东社镇、二甲镇，通州湾的三余镇等地2095.8平方公里，实施地下水限采。</w:t>
                  </w:r>
                </w:p>
                <w:p w14:paraId="1027DC45">
                  <w:pPr>
                    <w:pStyle w:val="8"/>
                    <w:adjustRightInd w:val="0"/>
                    <w:snapToGrid/>
                    <w:spacing w:before="0" w:after="0" w:line="240" w:lineRule="auto"/>
                    <w:ind w:right="0"/>
                    <w:jc w:val="left"/>
                    <w:rPr>
                      <w:rFonts w:hint="eastAsia"/>
                      <w:color w:val="auto"/>
                      <w:szCs w:val="18"/>
                      <w:lang w:val="en-US" w:eastAsia="zh-CN"/>
                    </w:rPr>
                  </w:pPr>
                  <w:r>
                    <w:rPr>
                      <w:rFonts w:hint="eastAsia"/>
                      <w:color w:val="auto"/>
                      <w:szCs w:val="18"/>
                      <w:lang w:val="en-US" w:eastAsia="zh-CN"/>
                    </w:rPr>
                    <w:t>4、落实《市政府办公室印发&lt;关于进一步促进全市乡镇工业集聚区高质量发展的实施意见&gt;的通知》（通政办发〔2022〕70号），原则上，集聚区新上工业项目的亩均固定资产投资一般不低于250万元，亩均税收一般不低于15万元。结合国土空间总体规划及产业发展规划，进一步优化配置土地资源，对不符合产业政策、位于城镇开发边界外较为碎片化的散乱污、低效产业、僵尸企业用地实施有计划盘活，归并入园区统筹利用，实现布局优化、“化零为整”。</w:t>
                  </w:r>
                </w:p>
                <w:p w14:paraId="2B94E88C">
                  <w:pPr>
                    <w:pStyle w:val="8"/>
                    <w:adjustRightInd w:val="0"/>
                    <w:snapToGrid/>
                    <w:spacing w:before="0" w:after="0" w:line="240" w:lineRule="auto"/>
                    <w:ind w:right="0"/>
                    <w:jc w:val="left"/>
                    <w:rPr>
                      <w:rFonts w:hint="eastAsia"/>
                      <w:color w:val="auto"/>
                      <w:szCs w:val="18"/>
                      <w:lang w:val="en-US" w:eastAsia="zh-CN"/>
                    </w:rPr>
                  </w:pPr>
                  <w:r>
                    <w:rPr>
                      <w:rFonts w:hint="eastAsia"/>
                      <w:color w:val="auto"/>
                      <w:szCs w:val="18"/>
                      <w:lang w:val="en-US" w:eastAsia="zh-CN"/>
                    </w:rPr>
                    <w:t>5、落实《市政府办公室关于印发南通市减污降碳协同增效三年行动计划（2023—2025年）的通知》（通政办发〔2023〕24 号），加强岸线动态监管，严禁工贸和港口企业无序占用港口岸线。严控煤炭消费总量，严禁新（扩）建燃煤自备电厂，新建燃煤发电机组达到煤炭清洁高效利用标杆水平，2025 年底前现有机组达到标杆水平。</w:t>
                  </w:r>
                </w:p>
                <w:p w14:paraId="5345895C">
                  <w:pPr>
                    <w:pStyle w:val="8"/>
                    <w:adjustRightInd w:val="0"/>
                    <w:snapToGrid/>
                    <w:spacing w:before="0" w:after="0" w:line="240" w:lineRule="auto"/>
                    <w:ind w:right="0"/>
                    <w:jc w:val="left"/>
                    <w:rPr>
                      <w:rFonts w:hint="default"/>
                      <w:color w:val="auto"/>
                      <w:szCs w:val="18"/>
                      <w:lang w:val="en-US" w:eastAsia="zh-CN"/>
                    </w:rPr>
                  </w:pPr>
                  <w:r>
                    <w:rPr>
                      <w:rFonts w:hint="eastAsia"/>
                      <w:color w:val="auto"/>
                      <w:szCs w:val="18"/>
                      <w:lang w:val="en-US" w:eastAsia="zh-CN"/>
                    </w:rPr>
                    <w:t>6、根据《省最严格水资源管理考核和节约用水工作联席会议办公室关于下达2023年度实行最严格水资源管理制度目标任务的通知》（苏水办资联﹝2023﹞2号），2023 年南通市地下水用水总量为 2800万立方米。</w:t>
                  </w:r>
                </w:p>
              </w:tc>
              <w:tc>
                <w:tcPr>
                  <w:tcW w:w="869" w:type="pct"/>
                  <w:vAlign w:val="center"/>
                </w:tcPr>
                <w:p w14:paraId="4F1FA4A4">
                  <w:pPr>
                    <w:pStyle w:val="8"/>
                    <w:adjustRightInd w:val="0"/>
                    <w:snapToGrid/>
                    <w:spacing w:before="0" w:after="0" w:line="240" w:lineRule="auto"/>
                    <w:ind w:right="0"/>
                    <w:jc w:val="center"/>
                    <w:rPr>
                      <w:color w:val="auto"/>
                      <w:szCs w:val="18"/>
                    </w:rPr>
                  </w:pPr>
                  <w:r>
                    <w:rPr>
                      <w:rFonts w:hint="eastAsia"/>
                      <w:color w:val="auto"/>
                      <w:szCs w:val="18"/>
                    </w:rPr>
                    <w:t>本项目不属于燃用高污染燃料的项目和设施，不属于高污染项目，不属于化工、钢铁行业，不开采地下水。</w:t>
                  </w:r>
                </w:p>
              </w:tc>
              <w:tc>
                <w:tcPr>
                  <w:tcW w:w="347" w:type="pct"/>
                  <w:vAlign w:val="center"/>
                </w:tcPr>
                <w:p w14:paraId="0BFC041E">
                  <w:pPr>
                    <w:pStyle w:val="8"/>
                    <w:adjustRightInd w:val="0"/>
                    <w:snapToGrid/>
                    <w:spacing w:before="0" w:after="0" w:line="240" w:lineRule="auto"/>
                    <w:ind w:right="0"/>
                    <w:jc w:val="center"/>
                    <w:rPr>
                      <w:color w:val="auto"/>
                      <w:szCs w:val="18"/>
                    </w:rPr>
                  </w:pPr>
                  <w:r>
                    <w:rPr>
                      <w:color w:val="auto"/>
                      <w:szCs w:val="18"/>
                    </w:rPr>
                    <w:t>是</w:t>
                  </w:r>
                </w:p>
              </w:tc>
            </w:tr>
          </w:tbl>
          <w:p w14:paraId="7FFBF77C">
            <w:pPr>
              <w:adjustRightInd w:val="0"/>
              <w:snapToGrid w:val="0"/>
              <w:spacing w:before="120"/>
              <w:jc w:val="center"/>
              <w:rPr>
                <w:b/>
                <w:bCs/>
                <w:color w:val="auto"/>
              </w:rPr>
            </w:pPr>
          </w:p>
          <w:p w14:paraId="10DEB6FC">
            <w:pPr>
              <w:adjustRightInd w:val="0"/>
              <w:snapToGrid w:val="0"/>
              <w:spacing w:before="120"/>
              <w:jc w:val="center"/>
              <w:rPr>
                <w:b/>
                <w:bCs/>
                <w:color w:val="auto"/>
              </w:rPr>
            </w:pPr>
          </w:p>
          <w:p w14:paraId="73798CF2">
            <w:pPr>
              <w:adjustRightInd w:val="0"/>
              <w:snapToGrid w:val="0"/>
              <w:spacing w:before="120"/>
              <w:jc w:val="center"/>
              <w:rPr>
                <w:b/>
                <w:bCs/>
                <w:color w:val="auto"/>
              </w:rPr>
            </w:pPr>
            <w:r>
              <w:rPr>
                <w:b/>
                <w:bCs/>
                <w:color w:val="auto"/>
              </w:rPr>
              <w:t>表1-</w:t>
            </w:r>
            <w:r>
              <w:rPr>
                <w:rFonts w:hint="eastAsia"/>
                <w:b/>
                <w:bCs/>
                <w:color w:val="auto"/>
              </w:rPr>
              <w:t>5</w:t>
            </w:r>
            <w:r>
              <w:rPr>
                <w:b/>
                <w:bCs/>
                <w:color w:val="auto"/>
              </w:rPr>
              <w:t>与《海安市“三线一单”生态环境分区管控实施方案》海安锻压</w:t>
            </w:r>
          </w:p>
          <w:p w14:paraId="192121FE">
            <w:pPr>
              <w:adjustRightInd w:val="0"/>
              <w:snapToGrid w:val="0"/>
              <w:spacing w:before="120"/>
              <w:jc w:val="center"/>
              <w:rPr>
                <w:b/>
                <w:bCs/>
                <w:color w:val="auto"/>
              </w:rPr>
            </w:pPr>
            <w:r>
              <w:rPr>
                <w:b/>
                <w:bCs/>
                <w:color w:val="auto"/>
              </w:rPr>
              <w:t>机械产业园</w:t>
            </w:r>
            <w:r>
              <w:rPr>
                <w:b/>
                <w:bCs/>
                <w:color w:val="auto"/>
                <w:kern w:val="0"/>
                <w:szCs w:val="21"/>
              </w:rPr>
              <w:t>重点管控单元准入清单</w:t>
            </w:r>
            <w:r>
              <w:rPr>
                <w:b/>
                <w:bCs/>
                <w:color w:val="auto"/>
              </w:rPr>
              <w:t>相符性分析</w:t>
            </w:r>
          </w:p>
          <w:tbl>
            <w:tblPr>
              <w:tblStyle w:val="23"/>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56"/>
              <w:gridCol w:w="4879"/>
              <w:gridCol w:w="2280"/>
            </w:tblGrid>
            <w:tr w14:paraId="681821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41" w:type="pct"/>
                  <w:gridSpan w:val="2"/>
                  <w:vAlign w:val="center"/>
                </w:tcPr>
                <w:p w14:paraId="2721CD57">
                  <w:pPr>
                    <w:autoSpaceDE w:val="0"/>
                    <w:autoSpaceDN w:val="0"/>
                    <w:adjustRightInd w:val="0"/>
                    <w:snapToGrid w:val="0"/>
                    <w:jc w:val="center"/>
                    <w:rPr>
                      <w:b/>
                      <w:bCs/>
                      <w:color w:val="auto"/>
                      <w:kern w:val="0"/>
                      <w:sz w:val="18"/>
                      <w:szCs w:val="18"/>
                    </w:rPr>
                  </w:pPr>
                  <w:r>
                    <w:rPr>
                      <w:b/>
                      <w:bCs/>
                      <w:color w:val="auto"/>
                      <w:kern w:val="0"/>
                      <w:sz w:val="18"/>
                      <w:szCs w:val="18"/>
                    </w:rPr>
                    <w:t>区域管控要求</w:t>
                  </w:r>
                </w:p>
              </w:tc>
              <w:tc>
                <w:tcPr>
                  <w:tcW w:w="1458" w:type="pct"/>
                  <w:vAlign w:val="center"/>
                </w:tcPr>
                <w:p w14:paraId="56CF41B2">
                  <w:pPr>
                    <w:autoSpaceDE w:val="0"/>
                    <w:autoSpaceDN w:val="0"/>
                    <w:adjustRightInd w:val="0"/>
                    <w:snapToGrid w:val="0"/>
                    <w:jc w:val="center"/>
                    <w:rPr>
                      <w:b/>
                      <w:bCs/>
                      <w:color w:val="auto"/>
                      <w:kern w:val="0"/>
                      <w:sz w:val="18"/>
                      <w:szCs w:val="18"/>
                    </w:rPr>
                  </w:pPr>
                  <w:r>
                    <w:rPr>
                      <w:b/>
                      <w:bCs/>
                      <w:color w:val="auto"/>
                      <w:kern w:val="0"/>
                      <w:sz w:val="18"/>
                      <w:szCs w:val="18"/>
                    </w:rPr>
                    <w:t>相符性</w:t>
                  </w:r>
                </w:p>
              </w:tc>
            </w:tr>
            <w:tr w14:paraId="541900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9" w:type="pct"/>
                  <w:vAlign w:val="center"/>
                </w:tcPr>
                <w:p w14:paraId="00C0A16B">
                  <w:pPr>
                    <w:pStyle w:val="8"/>
                    <w:keepNext w:val="0"/>
                    <w:keepLines w:val="0"/>
                    <w:pageBreakBefore w:val="0"/>
                    <w:kinsoku/>
                    <w:wordWrap/>
                    <w:overflowPunct/>
                    <w:topLinePunct w:val="0"/>
                    <w:bidi w:val="0"/>
                    <w:adjustRightInd w:val="0"/>
                    <w:snapToGrid w:val="0"/>
                    <w:spacing w:before="0" w:after="0" w:line="240" w:lineRule="auto"/>
                    <w:ind w:right="0"/>
                    <w:jc w:val="center"/>
                    <w:textAlignment w:val="auto"/>
                    <w:rPr>
                      <w:color w:val="auto"/>
                      <w:szCs w:val="18"/>
                    </w:rPr>
                  </w:pPr>
                  <w:r>
                    <w:rPr>
                      <w:color w:val="auto"/>
                      <w:szCs w:val="18"/>
                    </w:rPr>
                    <w:t>空间布局约束</w:t>
                  </w:r>
                </w:p>
              </w:tc>
              <w:tc>
                <w:tcPr>
                  <w:tcW w:w="3121" w:type="pct"/>
                  <w:vAlign w:val="center"/>
                </w:tcPr>
                <w:p w14:paraId="78FD4170">
                  <w:pPr>
                    <w:pStyle w:val="8"/>
                    <w:keepNext w:val="0"/>
                    <w:keepLines w:val="0"/>
                    <w:pageBreakBefore w:val="0"/>
                    <w:kinsoku/>
                    <w:wordWrap/>
                    <w:overflowPunct/>
                    <w:topLinePunct w:val="0"/>
                    <w:bidi w:val="0"/>
                    <w:adjustRightInd w:val="0"/>
                    <w:snapToGrid w:val="0"/>
                    <w:spacing w:before="0" w:after="0" w:line="240" w:lineRule="auto"/>
                    <w:ind w:right="0"/>
                    <w:jc w:val="center"/>
                    <w:textAlignment w:val="auto"/>
                    <w:rPr>
                      <w:color w:val="auto"/>
                      <w:szCs w:val="18"/>
                    </w:rPr>
                  </w:pPr>
                  <w:r>
                    <w:rPr>
                      <w:color w:val="auto"/>
                      <w:szCs w:val="18"/>
                    </w:rPr>
                    <w:t>主导产业：装备制造业、服装制造、橡胶和塑料制品业、新材料等行业。禁止引入高能耗、不符合产业政策、重污染的项目。</w:t>
                  </w:r>
                </w:p>
              </w:tc>
              <w:tc>
                <w:tcPr>
                  <w:tcW w:w="1458" w:type="pct"/>
                  <w:vAlign w:val="center"/>
                </w:tcPr>
                <w:p w14:paraId="26C44F0A">
                  <w:pPr>
                    <w:keepNext w:val="0"/>
                    <w:keepLines w:val="0"/>
                    <w:pageBreakBefore w:val="0"/>
                    <w:kinsoku/>
                    <w:wordWrap/>
                    <w:overflowPunct/>
                    <w:topLinePunct w:val="0"/>
                    <w:autoSpaceDE w:val="0"/>
                    <w:autoSpaceDN w:val="0"/>
                    <w:bidi w:val="0"/>
                    <w:adjustRightInd w:val="0"/>
                    <w:snapToGrid w:val="0"/>
                    <w:jc w:val="center"/>
                    <w:textAlignment w:val="auto"/>
                    <w:rPr>
                      <w:color w:val="auto"/>
                      <w:kern w:val="0"/>
                      <w:sz w:val="18"/>
                      <w:szCs w:val="18"/>
                    </w:rPr>
                  </w:pPr>
                  <w:r>
                    <w:rPr>
                      <w:color w:val="auto"/>
                      <w:kern w:val="0"/>
                      <w:sz w:val="18"/>
                      <w:szCs w:val="18"/>
                    </w:rPr>
                    <w:t>本项目为</w:t>
                  </w:r>
                  <w:r>
                    <w:rPr>
                      <w:rFonts w:hint="eastAsia"/>
                      <w:color w:val="auto"/>
                      <w:sz w:val="18"/>
                      <w:szCs w:val="18"/>
                    </w:rPr>
                    <w:t>工程和技术研究和试验发展，所研发的标准物质为周边主导产业配套服务</w:t>
                  </w:r>
                  <w:r>
                    <w:rPr>
                      <w:color w:val="auto"/>
                      <w:kern w:val="0"/>
                      <w:sz w:val="18"/>
                      <w:szCs w:val="18"/>
                    </w:rPr>
                    <w:t>；</w:t>
                  </w:r>
                  <w:r>
                    <w:rPr>
                      <w:rFonts w:hint="eastAsia"/>
                      <w:color w:val="auto"/>
                      <w:kern w:val="0"/>
                      <w:sz w:val="18"/>
                      <w:szCs w:val="18"/>
                    </w:rPr>
                    <w:t>不属于</w:t>
                  </w:r>
                  <w:r>
                    <w:rPr>
                      <w:color w:val="auto"/>
                      <w:kern w:val="0"/>
                      <w:sz w:val="18"/>
                      <w:szCs w:val="18"/>
                    </w:rPr>
                    <w:t>高能耗、不符合产业政策、重污染的项目。</w:t>
                  </w:r>
                </w:p>
              </w:tc>
            </w:tr>
            <w:tr w14:paraId="5BE591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9" w:type="pct"/>
                  <w:vAlign w:val="center"/>
                </w:tcPr>
                <w:p w14:paraId="5E346452">
                  <w:pPr>
                    <w:pStyle w:val="8"/>
                    <w:keepNext w:val="0"/>
                    <w:keepLines w:val="0"/>
                    <w:pageBreakBefore w:val="0"/>
                    <w:kinsoku/>
                    <w:wordWrap/>
                    <w:overflowPunct/>
                    <w:topLinePunct w:val="0"/>
                    <w:bidi w:val="0"/>
                    <w:adjustRightInd w:val="0"/>
                    <w:snapToGrid w:val="0"/>
                    <w:spacing w:before="0" w:after="0" w:line="240" w:lineRule="auto"/>
                    <w:ind w:right="0"/>
                    <w:jc w:val="center"/>
                    <w:textAlignment w:val="auto"/>
                    <w:rPr>
                      <w:color w:val="auto"/>
                      <w:szCs w:val="18"/>
                    </w:rPr>
                  </w:pPr>
                  <w:r>
                    <w:rPr>
                      <w:color w:val="auto"/>
                      <w:szCs w:val="18"/>
                    </w:rPr>
                    <w:t>污染物排放管控</w:t>
                  </w:r>
                </w:p>
              </w:tc>
              <w:tc>
                <w:tcPr>
                  <w:tcW w:w="3121" w:type="pct"/>
                  <w:vAlign w:val="center"/>
                </w:tcPr>
                <w:p w14:paraId="1AF97E60">
                  <w:pPr>
                    <w:pStyle w:val="8"/>
                    <w:keepNext w:val="0"/>
                    <w:keepLines w:val="0"/>
                    <w:pageBreakBefore w:val="0"/>
                    <w:kinsoku/>
                    <w:wordWrap/>
                    <w:overflowPunct/>
                    <w:topLinePunct w:val="0"/>
                    <w:bidi w:val="0"/>
                    <w:adjustRightInd w:val="0"/>
                    <w:snapToGrid w:val="0"/>
                    <w:spacing w:before="0" w:after="0" w:line="240" w:lineRule="auto"/>
                    <w:ind w:right="0"/>
                    <w:jc w:val="center"/>
                    <w:textAlignment w:val="auto"/>
                    <w:rPr>
                      <w:color w:val="auto"/>
                      <w:szCs w:val="18"/>
                    </w:rPr>
                  </w:pPr>
                  <w:r>
                    <w:rPr>
                      <w:color w:val="auto"/>
                      <w:szCs w:val="18"/>
                    </w:rPr>
                    <w:t>以规划环评（跟踪评价）及批复文件为准。</w:t>
                  </w:r>
                </w:p>
              </w:tc>
              <w:tc>
                <w:tcPr>
                  <w:tcW w:w="1458" w:type="pct"/>
                  <w:vAlign w:val="center"/>
                </w:tcPr>
                <w:p w14:paraId="7071E185">
                  <w:pPr>
                    <w:keepNext w:val="0"/>
                    <w:keepLines w:val="0"/>
                    <w:pageBreakBefore w:val="0"/>
                    <w:kinsoku/>
                    <w:wordWrap/>
                    <w:overflowPunct/>
                    <w:topLinePunct w:val="0"/>
                    <w:autoSpaceDE w:val="0"/>
                    <w:autoSpaceDN w:val="0"/>
                    <w:bidi w:val="0"/>
                    <w:adjustRightInd w:val="0"/>
                    <w:snapToGrid w:val="0"/>
                    <w:jc w:val="center"/>
                    <w:textAlignment w:val="auto"/>
                    <w:rPr>
                      <w:color w:val="auto"/>
                      <w:kern w:val="0"/>
                      <w:sz w:val="18"/>
                      <w:szCs w:val="18"/>
                    </w:rPr>
                  </w:pPr>
                  <w:r>
                    <w:rPr>
                      <w:color w:val="auto"/>
                      <w:kern w:val="0"/>
                      <w:sz w:val="18"/>
                      <w:szCs w:val="18"/>
                    </w:rPr>
                    <w:t>本项目污染物排放在海安范围内进行平衡，符合管控要求。</w:t>
                  </w:r>
                </w:p>
              </w:tc>
            </w:tr>
            <w:tr w14:paraId="3A9F65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9" w:type="pct"/>
                  <w:vAlign w:val="center"/>
                </w:tcPr>
                <w:p w14:paraId="11098C12">
                  <w:pPr>
                    <w:pStyle w:val="8"/>
                    <w:keepNext w:val="0"/>
                    <w:keepLines w:val="0"/>
                    <w:pageBreakBefore w:val="0"/>
                    <w:kinsoku/>
                    <w:wordWrap/>
                    <w:overflowPunct/>
                    <w:topLinePunct w:val="0"/>
                    <w:bidi w:val="0"/>
                    <w:adjustRightInd w:val="0"/>
                    <w:snapToGrid w:val="0"/>
                    <w:spacing w:before="0" w:after="0" w:line="240" w:lineRule="auto"/>
                    <w:ind w:right="0"/>
                    <w:jc w:val="center"/>
                    <w:textAlignment w:val="auto"/>
                    <w:rPr>
                      <w:color w:val="auto"/>
                      <w:szCs w:val="18"/>
                    </w:rPr>
                  </w:pPr>
                  <w:r>
                    <w:rPr>
                      <w:color w:val="auto"/>
                      <w:szCs w:val="18"/>
                    </w:rPr>
                    <w:t>环境风险防控</w:t>
                  </w:r>
                </w:p>
              </w:tc>
              <w:tc>
                <w:tcPr>
                  <w:tcW w:w="3121" w:type="pct"/>
                  <w:vAlign w:val="center"/>
                </w:tcPr>
                <w:p w14:paraId="364F5738">
                  <w:pPr>
                    <w:pStyle w:val="8"/>
                    <w:keepNext w:val="0"/>
                    <w:keepLines w:val="0"/>
                    <w:pageBreakBefore w:val="0"/>
                    <w:kinsoku/>
                    <w:wordWrap/>
                    <w:overflowPunct/>
                    <w:topLinePunct w:val="0"/>
                    <w:bidi w:val="0"/>
                    <w:adjustRightInd w:val="0"/>
                    <w:snapToGrid w:val="0"/>
                    <w:spacing w:before="0" w:after="0" w:line="240" w:lineRule="auto"/>
                    <w:ind w:right="0"/>
                    <w:jc w:val="center"/>
                    <w:textAlignment w:val="auto"/>
                    <w:rPr>
                      <w:color w:val="auto"/>
                      <w:szCs w:val="18"/>
                    </w:rPr>
                  </w:pPr>
                  <w:r>
                    <w:rPr>
                      <w:color w:val="auto"/>
                      <w:szCs w:val="18"/>
                    </w:rPr>
                    <w:t>建立环境应急体系。加强环境影响跟踪监测，建立健全各环境要素监控体系，完善并落实园区日常环境监测与污染源监控计划。居民区与工业企业之间要预留足够的卫生防护距离。</w:t>
                  </w:r>
                </w:p>
              </w:tc>
              <w:tc>
                <w:tcPr>
                  <w:tcW w:w="1458" w:type="pct"/>
                  <w:vAlign w:val="center"/>
                </w:tcPr>
                <w:p w14:paraId="1CD1E087">
                  <w:pPr>
                    <w:keepNext w:val="0"/>
                    <w:keepLines w:val="0"/>
                    <w:pageBreakBefore w:val="0"/>
                    <w:kinsoku/>
                    <w:wordWrap/>
                    <w:overflowPunct/>
                    <w:topLinePunct w:val="0"/>
                    <w:autoSpaceDE w:val="0"/>
                    <w:autoSpaceDN w:val="0"/>
                    <w:bidi w:val="0"/>
                    <w:adjustRightInd w:val="0"/>
                    <w:snapToGrid w:val="0"/>
                    <w:jc w:val="center"/>
                    <w:textAlignment w:val="auto"/>
                    <w:rPr>
                      <w:color w:val="auto"/>
                      <w:kern w:val="0"/>
                      <w:sz w:val="18"/>
                      <w:szCs w:val="18"/>
                    </w:rPr>
                  </w:pPr>
                  <w:r>
                    <w:rPr>
                      <w:color w:val="auto"/>
                      <w:kern w:val="0"/>
                      <w:sz w:val="18"/>
                      <w:szCs w:val="18"/>
                    </w:rPr>
                    <w:t>项目实施后将编制突发环境事件应急预案，对各类环境风险进行有效防控。</w:t>
                  </w:r>
                </w:p>
              </w:tc>
            </w:tr>
            <w:tr w14:paraId="6B3826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9" w:type="pct"/>
                  <w:vAlign w:val="center"/>
                </w:tcPr>
                <w:p w14:paraId="0FF54F10">
                  <w:pPr>
                    <w:pStyle w:val="8"/>
                    <w:keepNext w:val="0"/>
                    <w:keepLines w:val="0"/>
                    <w:pageBreakBefore w:val="0"/>
                    <w:kinsoku/>
                    <w:wordWrap/>
                    <w:overflowPunct/>
                    <w:topLinePunct w:val="0"/>
                    <w:bidi w:val="0"/>
                    <w:adjustRightInd w:val="0"/>
                    <w:snapToGrid w:val="0"/>
                    <w:spacing w:before="0" w:after="0" w:line="240" w:lineRule="auto"/>
                    <w:ind w:right="0"/>
                    <w:jc w:val="center"/>
                    <w:textAlignment w:val="auto"/>
                    <w:rPr>
                      <w:color w:val="auto"/>
                      <w:szCs w:val="18"/>
                    </w:rPr>
                  </w:pPr>
                  <w:r>
                    <w:rPr>
                      <w:color w:val="auto"/>
                      <w:szCs w:val="18"/>
                    </w:rPr>
                    <w:t>资源开发效率要求</w:t>
                  </w:r>
                </w:p>
              </w:tc>
              <w:tc>
                <w:tcPr>
                  <w:tcW w:w="3121" w:type="pct"/>
                  <w:vAlign w:val="center"/>
                </w:tcPr>
                <w:p w14:paraId="50E6E563">
                  <w:pPr>
                    <w:keepNext w:val="0"/>
                    <w:keepLines w:val="0"/>
                    <w:pageBreakBefore w:val="0"/>
                    <w:kinsoku/>
                    <w:wordWrap/>
                    <w:overflowPunct/>
                    <w:topLinePunct w:val="0"/>
                    <w:bidi w:val="0"/>
                    <w:adjustRightInd w:val="0"/>
                    <w:snapToGrid w:val="0"/>
                    <w:jc w:val="center"/>
                    <w:textAlignment w:val="auto"/>
                    <w:rPr>
                      <w:color w:val="auto"/>
                      <w:kern w:val="0"/>
                      <w:sz w:val="18"/>
                      <w:szCs w:val="18"/>
                    </w:rPr>
                  </w:pPr>
                  <w:r>
                    <w:rPr>
                      <w:color w:val="auto"/>
                      <w:kern w:val="0"/>
                      <w:sz w:val="18"/>
                      <w:szCs w:val="18"/>
                    </w:rPr>
                    <w:t>禁止销售使用燃料为“Ⅱ类”（较严），具体包括：（1）除单台出力大于等于20蒸吨/小时锅炉以外燃用的煤炭及其制品。（2）石油焦、油页岩、原油、重油、渣油、煤焦油。</w:t>
                  </w:r>
                </w:p>
              </w:tc>
              <w:tc>
                <w:tcPr>
                  <w:tcW w:w="1458" w:type="pct"/>
                  <w:vAlign w:val="center"/>
                </w:tcPr>
                <w:p w14:paraId="44FAF93B">
                  <w:pPr>
                    <w:keepNext w:val="0"/>
                    <w:keepLines w:val="0"/>
                    <w:pageBreakBefore w:val="0"/>
                    <w:kinsoku/>
                    <w:wordWrap/>
                    <w:overflowPunct/>
                    <w:topLinePunct w:val="0"/>
                    <w:autoSpaceDE w:val="0"/>
                    <w:autoSpaceDN w:val="0"/>
                    <w:bidi w:val="0"/>
                    <w:adjustRightInd w:val="0"/>
                    <w:snapToGrid w:val="0"/>
                    <w:jc w:val="center"/>
                    <w:textAlignment w:val="auto"/>
                    <w:rPr>
                      <w:color w:val="auto"/>
                      <w:kern w:val="0"/>
                      <w:sz w:val="18"/>
                      <w:szCs w:val="18"/>
                    </w:rPr>
                  </w:pPr>
                  <w:r>
                    <w:rPr>
                      <w:color w:val="auto"/>
                      <w:kern w:val="0"/>
                      <w:sz w:val="18"/>
                      <w:szCs w:val="18"/>
                    </w:rPr>
                    <w:t>本项目不使用“Ⅱ类”（较严）燃料，符合要求。</w:t>
                  </w:r>
                </w:p>
              </w:tc>
            </w:tr>
          </w:tbl>
          <w:p w14:paraId="6423FCF8">
            <w:pPr>
              <w:autoSpaceDE w:val="0"/>
              <w:autoSpaceDN w:val="0"/>
              <w:adjustRightInd w:val="0"/>
              <w:snapToGrid w:val="0"/>
              <w:spacing w:line="360" w:lineRule="auto"/>
              <w:ind w:firstLine="420" w:firstLineChars="200"/>
              <w:rPr>
                <w:color w:val="auto"/>
                <w:spacing w:val="6"/>
                <w:szCs w:val="21"/>
                <w:shd w:val="clear" w:color="auto" w:fill="FFFFFF"/>
              </w:rPr>
            </w:pPr>
            <w:r>
              <w:rPr>
                <w:color w:val="auto"/>
                <w:kern w:val="0"/>
                <w:szCs w:val="21"/>
              </w:rPr>
              <w:t>本项目运营期，</w:t>
            </w:r>
            <w:r>
              <w:rPr>
                <w:color w:val="auto"/>
                <w:spacing w:val="6"/>
                <w:szCs w:val="21"/>
                <w:shd w:val="clear" w:color="auto" w:fill="FFFFFF"/>
              </w:rPr>
              <w:t>生活污水经化粪池预处理后</w:t>
            </w:r>
            <w:r>
              <w:rPr>
                <w:rFonts w:hint="eastAsia"/>
                <w:color w:val="auto"/>
                <w:spacing w:val="6"/>
                <w:szCs w:val="21"/>
                <w:shd w:val="clear" w:color="auto" w:fill="FFFFFF"/>
                <w:lang w:eastAsia="zh-CN"/>
              </w:rPr>
              <w:t>、</w:t>
            </w:r>
            <w:r>
              <w:rPr>
                <w:rFonts w:hint="eastAsia"/>
                <w:color w:val="auto"/>
                <w:spacing w:val="6"/>
                <w:szCs w:val="21"/>
                <w:shd w:val="clear" w:color="auto" w:fill="FFFFFF"/>
                <w:lang w:val="en-US" w:eastAsia="zh-CN"/>
              </w:rPr>
              <w:t>后道清洗废水经厂区污水处理设施预处理后</w:t>
            </w:r>
            <w:r>
              <w:rPr>
                <w:color w:val="auto"/>
                <w:spacing w:val="6"/>
                <w:szCs w:val="21"/>
                <w:shd w:val="clear" w:color="auto" w:fill="FFFFFF"/>
              </w:rPr>
              <w:t>经市政污水管网排入</w:t>
            </w:r>
            <w:r>
              <w:rPr>
                <w:rFonts w:hint="eastAsia"/>
                <w:color w:val="auto"/>
                <w:spacing w:val="6"/>
                <w:szCs w:val="21"/>
                <w:shd w:val="clear" w:color="auto" w:fill="FFFFFF"/>
              </w:rPr>
              <w:t>海安李堡滇池水务有限公司</w:t>
            </w:r>
            <w:r>
              <w:rPr>
                <w:color w:val="auto"/>
                <w:spacing w:val="6"/>
                <w:szCs w:val="21"/>
                <w:shd w:val="clear" w:color="auto" w:fill="FFFFFF"/>
              </w:rPr>
              <w:t>集中处理；废气经有效处理后达标排放；设备运行噪声采取隔声减振措施后达标排放；固废实现零排放。运营期采取相应的污染防治措施后，各类污染物的排放不会改变区域环境功能区质量要求，能维持环境功能区质量现状。</w:t>
            </w:r>
          </w:p>
          <w:p w14:paraId="53ACB1CD">
            <w:pPr>
              <w:autoSpaceDE w:val="0"/>
              <w:autoSpaceDN w:val="0"/>
              <w:adjustRightInd w:val="0"/>
              <w:snapToGrid w:val="0"/>
              <w:spacing w:line="360" w:lineRule="auto"/>
              <w:ind w:firstLine="444" w:firstLineChars="200"/>
              <w:rPr>
                <w:color w:val="auto"/>
                <w:spacing w:val="6"/>
                <w:szCs w:val="21"/>
                <w:shd w:val="clear" w:color="auto" w:fill="FFFFFF"/>
              </w:rPr>
            </w:pPr>
            <w:r>
              <w:rPr>
                <w:color w:val="auto"/>
                <w:spacing w:val="6"/>
                <w:szCs w:val="21"/>
                <w:shd w:val="clear" w:color="auto" w:fill="FFFFFF"/>
              </w:rPr>
              <w:t>因此，本项目符合</w:t>
            </w:r>
            <w:r>
              <w:rPr>
                <w:rFonts w:hint="eastAsia"/>
                <w:color w:val="auto"/>
                <w:spacing w:val="6"/>
                <w:szCs w:val="21"/>
                <w:shd w:val="clear" w:color="auto" w:fill="FFFFFF"/>
              </w:rPr>
              <w:t>《江苏省2023年度生态环境分区管控动态更新成果》（2024年6月13日）、《南通市生态环境分区管控方案动态更新成果（2023年）》及《海安市“三线一单”生态环境分区管控实施方案》。</w:t>
            </w:r>
          </w:p>
          <w:p w14:paraId="232DDB0B">
            <w:pPr>
              <w:autoSpaceDE w:val="0"/>
              <w:autoSpaceDN w:val="0"/>
              <w:adjustRightInd w:val="0"/>
              <w:snapToGrid w:val="0"/>
              <w:spacing w:line="360" w:lineRule="auto"/>
              <w:ind w:firstLine="444" w:firstLineChars="200"/>
              <w:rPr>
                <w:color w:val="auto"/>
                <w:spacing w:val="6"/>
                <w:szCs w:val="21"/>
                <w:shd w:val="clear" w:color="auto" w:fill="FFFFFF"/>
              </w:rPr>
            </w:pPr>
            <w:r>
              <w:rPr>
                <w:color w:val="auto"/>
                <w:spacing w:val="6"/>
                <w:szCs w:val="21"/>
                <w:shd w:val="clear" w:color="auto" w:fill="FFFFFF"/>
              </w:rPr>
              <w:t>综上所述，项目的建设符合“三线一单”要求。</w:t>
            </w:r>
          </w:p>
          <w:p w14:paraId="3138F91B">
            <w:pPr>
              <w:autoSpaceDE w:val="0"/>
              <w:autoSpaceDN w:val="0"/>
              <w:adjustRightInd w:val="0"/>
              <w:snapToGrid w:val="0"/>
              <w:spacing w:line="360" w:lineRule="auto"/>
              <w:ind w:firstLine="446" w:firstLineChars="200"/>
              <w:rPr>
                <w:color w:val="auto"/>
                <w:spacing w:val="6"/>
                <w:szCs w:val="21"/>
                <w:shd w:val="clear" w:color="auto" w:fill="FFFFFF"/>
              </w:rPr>
            </w:pPr>
            <w:r>
              <w:rPr>
                <w:b/>
                <w:bCs/>
                <w:color w:val="auto"/>
                <w:spacing w:val="6"/>
                <w:szCs w:val="21"/>
                <w:shd w:val="clear" w:color="auto" w:fill="FFFFFF"/>
              </w:rPr>
              <w:t>3.</w:t>
            </w:r>
            <w:r>
              <w:rPr>
                <w:b/>
                <w:bCs/>
                <w:color w:val="auto"/>
                <w:szCs w:val="21"/>
              </w:rPr>
              <w:t xml:space="preserve"> </w:t>
            </w:r>
            <w:r>
              <w:rPr>
                <w:b/>
                <w:bCs/>
                <w:color w:val="auto"/>
                <w:spacing w:val="6"/>
                <w:szCs w:val="21"/>
                <w:shd w:val="clear" w:color="auto" w:fill="FFFFFF"/>
              </w:rPr>
              <w:t>与《关于加强高耗能、高排放建设项目生态环境源头防控</w:t>
            </w:r>
            <w:r>
              <w:rPr>
                <w:rFonts w:hint="eastAsia"/>
                <w:b/>
                <w:bCs/>
                <w:color w:val="auto"/>
                <w:spacing w:val="6"/>
                <w:szCs w:val="21"/>
                <w:shd w:val="clear" w:color="auto" w:fill="FFFFFF"/>
                <w:lang w:val="en-US" w:eastAsia="zh-CN"/>
              </w:rPr>
              <w:t>的指导</w:t>
            </w:r>
            <w:r>
              <w:rPr>
                <w:b/>
                <w:bCs/>
                <w:color w:val="auto"/>
                <w:spacing w:val="6"/>
                <w:szCs w:val="21"/>
                <w:shd w:val="clear" w:color="auto" w:fill="FFFFFF"/>
              </w:rPr>
              <w:t>意见》（环环评</w:t>
            </w:r>
            <w:r>
              <w:rPr>
                <w:rFonts w:hint="eastAsia"/>
                <w:b/>
                <w:bCs/>
                <w:color w:val="auto"/>
                <w:spacing w:val="6"/>
                <w:szCs w:val="21"/>
                <w:shd w:val="clear" w:color="auto" w:fill="FFFFFF"/>
              </w:rPr>
              <w:t>〔2021〕45号</w:t>
            </w:r>
            <w:r>
              <w:rPr>
                <w:b/>
                <w:bCs/>
                <w:color w:val="auto"/>
                <w:spacing w:val="6"/>
                <w:szCs w:val="21"/>
                <w:shd w:val="clear" w:color="auto" w:fill="FFFFFF"/>
              </w:rPr>
              <w:t>）相符性分析</w:t>
            </w:r>
          </w:p>
          <w:p w14:paraId="71B95EEA">
            <w:pPr>
              <w:autoSpaceDE w:val="0"/>
              <w:autoSpaceDN w:val="0"/>
              <w:adjustRightInd w:val="0"/>
              <w:snapToGrid w:val="0"/>
              <w:spacing w:line="360" w:lineRule="auto"/>
              <w:ind w:firstLine="444" w:firstLineChars="200"/>
              <w:rPr>
                <w:color w:val="auto"/>
                <w:spacing w:val="6"/>
                <w:szCs w:val="21"/>
                <w:shd w:val="clear" w:color="auto" w:fill="FFFFFF"/>
              </w:rPr>
            </w:pPr>
            <w:r>
              <w:rPr>
                <w:rFonts w:hint="eastAsia"/>
                <w:color w:val="auto"/>
                <w:spacing w:val="6"/>
                <w:szCs w:val="21"/>
                <w:shd w:val="clear" w:color="auto" w:fill="FFFFFF"/>
              </w:rPr>
              <w:t>对照《关于加强高耗能、高排放建设项目生态环境源头防控的指导意见》（环环评﹝2021﹞45 号），“两高”项目暂按煤电、石化、化工、钢铁、有色金属冶炼、建材等六个行业类别统计，后续对“两高”范围国家如有明确规定的，从其规定。</w:t>
            </w:r>
            <w:r>
              <w:rPr>
                <w:color w:val="auto"/>
                <w:spacing w:val="6"/>
                <w:szCs w:val="21"/>
                <w:shd w:val="clear" w:color="auto" w:fill="FFFFFF"/>
              </w:rPr>
              <w:t>本项目为</w:t>
            </w:r>
            <w:r>
              <w:rPr>
                <w:rFonts w:hint="eastAsia"/>
                <w:color w:val="auto"/>
                <w:spacing w:val="6"/>
                <w:szCs w:val="21"/>
                <w:shd w:val="clear" w:color="auto" w:fill="FFFFFF"/>
              </w:rPr>
              <w:t>工程和技术研究和试验发展</w:t>
            </w:r>
            <w:r>
              <w:rPr>
                <w:color w:val="auto"/>
                <w:spacing w:val="6"/>
                <w:szCs w:val="21"/>
                <w:shd w:val="clear" w:color="auto" w:fill="FFFFFF"/>
              </w:rPr>
              <w:t>，不属于高耗能高排放环节投资项目。</w:t>
            </w:r>
          </w:p>
          <w:p w14:paraId="6F7B3C9A">
            <w:pPr>
              <w:autoSpaceDE w:val="0"/>
              <w:autoSpaceDN w:val="0"/>
              <w:adjustRightInd w:val="0"/>
              <w:snapToGrid w:val="0"/>
              <w:spacing w:line="360" w:lineRule="auto"/>
              <w:ind w:firstLine="446" w:firstLineChars="200"/>
              <w:rPr>
                <w:b/>
                <w:bCs/>
                <w:color w:val="auto"/>
                <w:spacing w:val="6"/>
                <w:szCs w:val="21"/>
                <w:shd w:val="clear" w:color="auto" w:fill="FFFFFF"/>
              </w:rPr>
            </w:pPr>
            <w:r>
              <w:rPr>
                <w:b/>
                <w:bCs/>
                <w:color w:val="auto"/>
                <w:spacing w:val="6"/>
                <w:szCs w:val="21"/>
                <w:shd w:val="clear" w:color="auto" w:fill="FFFFFF"/>
              </w:rPr>
              <w:t>4.与《江苏省通榆河水污染防治条例》相符性</w:t>
            </w:r>
          </w:p>
          <w:p w14:paraId="65D0DB0D">
            <w:pPr>
              <w:autoSpaceDE w:val="0"/>
              <w:autoSpaceDN w:val="0"/>
              <w:adjustRightInd w:val="0"/>
              <w:snapToGrid w:val="0"/>
              <w:spacing w:line="360" w:lineRule="auto"/>
              <w:ind w:firstLine="444" w:firstLineChars="200"/>
              <w:rPr>
                <w:b/>
                <w:bCs/>
                <w:color w:val="auto"/>
                <w:spacing w:val="6"/>
                <w:szCs w:val="21"/>
                <w:shd w:val="clear" w:color="auto" w:fill="FFFFFF"/>
              </w:rPr>
            </w:pPr>
            <w:r>
              <w:rPr>
                <w:bCs/>
                <w:color w:val="auto"/>
                <w:spacing w:val="6"/>
                <w:szCs w:val="21"/>
                <w:shd w:val="clear" w:color="auto" w:fill="FFFFFF"/>
              </w:rPr>
              <w:t>项目位于</w:t>
            </w:r>
            <w:r>
              <w:rPr>
                <w:rFonts w:hint="eastAsia"/>
                <w:bCs/>
                <w:color w:val="auto"/>
                <w:spacing w:val="6"/>
                <w:szCs w:val="21"/>
                <w:shd w:val="clear" w:color="auto" w:fill="FFFFFF"/>
              </w:rPr>
              <w:t>江苏省南通市海安市李堡镇富庄村7组（江海路23号）</w:t>
            </w:r>
            <w:r>
              <w:rPr>
                <w:bCs/>
                <w:color w:val="auto"/>
                <w:spacing w:val="6"/>
                <w:szCs w:val="21"/>
                <w:shd w:val="clear" w:color="auto" w:fill="FFFFFF"/>
              </w:rPr>
              <w:t>，所在地周边主要地表水体为</w:t>
            </w:r>
            <w:r>
              <w:rPr>
                <w:rFonts w:hint="eastAsia"/>
                <w:bCs/>
                <w:color w:val="auto"/>
                <w:spacing w:val="6"/>
                <w:szCs w:val="21"/>
                <w:shd w:val="clear" w:color="auto" w:fill="FFFFFF"/>
              </w:rPr>
              <w:t>丁堡河</w:t>
            </w:r>
            <w:r>
              <w:rPr>
                <w:bCs/>
                <w:color w:val="auto"/>
                <w:spacing w:val="6"/>
                <w:szCs w:val="21"/>
                <w:shd w:val="clear" w:color="auto" w:fill="FFFFFF"/>
              </w:rPr>
              <w:t>（</w:t>
            </w:r>
            <w:r>
              <w:rPr>
                <w:rFonts w:hint="eastAsia"/>
                <w:bCs/>
                <w:color w:val="auto"/>
                <w:spacing w:val="6"/>
                <w:szCs w:val="21"/>
                <w:shd w:val="clear" w:color="auto" w:fill="FFFFFF"/>
              </w:rPr>
              <w:t>E</w:t>
            </w:r>
            <w:r>
              <w:rPr>
                <w:bCs/>
                <w:color w:val="auto"/>
                <w:spacing w:val="6"/>
                <w:szCs w:val="21"/>
                <w:shd w:val="clear" w:color="auto" w:fill="FFFFFF"/>
              </w:rPr>
              <w:t>，</w:t>
            </w:r>
            <w:r>
              <w:rPr>
                <w:rFonts w:hint="eastAsia"/>
                <w:bCs/>
                <w:color w:val="auto"/>
                <w:spacing w:val="6"/>
                <w:szCs w:val="21"/>
                <w:shd w:val="clear" w:color="auto" w:fill="FFFFFF"/>
              </w:rPr>
              <w:t>413</w:t>
            </w:r>
            <w:r>
              <w:rPr>
                <w:bCs/>
                <w:color w:val="auto"/>
                <w:spacing w:val="6"/>
                <w:szCs w:val="21"/>
                <w:shd w:val="clear" w:color="auto" w:fill="FFFFFF"/>
              </w:rPr>
              <w:t>m），项目所在地不在通榆河一级、二级、三级保护区内，因此本项目符合《江苏省通榆河水污染防治条例》。</w:t>
            </w:r>
          </w:p>
          <w:p w14:paraId="18706C59">
            <w:pPr>
              <w:autoSpaceDE w:val="0"/>
              <w:autoSpaceDN w:val="0"/>
              <w:adjustRightInd w:val="0"/>
              <w:snapToGrid w:val="0"/>
              <w:spacing w:line="360" w:lineRule="auto"/>
              <w:ind w:firstLine="446" w:firstLineChars="200"/>
              <w:rPr>
                <w:color w:val="auto"/>
                <w:spacing w:val="6"/>
                <w:szCs w:val="21"/>
                <w:shd w:val="clear" w:color="auto" w:fill="FFFFFF"/>
              </w:rPr>
            </w:pPr>
            <w:r>
              <w:rPr>
                <w:b/>
                <w:bCs/>
                <w:color w:val="auto"/>
                <w:spacing w:val="6"/>
                <w:szCs w:val="21"/>
                <w:shd w:val="clear" w:color="auto" w:fill="FFFFFF"/>
              </w:rPr>
              <w:t>5.与《环境保护综合名录》（2021版）相符性分析</w:t>
            </w:r>
          </w:p>
          <w:p w14:paraId="2BF95804">
            <w:pPr>
              <w:autoSpaceDE w:val="0"/>
              <w:autoSpaceDN w:val="0"/>
              <w:adjustRightInd w:val="0"/>
              <w:snapToGrid w:val="0"/>
              <w:spacing w:line="360" w:lineRule="auto"/>
              <w:ind w:firstLine="444" w:firstLineChars="200"/>
              <w:rPr>
                <w:color w:val="auto"/>
                <w:spacing w:val="6"/>
                <w:szCs w:val="21"/>
                <w:shd w:val="clear" w:color="auto" w:fill="FFFFFF"/>
              </w:rPr>
            </w:pPr>
            <w:r>
              <w:rPr>
                <w:color w:val="auto"/>
                <w:spacing w:val="6"/>
                <w:szCs w:val="21"/>
                <w:shd w:val="clear" w:color="auto" w:fill="FFFFFF"/>
              </w:rPr>
              <w:t>建设项目为</w:t>
            </w:r>
            <w:r>
              <w:rPr>
                <w:rFonts w:hint="eastAsia"/>
                <w:color w:val="auto"/>
                <w:spacing w:val="6"/>
                <w:szCs w:val="21"/>
                <w:shd w:val="clear" w:color="auto" w:fill="FFFFFF"/>
              </w:rPr>
              <w:t>标准物质研发中心建设项目</w:t>
            </w:r>
            <w:r>
              <w:rPr>
                <w:color w:val="auto"/>
                <w:kern w:val="0"/>
                <w:szCs w:val="21"/>
              </w:rPr>
              <w:t>，行业类别为</w:t>
            </w:r>
            <w:r>
              <w:rPr>
                <w:rFonts w:hint="eastAsia"/>
                <w:color w:val="auto"/>
                <w:spacing w:val="6"/>
                <w:szCs w:val="21"/>
                <w:shd w:val="clear" w:color="auto" w:fill="FFFFFF"/>
              </w:rPr>
              <w:t>M7320工程和技术研究和试验发展</w:t>
            </w:r>
            <w:r>
              <w:rPr>
                <w:color w:val="auto"/>
                <w:kern w:val="0"/>
                <w:szCs w:val="21"/>
              </w:rPr>
              <w:t>，</w:t>
            </w:r>
            <w:r>
              <w:rPr>
                <w:color w:val="auto"/>
                <w:spacing w:val="6"/>
                <w:szCs w:val="21"/>
                <w:shd w:val="clear" w:color="auto" w:fill="FFFFFF"/>
              </w:rPr>
              <w:t>对照《环境保护综合名录》（2021版），项目不属于《环境保护综合名录》（2021版）中的“高污染、高环境风险”产品。因此，本项目符合《环境保护综合名录》（2021版）的相关要求。</w:t>
            </w:r>
          </w:p>
          <w:p w14:paraId="17B26873">
            <w:pPr>
              <w:autoSpaceDE w:val="0"/>
              <w:autoSpaceDN w:val="0"/>
              <w:adjustRightInd w:val="0"/>
              <w:snapToGrid w:val="0"/>
              <w:spacing w:line="360" w:lineRule="auto"/>
              <w:ind w:firstLine="446" w:firstLineChars="200"/>
              <w:rPr>
                <w:b/>
                <w:bCs/>
                <w:color w:val="auto"/>
                <w:spacing w:val="6"/>
                <w:szCs w:val="21"/>
                <w:shd w:val="clear" w:color="auto" w:fill="FFFFFF"/>
              </w:rPr>
            </w:pPr>
            <w:r>
              <w:rPr>
                <w:rFonts w:hint="eastAsia"/>
                <w:b/>
                <w:bCs/>
                <w:color w:val="auto"/>
                <w:spacing w:val="6"/>
                <w:szCs w:val="21"/>
                <w:shd w:val="clear" w:color="auto" w:fill="FFFFFF"/>
              </w:rPr>
              <w:t>6</w:t>
            </w:r>
            <w:r>
              <w:rPr>
                <w:b/>
                <w:bCs/>
                <w:color w:val="auto"/>
                <w:spacing w:val="6"/>
                <w:szCs w:val="21"/>
                <w:shd w:val="clear" w:color="auto" w:fill="FFFFFF"/>
              </w:rPr>
              <w:t>.与</w:t>
            </w:r>
            <w:r>
              <w:rPr>
                <w:rFonts w:hint="eastAsia"/>
                <w:b/>
                <w:bCs/>
                <w:color w:val="auto"/>
                <w:spacing w:val="6"/>
                <w:szCs w:val="21"/>
                <w:shd w:val="clear" w:color="auto" w:fill="FFFFFF"/>
              </w:rPr>
              <w:t>《南通市关于加强减污降碳协同推进重点行业绿色发展的指导意见》（通办〔2024〕6号）的相符性分析</w:t>
            </w:r>
          </w:p>
          <w:p w14:paraId="325DB2D5">
            <w:pPr>
              <w:autoSpaceDE w:val="0"/>
              <w:autoSpaceDN w:val="0"/>
              <w:adjustRightInd w:val="0"/>
              <w:snapToGrid w:val="0"/>
              <w:spacing w:line="360" w:lineRule="auto"/>
              <w:ind w:firstLine="444" w:firstLineChars="200"/>
              <w:rPr>
                <w:color w:val="auto"/>
                <w:spacing w:val="6"/>
                <w:szCs w:val="21"/>
                <w:shd w:val="clear" w:color="auto" w:fill="FFFFFF"/>
              </w:rPr>
            </w:pPr>
            <w:r>
              <w:rPr>
                <w:color w:val="auto"/>
                <w:spacing w:val="6"/>
                <w:szCs w:val="21"/>
                <w:shd w:val="clear" w:color="auto" w:fill="FFFFFF"/>
              </w:rPr>
              <w:t>建设项目为</w:t>
            </w:r>
            <w:r>
              <w:rPr>
                <w:rFonts w:hint="eastAsia"/>
                <w:color w:val="auto"/>
                <w:kern w:val="0"/>
                <w:szCs w:val="21"/>
              </w:rPr>
              <w:t>标准物质研发中心建设项目</w:t>
            </w:r>
            <w:r>
              <w:rPr>
                <w:color w:val="auto"/>
                <w:kern w:val="0"/>
                <w:szCs w:val="21"/>
              </w:rPr>
              <w:t>，行业类别为</w:t>
            </w:r>
            <w:r>
              <w:rPr>
                <w:rFonts w:hint="eastAsia"/>
                <w:color w:val="auto"/>
                <w:spacing w:val="6"/>
                <w:szCs w:val="21"/>
                <w:shd w:val="clear" w:color="auto" w:fill="FFFFFF"/>
              </w:rPr>
              <w:t>M7320工程和技术研究和试验发展</w:t>
            </w:r>
            <w:r>
              <w:rPr>
                <w:color w:val="auto"/>
                <w:kern w:val="0"/>
                <w:szCs w:val="21"/>
              </w:rPr>
              <w:t>，</w:t>
            </w:r>
            <w:r>
              <w:rPr>
                <w:color w:val="auto"/>
                <w:spacing w:val="6"/>
                <w:szCs w:val="21"/>
                <w:shd w:val="clear" w:color="auto" w:fill="FFFFFF"/>
              </w:rPr>
              <w:t>对照</w:t>
            </w:r>
            <w:r>
              <w:rPr>
                <w:rFonts w:hint="eastAsia"/>
                <w:color w:val="auto"/>
                <w:spacing w:val="6"/>
                <w:szCs w:val="21"/>
                <w:shd w:val="clear" w:color="auto" w:fill="FFFFFF"/>
              </w:rPr>
              <w:t>《南通市关于加强减污降碳协同推进重点行业绿色发展的指导意见》（通办〔2024〕6号）</w:t>
            </w:r>
            <w:r>
              <w:rPr>
                <w:color w:val="auto"/>
                <w:spacing w:val="6"/>
                <w:szCs w:val="21"/>
                <w:shd w:val="clear" w:color="auto" w:fill="FFFFFF"/>
              </w:rPr>
              <w:t>，本项目不属于其中“分行业目标”中的行业，因此，本项目符合</w:t>
            </w:r>
            <w:r>
              <w:rPr>
                <w:rFonts w:hint="eastAsia"/>
                <w:color w:val="auto"/>
                <w:spacing w:val="6"/>
                <w:szCs w:val="21"/>
                <w:shd w:val="clear" w:color="auto" w:fill="FFFFFF"/>
              </w:rPr>
              <w:t>《南通市关于加强减污降碳协同推进重点行业绿色发展的指导意见》（通办〔2024〕6号）的</w:t>
            </w:r>
            <w:r>
              <w:rPr>
                <w:color w:val="auto"/>
                <w:spacing w:val="6"/>
                <w:szCs w:val="21"/>
                <w:shd w:val="clear" w:color="auto" w:fill="FFFFFF"/>
              </w:rPr>
              <w:t>要求。</w:t>
            </w:r>
          </w:p>
          <w:p w14:paraId="4FA271EA">
            <w:pPr>
              <w:pStyle w:val="83"/>
              <w:numPr>
                <w:ilvl w:val="0"/>
                <w:numId w:val="0"/>
              </w:numPr>
              <w:ind w:firstLine="444" w:firstLineChars="200"/>
              <w:rPr>
                <w:color w:val="auto"/>
                <w:spacing w:val="6"/>
                <w:sz w:val="21"/>
                <w:szCs w:val="21"/>
                <w:shd w:val="clear" w:color="auto" w:fill="FFFFFF"/>
              </w:rPr>
            </w:pPr>
            <w:r>
              <w:rPr>
                <w:rFonts w:hint="eastAsia"/>
                <w:b w:val="0"/>
                <w:bCs w:val="0"/>
                <w:color w:val="auto"/>
                <w:spacing w:val="6"/>
                <w:sz w:val="21"/>
                <w:szCs w:val="21"/>
                <w:shd w:val="clear" w:color="auto" w:fill="FFFFFF"/>
              </w:rPr>
              <w:t>7</w:t>
            </w:r>
            <w:r>
              <w:rPr>
                <w:color w:val="auto"/>
                <w:spacing w:val="6"/>
                <w:sz w:val="21"/>
                <w:szCs w:val="21"/>
                <w:shd w:val="clear" w:color="auto" w:fill="FFFFFF"/>
              </w:rPr>
              <w:t>.</w:t>
            </w:r>
            <w:r>
              <w:rPr>
                <w:rFonts w:hint="eastAsia"/>
                <w:color w:val="auto"/>
                <w:spacing w:val="6"/>
                <w:sz w:val="21"/>
                <w:szCs w:val="21"/>
                <w:shd w:val="clear" w:color="auto" w:fill="FFFFFF"/>
              </w:rPr>
              <w:t xml:space="preserve">与《市委办公室市政府办公室关于印发海安市推进重点行业绿色发实施方案的通知》（海办〔2021〕116号）相符性分析 </w:t>
            </w:r>
          </w:p>
          <w:p w14:paraId="25F9045D">
            <w:pPr>
              <w:pStyle w:val="83"/>
              <w:numPr>
                <w:ilvl w:val="0"/>
                <w:numId w:val="0"/>
              </w:numPr>
              <w:ind w:firstLine="444" w:firstLineChars="200"/>
              <w:rPr>
                <w:b w:val="0"/>
                <w:bCs w:val="0"/>
                <w:color w:val="auto"/>
                <w:spacing w:val="6"/>
                <w:sz w:val="21"/>
                <w:szCs w:val="21"/>
                <w:shd w:val="clear" w:color="auto" w:fill="FFFFFF"/>
              </w:rPr>
            </w:pPr>
            <w:r>
              <w:rPr>
                <w:rFonts w:hint="eastAsia"/>
                <w:b w:val="0"/>
                <w:bCs w:val="0"/>
                <w:color w:val="auto"/>
                <w:spacing w:val="6"/>
                <w:sz w:val="21"/>
                <w:szCs w:val="21"/>
                <w:shd w:val="clear" w:color="auto" w:fill="FFFFFF"/>
              </w:rPr>
              <w:t>根据《市委办公室市政府办公室关于印发海安市推进重点行业绿色发实施方案的通知》（海办〔2021〕116号）中的任务内容：推动</w:t>
            </w:r>
            <w:r>
              <w:rPr>
                <w:b w:val="0"/>
                <w:bCs w:val="0"/>
                <w:color w:val="auto"/>
                <w:spacing w:val="6"/>
                <w:sz w:val="21"/>
                <w:szCs w:val="21"/>
                <w:shd w:val="clear" w:color="auto" w:fill="FFFFFF"/>
              </w:rPr>
              <w:t>9</w:t>
            </w:r>
            <w:r>
              <w:rPr>
                <w:rFonts w:hint="eastAsia"/>
                <w:b w:val="0"/>
                <w:bCs w:val="0"/>
                <w:color w:val="auto"/>
                <w:spacing w:val="6"/>
                <w:sz w:val="21"/>
                <w:szCs w:val="21"/>
                <w:shd w:val="clear" w:color="auto" w:fill="FFFFFF"/>
              </w:rPr>
              <w:t>个重点行业工艺、装备、清洁生产水平基本达到国际、国内先进水平。本项目属于M7320工程和技术研究和试验发展，不属于文件中所列重点行业，本项目实验研发和检测工序产生的有机废气经</w:t>
            </w:r>
            <w:r>
              <w:rPr>
                <w:b w:val="0"/>
                <w:bCs w:val="0"/>
                <w:color w:val="auto"/>
                <w:spacing w:val="6"/>
                <w:sz w:val="21"/>
                <w:szCs w:val="21"/>
                <w:shd w:val="clear" w:color="auto" w:fill="FFFFFF"/>
              </w:rPr>
              <w:t>“</w:t>
            </w:r>
            <w:r>
              <w:rPr>
                <w:rFonts w:hint="eastAsia"/>
                <w:b w:val="0"/>
                <w:bCs w:val="0"/>
                <w:color w:val="auto"/>
                <w:spacing w:val="6"/>
                <w:sz w:val="21"/>
                <w:szCs w:val="21"/>
                <w:shd w:val="clear" w:color="auto" w:fill="FFFFFF"/>
              </w:rPr>
              <w:t>水喷淋+除雾器+二级活性炭吸附装置</w:t>
            </w:r>
            <w:r>
              <w:rPr>
                <w:b w:val="0"/>
                <w:bCs w:val="0"/>
                <w:color w:val="auto"/>
                <w:spacing w:val="6"/>
                <w:sz w:val="21"/>
                <w:szCs w:val="21"/>
                <w:shd w:val="clear" w:color="auto" w:fill="FFFFFF"/>
              </w:rPr>
              <w:t>”</w:t>
            </w:r>
            <w:r>
              <w:rPr>
                <w:rFonts w:hint="eastAsia"/>
                <w:b w:val="0"/>
                <w:bCs w:val="0"/>
                <w:color w:val="auto"/>
                <w:spacing w:val="6"/>
                <w:sz w:val="21"/>
                <w:szCs w:val="21"/>
                <w:shd w:val="clear" w:color="auto" w:fill="FFFFFF"/>
              </w:rPr>
              <w:t>收集处理后有组织排放、危废库贮存废气经</w:t>
            </w:r>
            <w:r>
              <w:rPr>
                <w:b w:val="0"/>
                <w:bCs w:val="0"/>
                <w:color w:val="auto"/>
                <w:spacing w:val="6"/>
                <w:sz w:val="21"/>
                <w:szCs w:val="21"/>
                <w:shd w:val="clear" w:color="auto" w:fill="FFFFFF"/>
              </w:rPr>
              <w:t>“</w:t>
            </w:r>
            <w:r>
              <w:rPr>
                <w:rFonts w:hint="eastAsia"/>
                <w:b w:val="0"/>
                <w:bCs w:val="0"/>
                <w:color w:val="auto"/>
                <w:spacing w:val="6"/>
                <w:sz w:val="21"/>
                <w:szCs w:val="21"/>
                <w:shd w:val="clear" w:color="auto" w:fill="FFFFFF"/>
              </w:rPr>
              <w:t>活性炭吸附装置</w:t>
            </w:r>
            <w:r>
              <w:rPr>
                <w:b w:val="0"/>
                <w:bCs w:val="0"/>
                <w:color w:val="auto"/>
                <w:spacing w:val="6"/>
                <w:sz w:val="21"/>
                <w:szCs w:val="21"/>
                <w:shd w:val="clear" w:color="auto" w:fill="FFFFFF"/>
              </w:rPr>
              <w:t>”</w:t>
            </w:r>
            <w:r>
              <w:rPr>
                <w:rFonts w:hint="eastAsia"/>
                <w:b w:val="0"/>
                <w:bCs w:val="0"/>
                <w:color w:val="auto"/>
                <w:spacing w:val="6"/>
                <w:sz w:val="21"/>
                <w:szCs w:val="21"/>
                <w:shd w:val="clear" w:color="auto" w:fill="FFFFFF"/>
              </w:rPr>
              <w:t>收集处理后有组织排放，符合《市委办公室市政府办公室关于印发海安市推进重点行业绿色发实施方案的通知》（海办〔</w:t>
            </w:r>
            <w:r>
              <w:rPr>
                <w:b w:val="0"/>
                <w:bCs w:val="0"/>
                <w:color w:val="auto"/>
                <w:spacing w:val="6"/>
                <w:sz w:val="21"/>
                <w:szCs w:val="21"/>
                <w:shd w:val="clear" w:color="auto" w:fill="FFFFFF"/>
              </w:rPr>
              <w:t>2021</w:t>
            </w:r>
            <w:r>
              <w:rPr>
                <w:rFonts w:hint="eastAsia"/>
                <w:b w:val="0"/>
                <w:bCs w:val="0"/>
                <w:color w:val="auto"/>
                <w:spacing w:val="6"/>
                <w:sz w:val="21"/>
                <w:szCs w:val="21"/>
                <w:shd w:val="clear" w:color="auto" w:fill="FFFFFF"/>
              </w:rPr>
              <w:t>〕</w:t>
            </w:r>
            <w:r>
              <w:rPr>
                <w:b w:val="0"/>
                <w:bCs w:val="0"/>
                <w:color w:val="auto"/>
                <w:spacing w:val="6"/>
                <w:sz w:val="21"/>
                <w:szCs w:val="21"/>
                <w:shd w:val="clear" w:color="auto" w:fill="FFFFFF"/>
              </w:rPr>
              <w:t>116</w:t>
            </w:r>
            <w:r>
              <w:rPr>
                <w:rFonts w:hint="eastAsia"/>
                <w:b w:val="0"/>
                <w:bCs w:val="0"/>
                <w:color w:val="auto"/>
                <w:spacing w:val="6"/>
                <w:sz w:val="21"/>
                <w:szCs w:val="21"/>
                <w:shd w:val="clear" w:color="auto" w:fill="FFFFFF"/>
              </w:rPr>
              <w:t>号）的要求。</w:t>
            </w:r>
          </w:p>
          <w:p w14:paraId="5D291BE8">
            <w:pPr>
              <w:pStyle w:val="83"/>
              <w:numPr>
                <w:ilvl w:val="0"/>
                <w:numId w:val="0"/>
              </w:numPr>
              <w:ind w:firstLine="422" w:firstLineChars="200"/>
              <w:rPr>
                <w:color w:val="auto"/>
                <w:sz w:val="21"/>
                <w:szCs w:val="21"/>
              </w:rPr>
            </w:pPr>
            <w:r>
              <w:rPr>
                <w:rFonts w:hint="eastAsia"/>
                <w:color w:val="auto"/>
                <w:sz w:val="21"/>
                <w:szCs w:val="21"/>
              </w:rPr>
              <w:t>8.</w:t>
            </w:r>
            <w:r>
              <w:rPr>
                <w:color w:val="auto"/>
                <w:sz w:val="21"/>
                <w:szCs w:val="21"/>
              </w:rPr>
              <w:t>与《关于进一步促进全市乡镇工业集聚区高质量发展的实施意见》（通政办发〔2022〕70号）相符性分析</w:t>
            </w:r>
          </w:p>
          <w:p w14:paraId="0D206EFF">
            <w:pPr>
              <w:pStyle w:val="87"/>
              <w:ind w:firstLine="420"/>
              <w:rPr>
                <w:color w:val="auto"/>
                <w:szCs w:val="21"/>
              </w:rPr>
            </w:pPr>
            <w:r>
              <w:rPr>
                <w:color w:val="auto"/>
                <w:szCs w:val="21"/>
              </w:rPr>
              <w:t>根据文件：四、规范项目审批。各地新建项目一律进入开发区（园区）和集聚区，按照管理权限履行好审批手续。改（扩）建项目原则上进入开发区（园区）和集聚区，确需在原厂区范围内改（扩）建的，须经属地县级政府“一企一策”专题研究同意，项目审批时要加强联动统筹和信息互通，严格做好环评、能评、安评、稳评等审查。对“两高”及列入安全整治、环保督查等名单，不符合发展要求的企业项目一律不予审批。</w:t>
            </w:r>
          </w:p>
          <w:p w14:paraId="304EECB4">
            <w:pPr>
              <w:autoSpaceDE w:val="0"/>
              <w:autoSpaceDN w:val="0"/>
              <w:adjustRightInd w:val="0"/>
              <w:snapToGrid w:val="0"/>
              <w:spacing w:line="360" w:lineRule="auto"/>
              <w:ind w:firstLine="420" w:firstLineChars="200"/>
              <w:rPr>
                <w:b/>
                <w:bCs/>
                <w:color w:val="auto"/>
                <w:spacing w:val="6"/>
                <w:szCs w:val="21"/>
                <w:shd w:val="clear" w:color="auto" w:fill="FFFFFF"/>
              </w:rPr>
            </w:pPr>
            <w:r>
              <w:rPr>
                <w:color w:val="auto"/>
                <w:szCs w:val="21"/>
              </w:rPr>
              <w:t>本项目位于</w:t>
            </w:r>
            <w:r>
              <w:rPr>
                <w:rFonts w:hint="eastAsia"/>
                <w:color w:val="auto"/>
                <w:szCs w:val="21"/>
              </w:rPr>
              <w:t>海安锻压机械产业园</w:t>
            </w:r>
            <w:r>
              <w:rPr>
                <w:color w:val="auto"/>
                <w:szCs w:val="21"/>
              </w:rPr>
              <w:t>内，符合区域规划要求，不属于“两高”项目，按要求落实办理环评手续，项目建设符合文件要求。</w:t>
            </w:r>
          </w:p>
          <w:p w14:paraId="5EDB747B">
            <w:pPr>
              <w:autoSpaceDE w:val="0"/>
              <w:autoSpaceDN w:val="0"/>
              <w:adjustRightInd w:val="0"/>
              <w:snapToGrid w:val="0"/>
              <w:spacing w:line="360" w:lineRule="auto"/>
              <w:ind w:firstLine="446" w:firstLineChars="200"/>
              <w:rPr>
                <w:b/>
                <w:bCs/>
                <w:color w:val="auto"/>
                <w:spacing w:val="6"/>
                <w:szCs w:val="21"/>
                <w:shd w:val="clear" w:color="auto" w:fill="FFFFFF"/>
              </w:rPr>
            </w:pPr>
            <w:r>
              <w:rPr>
                <w:rFonts w:hint="eastAsia"/>
                <w:b/>
                <w:bCs/>
                <w:color w:val="auto"/>
                <w:spacing w:val="6"/>
                <w:szCs w:val="21"/>
                <w:shd w:val="clear" w:color="auto" w:fill="FFFFFF"/>
              </w:rPr>
              <w:t>9.与《海安市国土空间总体规划（2021-2035年）》及批复（苏政复〔2023〕43号）的相符性分析</w:t>
            </w:r>
          </w:p>
          <w:p w14:paraId="24106A47">
            <w:pPr>
              <w:autoSpaceDE w:val="0"/>
              <w:autoSpaceDN w:val="0"/>
              <w:adjustRightInd w:val="0"/>
              <w:snapToGrid w:val="0"/>
              <w:spacing w:line="360" w:lineRule="auto"/>
              <w:ind w:firstLine="444" w:firstLineChars="200"/>
              <w:rPr>
                <w:color w:val="auto"/>
                <w:spacing w:val="6"/>
                <w:szCs w:val="21"/>
                <w:shd w:val="clear" w:color="auto" w:fill="FFFFFF"/>
              </w:rPr>
            </w:pPr>
            <w:r>
              <w:rPr>
                <w:rFonts w:hint="eastAsia"/>
                <w:color w:val="auto"/>
                <w:spacing w:val="6"/>
                <w:szCs w:val="21"/>
                <w:shd w:val="clear" w:color="auto" w:fill="FFFFFF"/>
              </w:rPr>
              <w:t>根据《海安市国土空间总体规划（2021-2035 年）》4.2，明确“三区三线”：优先划定永久基本农田：坚决落实最严格的耕地保护制度，按照应保尽保、量质并重、集中成片的原则，划定永久基本农田；严格划定生态保护红线：在生态空间范围内具有特殊重要生态功能，必须强制性严格保护的区域，是保障和维护生态安全的底线和生命线；合理划定城镇开发边界：在一定时期内因城镇发展需要可以集中进行城镇开发建设，以城镇功能为主的区域。</w:t>
            </w:r>
          </w:p>
          <w:p w14:paraId="24C9E63C">
            <w:pPr>
              <w:autoSpaceDE w:val="0"/>
              <w:autoSpaceDN w:val="0"/>
              <w:adjustRightInd w:val="0"/>
              <w:snapToGrid w:val="0"/>
              <w:spacing w:line="360" w:lineRule="auto"/>
              <w:ind w:firstLine="444" w:firstLineChars="200"/>
              <w:rPr>
                <w:color w:val="auto"/>
                <w:spacing w:val="6"/>
                <w:szCs w:val="21"/>
                <w:shd w:val="clear" w:color="auto" w:fill="FFFFFF"/>
              </w:rPr>
            </w:pPr>
            <w:r>
              <w:rPr>
                <w:rFonts w:hint="eastAsia"/>
                <w:color w:val="auto"/>
                <w:spacing w:val="6"/>
                <w:szCs w:val="21"/>
                <w:shd w:val="clear" w:color="auto" w:fill="FFFFFF"/>
              </w:rPr>
              <w:t>本项目位于海安市李堡镇富庄村7组（江海路23号），用地性质为工业用地，不占用永久基本农田，不涉及生态红线管控区、江苏省生态空间管控区域和海安市环境管控优先保护单元，根据总体规划中“三区三线”划定成果可知，本项目位于城镇开发边界范围内，符合《海安市国土空间总体规划（2021-2035 年）》及批复（苏政复〔2023〕43号）相关内容。</w:t>
            </w:r>
          </w:p>
          <w:p w14:paraId="7092475D">
            <w:pPr>
              <w:pStyle w:val="97"/>
              <w:adjustRightInd w:val="0"/>
              <w:snapToGrid w:val="0"/>
              <w:spacing w:line="360" w:lineRule="auto"/>
              <w:ind w:firstLine="446" w:firstLineChars="200"/>
              <w:jc w:val="left"/>
              <w:rPr>
                <w:rFonts w:eastAsia="宋体"/>
                <w:b/>
                <w:bCs/>
                <w:color w:val="auto"/>
                <w:szCs w:val="21"/>
              </w:rPr>
            </w:pPr>
            <w:r>
              <w:rPr>
                <w:rFonts w:hint="eastAsia"/>
                <w:b/>
                <w:bCs/>
                <w:color w:val="auto"/>
                <w:spacing w:val="6"/>
                <w:szCs w:val="21"/>
                <w:shd w:val="clear" w:color="auto" w:fill="FFFFFF"/>
              </w:rPr>
              <w:t>10.</w:t>
            </w:r>
            <w:r>
              <w:rPr>
                <w:rFonts w:hint="eastAsia" w:eastAsia="宋体"/>
                <w:b/>
                <w:bCs/>
                <w:color w:val="auto"/>
                <w:szCs w:val="21"/>
              </w:rPr>
              <w:t>与《南通市地表水工业特征污染物专项整治工作实施方案》（通环办〔2023〕48 号）相符性分析</w:t>
            </w:r>
          </w:p>
          <w:p w14:paraId="36C8A423">
            <w:pPr>
              <w:pStyle w:val="18"/>
              <w:spacing w:before="0" w:beforeAutospacing="0" w:after="0" w:afterAutospacing="0"/>
              <w:jc w:val="center"/>
              <w:rPr>
                <w:rFonts w:ascii="Times New Roman" w:hAnsi="Times New Roman"/>
                <w:b/>
                <w:bCs/>
                <w:color w:val="auto"/>
                <w:sz w:val="21"/>
                <w:szCs w:val="21"/>
              </w:rPr>
            </w:pPr>
            <w:r>
              <w:rPr>
                <w:rFonts w:ascii="Times New Roman" w:hAnsi="Times New Roman"/>
                <w:b/>
                <w:bCs/>
                <w:color w:val="auto"/>
                <w:sz w:val="21"/>
                <w:szCs w:val="21"/>
              </w:rPr>
              <w:t>表1-</w:t>
            </w:r>
            <w:r>
              <w:rPr>
                <w:rFonts w:hint="eastAsia" w:ascii="Times New Roman" w:hAnsi="Times New Roman"/>
                <w:b/>
                <w:bCs/>
                <w:color w:val="auto"/>
                <w:sz w:val="21"/>
                <w:szCs w:val="21"/>
              </w:rPr>
              <w:t>6</w:t>
            </w:r>
            <w:r>
              <w:rPr>
                <w:rFonts w:ascii="Times New Roman" w:hAnsi="Times New Roman"/>
                <w:b/>
                <w:bCs/>
                <w:color w:val="auto"/>
                <w:sz w:val="21"/>
                <w:szCs w:val="21"/>
              </w:rPr>
              <w:t xml:space="preserve"> </w:t>
            </w:r>
            <w:r>
              <w:rPr>
                <w:rFonts w:hint="eastAsia" w:ascii="Times New Roman" w:hAnsi="Times New Roman"/>
                <w:b/>
                <w:bCs/>
                <w:color w:val="auto"/>
                <w:sz w:val="21"/>
                <w:szCs w:val="21"/>
              </w:rPr>
              <w:t>与《南通市地表水工业特征污染物专项整治工作实施方案》（通环办〔2023〕48 号）相符性分析</w:t>
            </w:r>
          </w:p>
          <w:tbl>
            <w:tblPr>
              <w:tblStyle w:val="23"/>
              <w:tblW w:w="48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9"/>
              <w:gridCol w:w="4160"/>
              <w:gridCol w:w="2029"/>
              <w:gridCol w:w="812"/>
            </w:tblGrid>
            <w:tr w14:paraId="1EE4D5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430" w:type="pct"/>
                  <w:tcBorders>
                    <w:tl2br w:val="nil"/>
                    <w:tr2bl w:val="nil"/>
                  </w:tcBorders>
                  <w:vAlign w:val="center"/>
                </w:tcPr>
                <w:p w14:paraId="4A4D952D">
                  <w:pPr>
                    <w:pStyle w:val="18"/>
                    <w:spacing w:before="0"/>
                    <w:jc w:val="center"/>
                    <w:rPr>
                      <w:rFonts w:ascii="Times New Roman" w:hAnsi="Times New Roman"/>
                      <w:b/>
                      <w:bCs/>
                      <w:color w:val="auto"/>
                      <w:sz w:val="18"/>
                      <w:szCs w:val="18"/>
                    </w:rPr>
                  </w:pPr>
                  <w:r>
                    <w:rPr>
                      <w:rFonts w:ascii="Times New Roman" w:hAnsi="Times New Roman"/>
                      <w:b/>
                      <w:bCs/>
                      <w:color w:val="auto"/>
                      <w:sz w:val="18"/>
                      <w:szCs w:val="18"/>
                    </w:rPr>
                    <w:t>序号</w:t>
                  </w:r>
                </w:p>
              </w:tc>
              <w:tc>
                <w:tcPr>
                  <w:tcW w:w="2715" w:type="pct"/>
                  <w:tcBorders>
                    <w:tl2br w:val="nil"/>
                    <w:tr2bl w:val="nil"/>
                  </w:tcBorders>
                  <w:vAlign w:val="center"/>
                </w:tcPr>
                <w:p w14:paraId="1D60BD9C">
                  <w:pPr>
                    <w:pStyle w:val="18"/>
                    <w:spacing w:before="0"/>
                    <w:jc w:val="center"/>
                    <w:rPr>
                      <w:rFonts w:ascii="Times New Roman" w:hAnsi="Times New Roman"/>
                      <w:b/>
                      <w:bCs/>
                      <w:color w:val="auto"/>
                      <w:sz w:val="18"/>
                      <w:szCs w:val="18"/>
                    </w:rPr>
                  </w:pPr>
                  <w:r>
                    <w:rPr>
                      <w:rFonts w:hint="eastAsia" w:ascii="Times New Roman" w:hAnsi="Times New Roman"/>
                      <w:b/>
                      <w:bCs/>
                      <w:color w:val="auto"/>
                      <w:sz w:val="18"/>
                      <w:szCs w:val="18"/>
                    </w:rPr>
                    <w:t>文件要求</w:t>
                  </w:r>
                </w:p>
              </w:tc>
              <w:tc>
                <w:tcPr>
                  <w:tcW w:w="1324" w:type="pct"/>
                  <w:tcBorders>
                    <w:tl2br w:val="nil"/>
                    <w:tr2bl w:val="nil"/>
                  </w:tcBorders>
                  <w:vAlign w:val="center"/>
                </w:tcPr>
                <w:p w14:paraId="2356D07B">
                  <w:pPr>
                    <w:pStyle w:val="18"/>
                    <w:spacing w:before="0"/>
                    <w:jc w:val="center"/>
                    <w:rPr>
                      <w:rFonts w:ascii="Times New Roman" w:hAnsi="Times New Roman"/>
                      <w:b/>
                      <w:bCs/>
                      <w:color w:val="auto"/>
                      <w:sz w:val="18"/>
                      <w:szCs w:val="18"/>
                    </w:rPr>
                  </w:pPr>
                  <w:r>
                    <w:rPr>
                      <w:rFonts w:ascii="Times New Roman" w:hAnsi="Times New Roman"/>
                      <w:b/>
                      <w:bCs/>
                      <w:color w:val="auto"/>
                      <w:sz w:val="18"/>
                      <w:szCs w:val="18"/>
                    </w:rPr>
                    <w:t>本项目情况</w:t>
                  </w:r>
                </w:p>
              </w:tc>
              <w:tc>
                <w:tcPr>
                  <w:tcW w:w="530" w:type="pct"/>
                  <w:tcBorders>
                    <w:tl2br w:val="nil"/>
                    <w:tr2bl w:val="nil"/>
                  </w:tcBorders>
                  <w:vAlign w:val="center"/>
                </w:tcPr>
                <w:p w14:paraId="5488CB1C">
                  <w:pPr>
                    <w:pStyle w:val="18"/>
                    <w:spacing w:before="0"/>
                    <w:jc w:val="center"/>
                    <w:rPr>
                      <w:rFonts w:ascii="Times New Roman" w:hAnsi="Times New Roman"/>
                      <w:b/>
                      <w:bCs/>
                      <w:color w:val="auto"/>
                      <w:sz w:val="18"/>
                      <w:szCs w:val="18"/>
                    </w:rPr>
                  </w:pPr>
                  <w:r>
                    <w:rPr>
                      <w:rFonts w:ascii="Times New Roman" w:hAnsi="Times New Roman"/>
                      <w:b/>
                      <w:bCs/>
                      <w:color w:val="auto"/>
                      <w:sz w:val="18"/>
                      <w:szCs w:val="18"/>
                    </w:rPr>
                    <w:t>相符性</w:t>
                  </w:r>
                </w:p>
              </w:tc>
            </w:tr>
            <w:tr w14:paraId="5338B1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30" w:type="pct"/>
                  <w:tcBorders>
                    <w:tl2br w:val="nil"/>
                    <w:tr2bl w:val="nil"/>
                  </w:tcBorders>
                  <w:vAlign w:val="center"/>
                </w:tcPr>
                <w:p w14:paraId="4BDF71A8">
                  <w:pPr>
                    <w:pStyle w:val="18"/>
                    <w:spacing w:before="0"/>
                    <w:jc w:val="center"/>
                    <w:rPr>
                      <w:rFonts w:ascii="Times New Roman" w:hAnsi="Times New Roman"/>
                      <w:color w:val="auto"/>
                      <w:sz w:val="18"/>
                      <w:szCs w:val="18"/>
                    </w:rPr>
                  </w:pPr>
                  <w:r>
                    <w:rPr>
                      <w:rFonts w:ascii="Times New Roman" w:hAnsi="Times New Roman"/>
                      <w:color w:val="auto"/>
                      <w:sz w:val="18"/>
                      <w:szCs w:val="18"/>
                    </w:rPr>
                    <w:t>1</w:t>
                  </w:r>
                </w:p>
              </w:tc>
              <w:tc>
                <w:tcPr>
                  <w:tcW w:w="2715" w:type="pct"/>
                  <w:tcBorders>
                    <w:tl2br w:val="nil"/>
                    <w:tr2bl w:val="nil"/>
                  </w:tcBorders>
                  <w:vAlign w:val="center"/>
                </w:tcPr>
                <w:p w14:paraId="561811EC">
                  <w:pPr>
                    <w:rPr>
                      <w:color w:val="auto"/>
                      <w:sz w:val="18"/>
                      <w:szCs w:val="18"/>
                    </w:rPr>
                  </w:pPr>
                  <w:r>
                    <w:rPr>
                      <w:rFonts w:hint="eastAsia"/>
                      <w:color w:val="auto"/>
                      <w:sz w:val="18"/>
                      <w:szCs w:val="18"/>
                    </w:rPr>
                    <w:t>严格项目准入。强化项目环评与规划环评、现有项目环境管理、区域环境质量联动的“三挂钩”机制，新建涉及工业特征污染物的企业原则上不得设置入河入海排污口。国省考断面出现工业特征污染物超标的区域，要针对性提出相应的污染物区域削减措施。优先选择涉及工业特征污染物的重点园区、重点企业开展特征污染物排放总量控制试点工作。</w:t>
                  </w:r>
                </w:p>
              </w:tc>
              <w:tc>
                <w:tcPr>
                  <w:tcW w:w="1324" w:type="pct"/>
                  <w:tcBorders>
                    <w:tl2br w:val="nil"/>
                    <w:tr2bl w:val="nil"/>
                  </w:tcBorders>
                  <w:vAlign w:val="center"/>
                </w:tcPr>
                <w:p w14:paraId="7474670B">
                  <w:pPr>
                    <w:rPr>
                      <w:color w:val="auto"/>
                      <w:sz w:val="18"/>
                      <w:szCs w:val="18"/>
                    </w:rPr>
                  </w:pPr>
                  <w:r>
                    <w:rPr>
                      <w:rFonts w:hint="eastAsia"/>
                      <w:color w:val="auto"/>
                      <w:sz w:val="18"/>
                      <w:szCs w:val="18"/>
                    </w:rPr>
                    <w:t>本项目</w:t>
                  </w:r>
                  <w:r>
                    <w:rPr>
                      <w:color w:val="auto"/>
                      <w:sz w:val="18"/>
                      <w:szCs w:val="18"/>
                    </w:rPr>
                    <w:t>生活污水</w:t>
                  </w:r>
                  <w:r>
                    <w:rPr>
                      <w:rFonts w:hint="eastAsia"/>
                      <w:color w:val="auto"/>
                      <w:sz w:val="18"/>
                      <w:szCs w:val="18"/>
                    </w:rPr>
                    <w:t>经化粪池处理后</w:t>
                  </w:r>
                  <w:r>
                    <w:rPr>
                      <w:rFonts w:hint="eastAsia"/>
                      <w:color w:val="auto"/>
                      <w:sz w:val="18"/>
                      <w:szCs w:val="18"/>
                      <w:lang w:eastAsia="zh-CN"/>
                    </w:rPr>
                    <w:t>、</w:t>
                  </w:r>
                  <w:r>
                    <w:rPr>
                      <w:rFonts w:hint="eastAsia"/>
                      <w:color w:val="auto"/>
                      <w:sz w:val="18"/>
                      <w:szCs w:val="18"/>
                      <w:lang w:val="en-US" w:eastAsia="zh-CN"/>
                    </w:rPr>
                    <w:t>后道清洗废水经厂区污水处理设施预处理后</w:t>
                  </w:r>
                  <w:r>
                    <w:rPr>
                      <w:rFonts w:hint="eastAsia"/>
                      <w:color w:val="auto"/>
                      <w:sz w:val="18"/>
                      <w:szCs w:val="18"/>
                    </w:rPr>
                    <w:t>接管至海安李堡滇池水务有限公司处理。</w:t>
                  </w:r>
                </w:p>
              </w:tc>
              <w:tc>
                <w:tcPr>
                  <w:tcW w:w="530" w:type="pct"/>
                  <w:tcBorders>
                    <w:tl2br w:val="nil"/>
                    <w:tr2bl w:val="nil"/>
                  </w:tcBorders>
                  <w:vAlign w:val="center"/>
                </w:tcPr>
                <w:p w14:paraId="30A208CF">
                  <w:pPr>
                    <w:jc w:val="center"/>
                    <w:rPr>
                      <w:color w:val="auto"/>
                      <w:sz w:val="18"/>
                      <w:szCs w:val="18"/>
                    </w:rPr>
                  </w:pPr>
                  <w:r>
                    <w:rPr>
                      <w:color w:val="auto"/>
                      <w:sz w:val="18"/>
                      <w:szCs w:val="18"/>
                    </w:rPr>
                    <w:t>相符</w:t>
                  </w:r>
                </w:p>
              </w:tc>
            </w:tr>
            <w:tr w14:paraId="1C7157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30" w:type="pct"/>
                  <w:tcBorders>
                    <w:tl2br w:val="nil"/>
                    <w:tr2bl w:val="nil"/>
                  </w:tcBorders>
                  <w:vAlign w:val="center"/>
                </w:tcPr>
                <w:p w14:paraId="41084109">
                  <w:pPr>
                    <w:pStyle w:val="18"/>
                    <w:spacing w:before="0"/>
                    <w:jc w:val="center"/>
                    <w:rPr>
                      <w:rFonts w:ascii="Times New Roman" w:hAnsi="Times New Roman"/>
                      <w:color w:val="auto"/>
                      <w:sz w:val="18"/>
                      <w:szCs w:val="18"/>
                    </w:rPr>
                  </w:pPr>
                  <w:r>
                    <w:rPr>
                      <w:rFonts w:ascii="Times New Roman" w:hAnsi="Times New Roman"/>
                      <w:color w:val="auto"/>
                      <w:sz w:val="18"/>
                      <w:szCs w:val="18"/>
                    </w:rPr>
                    <w:t>2</w:t>
                  </w:r>
                </w:p>
              </w:tc>
              <w:tc>
                <w:tcPr>
                  <w:tcW w:w="2715" w:type="pct"/>
                  <w:tcBorders>
                    <w:tl2br w:val="nil"/>
                    <w:tr2bl w:val="nil"/>
                  </w:tcBorders>
                  <w:vAlign w:val="center"/>
                </w:tcPr>
                <w:p w14:paraId="74B3BCC6">
                  <w:pPr>
                    <w:rPr>
                      <w:color w:val="auto"/>
                      <w:sz w:val="18"/>
                      <w:szCs w:val="18"/>
                    </w:rPr>
                  </w:pPr>
                  <w:r>
                    <w:rPr>
                      <w:rFonts w:hint="eastAsia"/>
                      <w:color w:val="auto"/>
                      <w:sz w:val="18"/>
                      <w:szCs w:val="18"/>
                    </w:rPr>
                    <w:t>完善基础设施。涉及工业特征污染物企业应做到“雨污分流、清污分流”，鼓励企业采用“一企一管，明管（专管）输送”的收集方式。加快推进涉及工业特征污染物的废水与生活污水分类收集、分质处理。新建企业涉及工业特征污染物的废水不得接入城镇污水处理设施，现有企业已接管城镇污水集中收集处理设施的须组织排查评估，认定不能接入的限期退出，认定可以接入的须经预处理达标后方可接入。</w:t>
                  </w:r>
                </w:p>
              </w:tc>
              <w:tc>
                <w:tcPr>
                  <w:tcW w:w="1324" w:type="pct"/>
                  <w:tcBorders>
                    <w:tl2br w:val="nil"/>
                    <w:tr2bl w:val="nil"/>
                  </w:tcBorders>
                  <w:vAlign w:val="center"/>
                </w:tcPr>
                <w:p w14:paraId="2E5DF536">
                  <w:pPr>
                    <w:rPr>
                      <w:color w:val="auto"/>
                      <w:sz w:val="18"/>
                      <w:szCs w:val="18"/>
                    </w:rPr>
                  </w:pPr>
                  <w:r>
                    <w:rPr>
                      <w:rFonts w:hint="eastAsia"/>
                      <w:color w:val="auto"/>
                      <w:sz w:val="18"/>
                      <w:szCs w:val="18"/>
                    </w:rPr>
                    <w:t>本项目“雨污分流、清污分流”，</w:t>
                  </w:r>
                  <w:r>
                    <w:rPr>
                      <w:rFonts w:hint="eastAsia"/>
                      <w:color w:val="auto"/>
                      <w:sz w:val="18"/>
                      <w:szCs w:val="18"/>
                      <w:lang w:val="en-US" w:eastAsia="zh-CN"/>
                    </w:rPr>
                    <w:t>初道</w:t>
                  </w:r>
                  <w:r>
                    <w:rPr>
                      <w:rFonts w:hint="eastAsia"/>
                      <w:color w:val="auto"/>
                      <w:sz w:val="18"/>
                      <w:szCs w:val="18"/>
                    </w:rPr>
                    <w:t>清洗废水作为危废委托有资质的单位进行处置</w:t>
                  </w:r>
                  <w:r>
                    <w:rPr>
                      <w:rFonts w:hint="eastAsia"/>
                      <w:color w:val="auto"/>
                      <w:sz w:val="18"/>
                      <w:szCs w:val="18"/>
                      <w:lang w:eastAsia="zh-CN"/>
                    </w:rPr>
                    <w:t>，</w:t>
                  </w:r>
                  <w:r>
                    <w:rPr>
                      <w:rFonts w:hint="eastAsia"/>
                      <w:color w:val="auto"/>
                      <w:sz w:val="18"/>
                      <w:szCs w:val="18"/>
                      <w:lang w:val="en-US" w:eastAsia="zh-CN"/>
                    </w:rPr>
                    <w:t>后道清洗废水经厂区污水处理设施预处理后</w:t>
                  </w:r>
                  <w:r>
                    <w:rPr>
                      <w:rFonts w:hint="eastAsia"/>
                      <w:color w:val="auto"/>
                      <w:sz w:val="18"/>
                      <w:szCs w:val="18"/>
                    </w:rPr>
                    <w:t>接管至海安李堡滇池水务有限公司处理。</w:t>
                  </w:r>
                  <w:r>
                    <w:rPr>
                      <w:rFonts w:hint="eastAsia"/>
                      <w:color w:val="auto"/>
                      <w:sz w:val="18"/>
                      <w:szCs w:val="18"/>
                      <w:lang w:val="en-US" w:eastAsia="zh-CN"/>
                    </w:rPr>
                    <w:t>本项目为服务业</w:t>
                  </w:r>
                  <w:r>
                    <w:rPr>
                      <w:rFonts w:hint="eastAsia"/>
                      <w:color w:val="auto"/>
                      <w:sz w:val="18"/>
                      <w:szCs w:val="18"/>
                    </w:rPr>
                    <w:t>。</w:t>
                  </w:r>
                </w:p>
              </w:tc>
              <w:tc>
                <w:tcPr>
                  <w:tcW w:w="530" w:type="pct"/>
                  <w:tcBorders>
                    <w:tl2br w:val="nil"/>
                    <w:tr2bl w:val="nil"/>
                  </w:tcBorders>
                  <w:vAlign w:val="center"/>
                </w:tcPr>
                <w:p w14:paraId="6594E711">
                  <w:pPr>
                    <w:jc w:val="center"/>
                    <w:rPr>
                      <w:color w:val="auto"/>
                      <w:sz w:val="18"/>
                      <w:szCs w:val="18"/>
                    </w:rPr>
                  </w:pPr>
                  <w:r>
                    <w:rPr>
                      <w:color w:val="auto"/>
                      <w:sz w:val="18"/>
                      <w:szCs w:val="18"/>
                    </w:rPr>
                    <w:t>相符</w:t>
                  </w:r>
                </w:p>
              </w:tc>
            </w:tr>
            <w:tr w14:paraId="3AD4AE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30" w:type="pct"/>
                  <w:tcBorders>
                    <w:tl2br w:val="nil"/>
                    <w:tr2bl w:val="nil"/>
                  </w:tcBorders>
                  <w:vAlign w:val="center"/>
                </w:tcPr>
                <w:p w14:paraId="43436C5B">
                  <w:pPr>
                    <w:pStyle w:val="18"/>
                    <w:spacing w:before="0"/>
                    <w:jc w:val="center"/>
                    <w:rPr>
                      <w:rFonts w:ascii="Times New Roman" w:hAnsi="Times New Roman"/>
                      <w:color w:val="auto"/>
                      <w:sz w:val="18"/>
                      <w:szCs w:val="18"/>
                    </w:rPr>
                  </w:pPr>
                  <w:r>
                    <w:rPr>
                      <w:rFonts w:ascii="Times New Roman" w:hAnsi="Times New Roman"/>
                      <w:color w:val="auto"/>
                      <w:sz w:val="18"/>
                      <w:szCs w:val="18"/>
                    </w:rPr>
                    <w:t>3</w:t>
                  </w:r>
                </w:p>
              </w:tc>
              <w:tc>
                <w:tcPr>
                  <w:tcW w:w="2715" w:type="pct"/>
                  <w:tcBorders>
                    <w:tl2br w:val="nil"/>
                    <w:tr2bl w:val="nil"/>
                  </w:tcBorders>
                  <w:vAlign w:val="center"/>
                </w:tcPr>
                <w:p w14:paraId="0CA0C111">
                  <w:pPr>
                    <w:rPr>
                      <w:color w:val="auto"/>
                      <w:sz w:val="18"/>
                      <w:szCs w:val="18"/>
                    </w:rPr>
                  </w:pPr>
                  <w:r>
                    <w:rPr>
                      <w:rFonts w:hint="eastAsia"/>
                      <w:color w:val="auto"/>
                      <w:sz w:val="18"/>
                      <w:szCs w:val="18"/>
                    </w:rPr>
                    <w:t>强化排污许可。完善申报及核发要求，将工业特征污染物纳入总量许可范围。结合排污许可管理有关要求，督促企业依法申领排污许可证或填写排污登记表，并在其中载明执行的污染控制标准要求及采取的污染控制措施。</w:t>
                  </w:r>
                </w:p>
              </w:tc>
              <w:tc>
                <w:tcPr>
                  <w:tcW w:w="1324" w:type="pct"/>
                  <w:vMerge w:val="restart"/>
                  <w:tcBorders>
                    <w:tl2br w:val="nil"/>
                    <w:tr2bl w:val="nil"/>
                  </w:tcBorders>
                  <w:vAlign w:val="center"/>
                </w:tcPr>
                <w:p w14:paraId="0E1B7322">
                  <w:pPr>
                    <w:rPr>
                      <w:color w:val="auto"/>
                      <w:sz w:val="18"/>
                      <w:szCs w:val="18"/>
                    </w:rPr>
                  </w:pPr>
                  <w:r>
                    <w:rPr>
                      <w:rFonts w:hint="eastAsia"/>
                      <w:color w:val="auto"/>
                      <w:sz w:val="18"/>
                      <w:szCs w:val="18"/>
                    </w:rPr>
                    <w:t>根据南通市生态环境局、南通市行政审批局文件《关于印发〈关于进一步优化建设项目排污总量指标管理提升环评审批效能的意见（试行）〉的通知》（通环办〔2023〕132号），本项目不在《固定污染源排污许可分类管理名录》范围内，不纳入排污许可管理，不在实施排污总量管理的范围内，无需通过交易获得新增排污总量指标。</w:t>
                  </w:r>
                </w:p>
              </w:tc>
              <w:tc>
                <w:tcPr>
                  <w:tcW w:w="530" w:type="pct"/>
                  <w:tcBorders>
                    <w:tl2br w:val="nil"/>
                    <w:tr2bl w:val="nil"/>
                  </w:tcBorders>
                  <w:vAlign w:val="center"/>
                </w:tcPr>
                <w:p w14:paraId="4E1C9D8B">
                  <w:pPr>
                    <w:jc w:val="center"/>
                    <w:rPr>
                      <w:color w:val="auto"/>
                      <w:sz w:val="18"/>
                      <w:szCs w:val="18"/>
                    </w:rPr>
                  </w:pPr>
                  <w:r>
                    <w:rPr>
                      <w:color w:val="auto"/>
                      <w:sz w:val="18"/>
                      <w:szCs w:val="18"/>
                    </w:rPr>
                    <w:t>相符</w:t>
                  </w:r>
                </w:p>
              </w:tc>
            </w:tr>
            <w:tr w14:paraId="7CAAB4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30" w:type="pct"/>
                  <w:tcBorders>
                    <w:tl2br w:val="nil"/>
                    <w:tr2bl w:val="nil"/>
                  </w:tcBorders>
                  <w:vAlign w:val="center"/>
                </w:tcPr>
                <w:p w14:paraId="0C2B7FB2">
                  <w:pPr>
                    <w:pStyle w:val="18"/>
                    <w:spacing w:before="0"/>
                    <w:jc w:val="center"/>
                    <w:rPr>
                      <w:rFonts w:ascii="Times New Roman" w:hAnsi="Times New Roman"/>
                      <w:color w:val="auto"/>
                      <w:sz w:val="18"/>
                      <w:szCs w:val="18"/>
                    </w:rPr>
                  </w:pPr>
                  <w:r>
                    <w:rPr>
                      <w:rFonts w:ascii="Times New Roman" w:hAnsi="Times New Roman"/>
                      <w:color w:val="auto"/>
                      <w:sz w:val="18"/>
                      <w:szCs w:val="18"/>
                    </w:rPr>
                    <w:t>4</w:t>
                  </w:r>
                </w:p>
              </w:tc>
              <w:tc>
                <w:tcPr>
                  <w:tcW w:w="2715" w:type="pct"/>
                  <w:tcBorders>
                    <w:tl2br w:val="nil"/>
                    <w:tr2bl w:val="nil"/>
                  </w:tcBorders>
                  <w:vAlign w:val="center"/>
                </w:tcPr>
                <w:p w14:paraId="7BCE86BC">
                  <w:pPr>
                    <w:rPr>
                      <w:color w:val="auto"/>
                      <w:sz w:val="18"/>
                      <w:szCs w:val="18"/>
                    </w:rPr>
                  </w:pPr>
                  <w:r>
                    <w:rPr>
                      <w:rFonts w:hint="eastAsia"/>
                      <w:color w:val="auto"/>
                      <w:sz w:val="18"/>
                      <w:szCs w:val="18"/>
                    </w:rPr>
                    <w:t>加强监测监控。结合工业园区限值限量管理，逐步实行工业特征污染物排放浓度和总量“双控”。积极推进涉及工业特征污染物的污水处理厂及重点工业企业雨水污水排放口、部分重点国省考断面安装工业特征污染物自动监控系统，并与市生态环境大数据平台联网，实时监控。强化对重点时期、重点区域、重点断面的加密监测，一旦发现异常，及时调查处置。到 2023年底，涉氟污水处理厂和部分重点国省考断面试点安装氟化物在线监控装置并联网；到 2024年底，涉氟重点企业全面安装氟化物在线监控装置并联网。</w:t>
                  </w:r>
                </w:p>
              </w:tc>
              <w:tc>
                <w:tcPr>
                  <w:tcW w:w="1324" w:type="pct"/>
                  <w:vMerge w:val="continue"/>
                  <w:tcBorders>
                    <w:tl2br w:val="nil"/>
                    <w:tr2bl w:val="nil"/>
                  </w:tcBorders>
                  <w:vAlign w:val="center"/>
                </w:tcPr>
                <w:p w14:paraId="3D13C78B">
                  <w:pPr>
                    <w:jc w:val="center"/>
                    <w:rPr>
                      <w:color w:val="auto"/>
                      <w:sz w:val="18"/>
                      <w:szCs w:val="18"/>
                    </w:rPr>
                  </w:pPr>
                </w:p>
              </w:tc>
              <w:tc>
                <w:tcPr>
                  <w:tcW w:w="530" w:type="pct"/>
                  <w:tcBorders>
                    <w:tl2br w:val="nil"/>
                    <w:tr2bl w:val="nil"/>
                  </w:tcBorders>
                  <w:vAlign w:val="center"/>
                </w:tcPr>
                <w:p w14:paraId="3ADAF30B">
                  <w:pPr>
                    <w:jc w:val="center"/>
                    <w:rPr>
                      <w:color w:val="auto"/>
                      <w:sz w:val="18"/>
                      <w:szCs w:val="18"/>
                    </w:rPr>
                  </w:pPr>
                  <w:r>
                    <w:rPr>
                      <w:color w:val="auto"/>
                      <w:sz w:val="18"/>
                      <w:szCs w:val="18"/>
                    </w:rPr>
                    <w:t>相符</w:t>
                  </w:r>
                </w:p>
              </w:tc>
            </w:tr>
          </w:tbl>
          <w:p w14:paraId="3BE61095">
            <w:pPr>
              <w:autoSpaceDE w:val="0"/>
              <w:autoSpaceDN w:val="0"/>
              <w:adjustRightInd w:val="0"/>
              <w:snapToGrid w:val="0"/>
              <w:spacing w:line="360" w:lineRule="auto"/>
              <w:rPr>
                <w:b/>
                <w:bCs/>
                <w:color w:val="auto"/>
                <w:spacing w:val="6"/>
                <w:szCs w:val="21"/>
                <w:shd w:val="clear" w:color="auto" w:fill="FFFFFF"/>
              </w:rPr>
            </w:pPr>
            <w:r>
              <w:rPr>
                <w:rFonts w:hint="eastAsia"/>
                <w:b/>
                <w:bCs/>
                <w:color w:val="auto"/>
                <w:spacing w:val="6"/>
                <w:szCs w:val="21"/>
                <w:shd w:val="clear" w:color="auto" w:fill="FFFFFF"/>
              </w:rPr>
              <w:t xml:space="preserve">    11.与《关于加强实验室类污染环境监管的通知》（环办〔2004〕15号）的相符性分析</w:t>
            </w:r>
          </w:p>
          <w:p w14:paraId="2AECC018">
            <w:pPr>
              <w:pStyle w:val="18"/>
              <w:spacing w:before="0" w:beforeAutospacing="0" w:after="0" w:afterAutospacing="0"/>
              <w:jc w:val="center"/>
              <w:rPr>
                <w:rFonts w:ascii="Times New Roman" w:hAnsi="Times New Roman"/>
                <w:b/>
                <w:bCs/>
                <w:color w:val="auto"/>
                <w:sz w:val="21"/>
                <w:szCs w:val="21"/>
              </w:rPr>
            </w:pPr>
          </w:p>
          <w:p w14:paraId="1EEF81B9">
            <w:pPr>
              <w:pStyle w:val="18"/>
              <w:spacing w:before="0" w:beforeAutospacing="0" w:after="0" w:afterAutospacing="0"/>
              <w:jc w:val="center"/>
              <w:rPr>
                <w:rFonts w:ascii="Times New Roman" w:hAnsi="Times New Roman"/>
                <w:b/>
                <w:bCs/>
                <w:color w:val="auto"/>
                <w:sz w:val="21"/>
                <w:szCs w:val="21"/>
              </w:rPr>
            </w:pPr>
          </w:p>
          <w:p w14:paraId="21BE4A15">
            <w:pPr>
              <w:pStyle w:val="18"/>
              <w:spacing w:before="0" w:beforeAutospacing="0" w:after="0" w:afterAutospacing="0"/>
              <w:jc w:val="center"/>
              <w:rPr>
                <w:rFonts w:ascii="Times New Roman" w:hAnsi="Times New Roman"/>
                <w:b/>
                <w:bCs/>
                <w:color w:val="auto"/>
                <w:sz w:val="21"/>
                <w:szCs w:val="21"/>
              </w:rPr>
            </w:pPr>
          </w:p>
          <w:p w14:paraId="7093127A">
            <w:pPr>
              <w:pStyle w:val="18"/>
              <w:spacing w:before="0" w:beforeAutospacing="0" w:after="0" w:afterAutospacing="0"/>
              <w:jc w:val="center"/>
              <w:rPr>
                <w:rFonts w:ascii="Times New Roman" w:hAnsi="Times New Roman"/>
                <w:b/>
                <w:bCs/>
                <w:color w:val="auto"/>
                <w:sz w:val="21"/>
                <w:szCs w:val="21"/>
              </w:rPr>
            </w:pPr>
          </w:p>
          <w:p w14:paraId="185A9106">
            <w:pPr>
              <w:pStyle w:val="18"/>
              <w:spacing w:before="0" w:beforeAutospacing="0" w:after="0" w:afterAutospacing="0"/>
              <w:jc w:val="center"/>
              <w:rPr>
                <w:rFonts w:ascii="Times New Roman" w:hAnsi="Times New Roman"/>
                <w:b/>
                <w:bCs/>
                <w:color w:val="auto"/>
                <w:sz w:val="21"/>
                <w:szCs w:val="21"/>
              </w:rPr>
            </w:pPr>
          </w:p>
          <w:p w14:paraId="0416F954">
            <w:pPr>
              <w:pStyle w:val="18"/>
              <w:spacing w:before="0" w:beforeAutospacing="0" w:after="0" w:afterAutospacing="0"/>
              <w:jc w:val="center"/>
              <w:rPr>
                <w:rFonts w:ascii="Times New Roman" w:hAnsi="Times New Roman"/>
                <w:b/>
                <w:bCs/>
                <w:color w:val="auto"/>
                <w:sz w:val="21"/>
                <w:szCs w:val="21"/>
              </w:rPr>
            </w:pPr>
            <w:r>
              <w:rPr>
                <w:rFonts w:ascii="Times New Roman" w:hAnsi="Times New Roman"/>
                <w:b/>
                <w:bCs/>
                <w:color w:val="auto"/>
                <w:sz w:val="21"/>
                <w:szCs w:val="21"/>
              </w:rPr>
              <w:t>表1-</w:t>
            </w:r>
            <w:r>
              <w:rPr>
                <w:rFonts w:hint="eastAsia" w:ascii="Times New Roman" w:hAnsi="Times New Roman"/>
                <w:b/>
                <w:bCs/>
                <w:color w:val="auto"/>
                <w:sz w:val="21"/>
                <w:szCs w:val="21"/>
              </w:rPr>
              <w:t>7与《关于加强实验室类污染环境监管的通知》相符性分析</w:t>
            </w:r>
          </w:p>
          <w:tbl>
            <w:tblPr>
              <w:tblStyle w:val="23"/>
              <w:tblW w:w="486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96"/>
              <w:gridCol w:w="2293"/>
              <w:gridCol w:w="826"/>
            </w:tblGrid>
            <w:tr w14:paraId="175453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952" w:type="pct"/>
                  <w:tcBorders>
                    <w:tl2br w:val="nil"/>
                    <w:tr2bl w:val="nil"/>
                  </w:tcBorders>
                  <w:vAlign w:val="center"/>
                </w:tcPr>
                <w:p w14:paraId="0067ACCA">
                  <w:pPr>
                    <w:pStyle w:val="18"/>
                    <w:spacing w:before="0"/>
                    <w:jc w:val="center"/>
                    <w:rPr>
                      <w:rFonts w:ascii="Times New Roman" w:hAnsi="Times New Roman"/>
                      <w:b/>
                      <w:bCs/>
                      <w:color w:val="auto"/>
                      <w:sz w:val="18"/>
                      <w:szCs w:val="18"/>
                    </w:rPr>
                  </w:pPr>
                  <w:r>
                    <w:rPr>
                      <w:rFonts w:hint="eastAsia" w:ascii="Times New Roman" w:hAnsi="Times New Roman"/>
                      <w:b/>
                      <w:bCs/>
                      <w:color w:val="auto"/>
                      <w:sz w:val="18"/>
                      <w:szCs w:val="18"/>
                    </w:rPr>
                    <w:t>文件要求</w:t>
                  </w:r>
                </w:p>
              </w:tc>
              <w:tc>
                <w:tcPr>
                  <w:tcW w:w="1505" w:type="pct"/>
                  <w:tcBorders>
                    <w:tl2br w:val="nil"/>
                    <w:tr2bl w:val="nil"/>
                  </w:tcBorders>
                  <w:vAlign w:val="center"/>
                </w:tcPr>
                <w:p w14:paraId="245C6760">
                  <w:pPr>
                    <w:pStyle w:val="18"/>
                    <w:spacing w:before="0"/>
                    <w:jc w:val="center"/>
                    <w:rPr>
                      <w:rFonts w:ascii="Times New Roman" w:hAnsi="Times New Roman"/>
                      <w:b/>
                      <w:bCs/>
                      <w:color w:val="auto"/>
                      <w:sz w:val="18"/>
                      <w:szCs w:val="18"/>
                    </w:rPr>
                  </w:pPr>
                  <w:r>
                    <w:rPr>
                      <w:rFonts w:ascii="Times New Roman" w:hAnsi="Times New Roman"/>
                      <w:b/>
                      <w:bCs/>
                      <w:color w:val="auto"/>
                      <w:sz w:val="18"/>
                      <w:szCs w:val="18"/>
                    </w:rPr>
                    <w:t>本项目情况</w:t>
                  </w:r>
                </w:p>
              </w:tc>
              <w:tc>
                <w:tcPr>
                  <w:tcW w:w="542" w:type="pct"/>
                  <w:tcBorders>
                    <w:tl2br w:val="nil"/>
                    <w:tr2bl w:val="nil"/>
                  </w:tcBorders>
                  <w:vAlign w:val="center"/>
                </w:tcPr>
                <w:p w14:paraId="07F684E1">
                  <w:pPr>
                    <w:pStyle w:val="18"/>
                    <w:spacing w:before="0"/>
                    <w:jc w:val="center"/>
                    <w:rPr>
                      <w:rFonts w:ascii="Times New Roman" w:hAnsi="Times New Roman"/>
                      <w:b/>
                      <w:bCs/>
                      <w:color w:val="auto"/>
                      <w:sz w:val="18"/>
                      <w:szCs w:val="18"/>
                    </w:rPr>
                  </w:pPr>
                  <w:r>
                    <w:rPr>
                      <w:rFonts w:ascii="Times New Roman" w:hAnsi="Times New Roman"/>
                      <w:b/>
                      <w:bCs/>
                      <w:color w:val="auto"/>
                      <w:sz w:val="18"/>
                      <w:szCs w:val="18"/>
                    </w:rPr>
                    <w:t>相符性</w:t>
                  </w:r>
                </w:p>
              </w:tc>
            </w:tr>
            <w:tr w14:paraId="4C239C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2952" w:type="pct"/>
                  <w:tcBorders>
                    <w:tl2br w:val="nil"/>
                    <w:tr2bl w:val="nil"/>
                  </w:tcBorders>
                  <w:vAlign w:val="center"/>
                </w:tcPr>
                <w:p w14:paraId="191AE692">
                  <w:pPr>
                    <w:jc w:val="center"/>
                    <w:rPr>
                      <w:color w:val="auto"/>
                      <w:sz w:val="18"/>
                      <w:szCs w:val="18"/>
                    </w:rPr>
                  </w:pPr>
                  <w:r>
                    <w:rPr>
                      <w:rFonts w:hint="eastAsia"/>
                      <w:color w:val="auto"/>
                      <w:sz w:val="18"/>
                      <w:szCs w:val="18"/>
                    </w:rPr>
                    <w:t>未规范排污口的，应按国家有关规定，于</w:t>
                  </w:r>
                  <w:r>
                    <w:rPr>
                      <w:color w:val="auto"/>
                      <w:sz w:val="18"/>
                      <w:szCs w:val="18"/>
                    </w:rPr>
                    <w:t>2004</w:t>
                  </w:r>
                  <w:r>
                    <w:rPr>
                      <w:rFonts w:hint="eastAsia"/>
                      <w:color w:val="auto"/>
                      <w:sz w:val="18"/>
                      <w:szCs w:val="18"/>
                    </w:rPr>
                    <w:t>年</w:t>
                  </w:r>
                  <w:r>
                    <w:rPr>
                      <w:color w:val="auto"/>
                      <w:sz w:val="18"/>
                      <w:szCs w:val="18"/>
                    </w:rPr>
                    <w:t>9</w:t>
                  </w:r>
                  <w:r>
                    <w:rPr>
                      <w:rFonts w:hint="eastAsia"/>
                      <w:color w:val="auto"/>
                      <w:sz w:val="18"/>
                      <w:szCs w:val="18"/>
                    </w:rPr>
                    <w:t>月</w:t>
                  </w:r>
                  <w:r>
                    <w:rPr>
                      <w:color w:val="auto"/>
                      <w:sz w:val="18"/>
                      <w:szCs w:val="18"/>
                    </w:rPr>
                    <w:t>30</w:t>
                  </w:r>
                  <w:r>
                    <w:rPr>
                      <w:rFonts w:hint="eastAsia"/>
                      <w:color w:val="auto"/>
                      <w:sz w:val="18"/>
                      <w:szCs w:val="18"/>
                    </w:rPr>
                    <w:t>日前完成废水、废气排污口的规范工作</w:t>
                  </w:r>
                </w:p>
              </w:tc>
              <w:tc>
                <w:tcPr>
                  <w:tcW w:w="1505" w:type="pct"/>
                  <w:tcBorders>
                    <w:tl2br w:val="nil"/>
                    <w:tr2bl w:val="nil"/>
                  </w:tcBorders>
                  <w:vAlign w:val="center"/>
                </w:tcPr>
                <w:p w14:paraId="380C36E5">
                  <w:pPr>
                    <w:jc w:val="center"/>
                    <w:rPr>
                      <w:color w:val="auto"/>
                      <w:sz w:val="18"/>
                      <w:szCs w:val="18"/>
                    </w:rPr>
                  </w:pPr>
                  <w:r>
                    <w:rPr>
                      <w:rFonts w:hint="eastAsia"/>
                      <w:color w:val="auto"/>
                      <w:sz w:val="18"/>
                      <w:szCs w:val="18"/>
                    </w:rPr>
                    <w:t>本次为新建项目，按照规范要求建设废水、废气排放口</w:t>
                  </w:r>
                </w:p>
              </w:tc>
              <w:tc>
                <w:tcPr>
                  <w:tcW w:w="542" w:type="pct"/>
                  <w:tcBorders>
                    <w:tl2br w:val="nil"/>
                    <w:tr2bl w:val="nil"/>
                  </w:tcBorders>
                  <w:vAlign w:val="center"/>
                </w:tcPr>
                <w:p w14:paraId="47A2D073">
                  <w:pPr>
                    <w:jc w:val="center"/>
                    <w:rPr>
                      <w:color w:val="auto"/>
                      <w:sz w:val="18"/>
                      <w:szCs w:val="18"/>
                    </w:rPr>
                  </w:pPr>
                  <w:r>
                    <w:rPr>
                      <w:color w:val="auto"/>
                      <w:sz w:val="18"/>
                      <w:szCs w:val="18"/>
                    </w:rPr>
                    <w:t>相符</w:t>
                  </w:r>
                </w:p>
              </w:tc>
            </w:tr>
            <w:tr w14:paraId="65ADD1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952" w:type="pct"/>
                  <w:tcBorders>
                    <w:tl2br w:val="nil"/>
                    <w:tr2bl w:val="nil"/>
                  </w:tcBorders>
                  <w:vAlign w:val="center"/>
                </w:tcPr>
                <w:p w14:paraId="0D423F56">
                  <w:pPr>
                    <w:jc w:val="center"/>
                    <w:rPr>
                      <w:color w:val="auto"/>
                      <w:sz w:val="18"/>
                      <w:szCs w:val="18"/>
                    </w:rPr>
                  </w:pPr>
                  <w:r>
                    <w:rPr>
                      <w:rFonts w:hint="eastAsia"/>
                      <w:color w:val="auto"/>
                      <w:sz w:val="18"/>
                      <w:szCs w:val="18"/>
                    </w:rPr>
                    <w:t>对使用性质调整、改变或废弃的实验室、化验室、试验场，应在彻底消除污染隐患后，向当地环境保护部门登记备案，禁止将废弃药品以及已受污染的场地、建筑物、设备、器皿等转移给不具备污染治理条件的企业、单位或个人使用，禁止随意丢弃有毒有害固体废物、废液等</w:t>
                  </w:r>
                </w:p>
              </w:tc>
              <w:tc>
                <w:tcPr>
                  <w:tcW w:w="1505" w:type="pct"/>
                  <w:tcBorders>
                    <w:tl2br w:val="nil"/>
                    <w:tr2bl w:val="nil"/>
                  </w:tcBorders>
                  <w:vAlign w:val="center"/>
                </w:tcPr>
                <w:p w14:paraId="41846CD5">
                  <w:pPr>
                    <w:jc w:val="center"/>
                    <w:rPr>
                      <w:color w:val="auto"/>
                      <w:sz w:val="18"/>
                      <w:szCs w:val="18"/>
                    </w:rPr>
                  </w:pPr>
                  <w:r>
                    <w:rPr>
                      <w:rFonts w:hint="eastAsia"/>
                      <w:color w:val="auto"/>
                      <w:sz w:val="18"/>
                      <w:szCs w:val="18"/>
                    </w:rPr>
                    <w:t>本次为新建项目，不涉及</w:t>
                  </w:r>
                </w:p>
              </w:tc>
              <w:tc>
                <w:tcPr>
                  <w:tcW w:w="542" w:type="pct"/>
                  <w:tcBorders>
                    <w:tl2br w:val="nil"/>
                    <w:tr2bl w:val="nil"/>
                  </w:tcBorders>
                  <w:vAlign w:val="center"/>
                </w:tcPr>
                <w:p w14:paraId="104FEFC3">
                  <w:pPr>
                    <w:jc w:val="center"/>
                    <w:rPr>
                      <w:color w:val="auto"/>
                      <w:sz w:val="18"/>
                      <w:szCs w:val="18"/>
                    </w:rPr>
                  </w:pPr>
                  <w:r>
                    <w:rPr>
                      <w:color w:val="auto"/>
                      <w:sz w:val="18"/>
                      <w:szCs w:val="18"/>
                    </w:rPr>
                    <w:t>相符</w:t>
                  </w:r>
                </w:p>
              </w:tc>
            </w:tr>
            <w:tr w14:paraId="5F4F50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952" w:type="pct"/>
                  <w:tcBorders>
                    <w:tl2br w:val="nil"/>
                    <w:tr2bl w:val="nil"/>
                  </w:tcBorders>
                  <w:vAlign w:val="center"/>
                </w:tcPr>
                <w:p w14:paraId="583D7951">
                  <w:pPr>
                    <w:jc w:val="center"/>
                    <w:rPr>
                      <w:color w:val="auto"/>
                      <w:sz w:val="18"/>
                      <w:szCs w:val="18"/>
                    </w:rPr>
                  </w:pPr>
                  <w:r>
                    <w:rPr>
                      <w:rFonts w:hint="eastAsia"/>
                      <w:color w:val="auto"/>
                      <w:sz w:val="18"/>
                      <w:szCs w:val="18"/>
                    </w:rPr>
                    <w:t>新建、改建、扩建或使用性质调整、改变的实验室、化验室、试验场，必须严格执行建设项目环境保护审批制度，未经批准不得建设或使用</w:t>
                  </w:r>
                </w:p>
              </w:tc>
              <w:tc>
                <w:tcPr>
                  <w:tcW w:w="1505" w:type="pct"/>
                  <w:tcBorders>
                    <w:tl2br w:val="nil"/>
                    <w:tr2bl w:val="nil"/>
                  </w:tcBorders>
                  <w:vAlign w:val="center"/>
                </w:tcPr>
                <w:p w14:paraId="49640273">
                  <w:pPr>
                    <w:jc w:val="center"/>
                    <w:rPr>
                      <w:color w:val="auto"/>
                      <w:sz w:val="18"/>
                      <w:szCs w:val="18"/>
                    </w:rPr>
                  </w:pPr>
                  <w:r>
                    <w:rPr>
                      <w:rFonts w:hint="eastAsia"/>
                      <w:color w:val="auto"/>
                      <w:sz w:val="18"/>
                      <w:szCs w:val="18"/>
                    </w:rPr>
                    <w:t>本次为新建项目，按照环保要求审批</w:t>
                  </w:r>
                </w:p>
              </w:tc>
              <w:tc>
                <w:tcPr>
                  <w:tcW w:w="542" w:type="pct"/>
                  <w:tcBorders>
                    <w:tl2br w:val="nil"/>
                    <w:tr2bl w:val="nil"/>
                  </w:tcBorders>
                  <w:vAlign w:val="center"/>
                </w:tcPr>
                <w:p w14:paraId="1CBED071">
                  <w:pPr>
                    <w:jc w:val="center"/>
                    <w:rPr>
                      <w:color w:val="auto"/>
                      <w:sz w:val="18"/>
                      <w:szCs w:val="18"/>
                    </w:rPr>
                  </w:pPr>
                  <w:r>
                    <w:rPr>
                      <w:color w:val="auto"/>
                      <w:sz w:val="18"/>
                      <w:szCs w:val="18"/>
                    </w:rPr>
                    <w:t>相符</w:t>
                  </w:r>
                </w:p>
              </w:tc>
            </w:tr>
            <w:tr w14:paraId="72431D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952" w:type="pct"/>
                  <w:tcBorders>
                    <w:tl2br w:val="nil"/>
                    <w:tr2bl w:val="nil"/>
                  </w:tcBorders>
                  <w:vAlign w:val="center"/>
                </w:tcPr>
                <w:p w14:paraId="00D5C2BB">
                  <w:pPr>
                    <w:jc w:val="center"/>
                    <w:rPr>
                      <w:color w:val="auto"/>
                      <w:sz w:val="18"/>
                      <w:szCs w:val="18"/>
                    </w:rPr>
                  </w:pPr>
                  <w:r>
                    <w:rPr>
                      <w:rFonts w:hint="eastAsia"/>
                      <w:color w:val="auto"/>
                      <w:sz w:val="18"/>
                      <w:szCs w:val="18"/>
                    </w:rPr>
                    <w:t>建立实验室、化验室、试验场污染事故预防和应急体系及上报机制，防止此类污染事故的发生和对群众健康造成损害</w:t>
                  </w:r>
                </w:p>
              </w:tc>
              <w:tc>
                <w:tcPr>
                  <w:tcW w:w="1505" w:type="pct"/>
                  <w:tcBorders>
                    <w:tl2br w:val="nil"/>
                    <w:tr2bl w:val="nil"/>
                  </w:tcBorders>
                  <w:vAlign w:val="center"/>
                </w:tcPr>
                <w:p w14:paraId="239C2BEB">
                  <w:pPr>
                    <w:jc w:val="center"/>
                    <w:rPr>
                      <w:color w:val="auto"/>
                      <w:sz w:val="18"/>
                      <w:szCs w:val="18"/>
                    </w:rPr>
                  </w:pPr>
                  <w:r>
                    <w:rPr>
                      <w:color w:val="auto"/>
                      <w:sz w:val="18"/>
                      <w:szCs w:val="18"/>
                    </w:rPr>
                    <w:t>项目实施后将编制突发环境事件应急预案，对各类环境风险进行有效防控。</w:t>
                  </w:r>
                </w:p>
              </w:tc>
              <w:tc>
                <w:tcPr>
                  <w:tcW w:w="542" w:type="pct"/>
                  <w:tcBorders>
                    <w:tl2br w:val="nil"/>
                    <w:tr2bl w:val="nil"/>
                  </w:tcBorders>
                  <w:vAlign w:val="center"/>
                </w:tcPr>
                <w:p w14:paraId="394DA1C0">
                  <w:pPr>
                    <w:jc w:val="center"/>
                    <w:rPr>
                      <w:color w:val="auto"/>
                      <w:sz w:val="18"/>
                      <w:szCs w:val="18"/>
                    </w:rPr>
                  </w:pPr>
                  <w:r>
                    <w:rPr>
                      <w:color w:val="auto"/>
                      <w:sz w:val="18"/>
                      <w:szCs w:val="18"/>
                    </w:rPr>
                    <w:t>相符</w:t>
                  </w:r>
                </w:p>
              </w:tc>
            </w:tr>
          </w:tbl>
          <w:p w14:paraId="13D92C90">
            <w:pPr>
              <w:autoSpaceDE w:val="0"/>
              <w:autoSpaceDN w:val="0"/>
              <w:adjustRightInd w:val="0"/>
              <w:snapToGrid w:val="0"/>
              <w:spacing w:line="360" w:lineRule="auto"/>
              <w:rPr>
                <w:color w:val="auto"/>
                <w:spacing w:val="6"/>
                <w:szCs w:val="21"/>
                <w:shd w:val="clear" w:color="auto" w:fill="FFFFFF"/>
              </w:rPr>
            </w:pPr>
            <w:r>
              <w:rPr>
                <w:rFonts w:hint="eastAsia"/>
                <w:b/>
                <w:bCs/>
                <w:color w:val="auto"/>
                <w:spacing w:val="6"/>
                <w:szCs w:val="21"/>
                <w:shd w:val="clear" w:color="auto" w:fill="FFFFFF"/>
              </w:rPr>
              <w:t xml:space="preserve">  </w:t>
            </w:r>
            <w:r>
              <w:rPr>
                <w:rFonts w:hint="eastAsia"/>
                <w:color w:val="auto"/>
                <w:spacing w:val="6"/>
                <w:szCs w:val="21"/>
                <w:shd w:val="clear" w:color="auto" w:fill="FFFFFF"/>
              </w:rPr>
              <w:t xml:space="preserve">  综上所述，本项目符合《关于加强实验室类污染环境监管的通知》（环 </w:t>
            </w:r>
          </w:p>
          <w:p w14:paraId="0D8F53AD">
            <w:pPr>
              <w:autoSpaceDE w:val="0"/>
              <w:autoSpaceDN w:val="0"/>
              <w:adjustRightInd w:val="0"/>
              <w:snapToGrid w:val="0"/>
              <w:spacing w:line="360" w:lineRule="auto"/>
              <w:rPr>
                <w:b/>
                <w:bCs/>
                <w:color w:val="auto"/>
                <w:spacing w:val="6"/>
                <w:szCs w:val="21"/>
                <w:shd w:val="clear" w:color="auto" w:fill="FFFFFF"/>
              </w:rPr>
            </w:pPr>
            <w:r>
              <w:rPr>
                <w:rFonts w:hint="eastAsia"/>
                <w:color w:val="auto"/>
                <w:spacing w:val="6"/>
                <w:szCs w:val="21"/>
                <w:shd w:val="clear" w:color="auto" w:fill="FFFFFF"/>
              </w:rPr>
              <w:t>办〔2004〕15号）要求。</w:t>
            </w:r>
          </w:p>
          <w:p w14:paraId="4E89D2A3">
            <w:pPr>
              <w:autoSpaceDE w:val="0"/>
              <w:autoSpaceDN w:val="0"/>
              <w:adjustRightInd w:val="0"/>
              <w:snapToGrid w:val="0"/>
              <w:spacing w:line="360" w:lineRule="auto"/>
              <w:rPr>
                <w:b/>
                <w:bCs/>
                <w:color w:val="auto"/>
                <w:spacing w:val="6"/>
                <w:szCs w:val="21"/>
                <w:shd w:val="clear" w:color="auto" w:fill="FFFFFF"/>
              </w:rPr>
            </w:pPr>
            <w:r>
              <w:rPr>
                <w:rFonts w:hint="eastAsia"/>
                <w:b/>
                <w:bCs/>
                <w:color w:val="auto"/>
                <w:spacing w:val="6"/>
                <w:szCs w:val="21"/>
                <w:shd w:val="clear" w:color="auto" w:fill="FFFFFF"/>
              </w:rPr>
              <w:t xml:space="preserve">    12.与《实验室挥发性有机物污染防治技术指南》（T/ACEF 001-2020） </w:t>
            </w:r>
          </w:p>
          <w:p w14:paraId="1862994C">
            <w:pPr>
              <w:autoSpaceDE w:val="0"/>
              <w:autoSpaceDN w:val="0"/>
              <w:adjustRightInd w:val="0"/>
              <w:snapToGrid w:val="0"/>
              <w:spacing w:line="360" w:lineRule="auto"/>
              <w:rPr>
                <w:b/>
                <w:bCs/>
                <w:color w:val="auto"/>
                <w:spacing w:val="6"/>
                <w:szCs w:val="21"/>
                <w:shd w:val="clear" w:color="auto" w:fill="FFFFFF"/>
              </w:rPr>
            </w:pPr>
            <w:r>
              <w:rPr>
                <w:rFonts w:hint="eastAsia"/>
                <w:b/>
                <w:bCs/>
                <w:color w:val="auto"/>
                <w:spacing w:val="6"/>
                <w:szCs w:val="21"/>
                <w:shd w:val="clear" w:color="auto" w:fill="FFFFFF"/>
              </w:rPr>
              <w:t>的符合性分析</w:t>
            </w:r>
          </w:p>
          <w:p w14:paraId="199FC989">
            <w:pPr>
              <w:pStyle w:val="18"/>
              <w:spacing w:before="0" w:beforeAutospacing="0" w:after="0" w:afterAutospacing="0"/>
              <w:jc w:val="center"/>
              <w:rPr>
                <w:rFonts w:ascii="Times New Roman" w:hAnsi="Times New Roman"/>
                <w:b/>
                <w:bCs/>
                <w:color w:val="auto"/>
                <w:sz w:val="21"/>
                <w:szCs w:val="21"/>
              </w:rPr>
            </w:pPr>
            <w:r>
              <w:rPr>
                <w:rFonts w:ascii="Times New Roman" w:hAnsi="Times New Roman"/>
                <w:b/>
                <w:bCs/>
                <w:color w:val="auto"/>
                <w:sz w:val="21"/>
                <w:szCs w:val="21"/>
              </w:rPr>
              <w:t>表1-</w:t>
            </w:r>
            <w:r>
              <w:rPr>
                <w:rFonts w:hint="eastAsia" w:ascii="Times New Roman" w:hAnsi="Times New Roman"/>
                <w:b/>
                <w:bCs/>
                <w:color w:val="auto"/>
                <w:sz w:val="21"/>
                <w:szCs w:val="21"/>
              </w:rPr>
              <w:t>8</w:t>
            </w:r>
            <w:r>
              <w:rPr>
                <w:rFonts w:ascii="Times New Roman" w:hAnsi="Times New Roman"/>
                <w:b/>
                <w:bCs/>
                <w:color w:val="auto"/>
                <w:sz w:val="21"/>
                <w:szCs w:val="21"/>
              </w:rPr>
              <w:t xml:space="preserve"> </w:t>
            </w:r>
            <w:r>
              <w:rPr>
                <w:rFonts w:hint="eastAsia" w:ascii="Times New Roman" w:hAnsi="Times New Roman"/>
                <w:b/>
                <w:bCs/>
                <w:color w:val="auto"/>
                <w:sz w:val="21"/>
                <w:szCs w:val="21"/>
              </w:rPr>
              <w:t>与《实验室挥发性有机物污染防治技术指南》相符性分析</w:t>
            </w:r>
          </w:p>
          <w:tbl>
            <w:tblPr>
              <w:tblStyle w:val="23"/>
              <w:tblW w:w="48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0"/>
              <w:gridCol w:w="3623"/>
              <w:gridCol w:w="2738"/>
              <w:gridCol w:w="709"/>
            </w:tblGrid>
            <w:tr w14:paraId="0A8203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385" w:type="pct"/>
                  <w:tcBorders>
                    <w:tl2br w:val="nil"/>
                    <w:tr2bl w:val="nil"/>
                  </w:tcBorders>
                  <w:vAlign w:val="center"/>
                </w:tcPr>
                <w:p w14:paraId="220346D7">
                  <w:pPr>
                    <w:pStyle w:val="18"/>
                    <w:spacing w:before="0"/>
                    <w:jc w:val="center"/>
                    <w:rPr>
                      <w:rFonts w:ascii="Times New Roman" w:hAnsi="Times New Roman"/>
                      <w:b/>
                      <w:bCs/>
                      <w:color w:val="auto"/>
                      <w:sz w:val="18"/>
                      <w:szCs w:val="18"/>
                    </w:rPr>
                  </w:pPr>
                  <w:r>
                    <w:rPr>
                      <w:rFonts w:hint="eastAsia" w:ascii="Times New Roman" w:hAnsi="Times New Roman"/>
                      <w:b/>
                      <w:bCs/>
                      <w:color w:val="auto"/>
                      <w:sz w:val="18"/>
                      <w:szCs w:val="18"/>
                    </w:rPr>
                    <w:t>项目</w:t>
                  </w:r>
                </w:p>
              </w:tc>
              <w:tc>
                <w:tcPr>
                  <w:tcW w:w="2364" w:type="pct"/>
                  <w:tcBorders>
                    <w:tl2br w:val="nil"/>
                    <w:tr2bl w:val="nil"/>
                  </w:tcBorders>
                  <w:vAlign w:val="center"/>
                </w:tcPr>
                <w:p w14:paraId="72C1772D">
                  <w:pPr>
                    <w:pStyle w:val="18"/>
                    <w:spacing w:before="0"/>
                    <w:jc w:val="center"/>
                    <w:rPr>
                      <w:rFonts w:ascii="Times New Roman" w:hAnsi="Times New Roman"/>
                      <w:b/>
                      <w:bCs/>
                      <w:color w:val="auto"/>
                      <w:sz w:val="18"/>
                      <w:szCs w:val="18"/>
                    </w:rPr>
                  </w:pPr>
                  <w:r>
                    <w:rPr>
                      <w:rFonts w:hint="eastAsia" w:ascii="Times New Roman" w:hAnsi="Times New Roman"/>
                      <w:b/>
                      <w:bCs/>
                      <w:color w:val="auto"/>
                      <w:sz w:val="18"/>
                      <w:szCs w:val="18"/>
                    </w:rPr>
                    <w:t>文件要求</w:t>
                  </w:r>
                </w:p>
              </w:tc>
              <w:tc>
                <w:tcPr>
                  <w:tcW w:w="1787" w:type="pct"/>
                  <w:tcBorders>
                    <w:tl2br w:val="nil"/>
                    <w:tr2bl w:val="nil"/>
                  </w:tcBorders>
                  <w:vAlign w:val="center"/>
                </w:tcPr>
                <w:p w14:paraId="0305E7B9">
                  <w:pPr>
                    <w:pStyle w:val="18"/>
                    <w:spacing w:before="0"/>
                    <w:jc w:val="center"/>
                    <w:rPr>
                      <w:rFonts w:ascii="Times New Roman" w:hAnsi="Times New Roman"/>
                      <w:b/>
                      <w:bCs/>
                      <w:color w:val="auto"/>
                      <w:sz w:val="18"/>
                      <w:szCs w:val="18"/>
                    </w:rPr>
                  </w:pPr>
                  <w:r>
                    <w:rPr>
                      <w:rFonts w:ascii="Times New Roman" w:hAnsi="Times New Roman"/>
                      <w:b/>
                      <w:bCs/>
                      <w:color w:val="auto"/>
                      <w:sz w:val="18"/>
                      <w:szCs w:val="18"/>
                    </w:rPr>
                    <w:t>本项目情况</w:t>
                  </w:r>
                </w:p>
              </w:tc>
              <w:tc>
                <w:tcPr>
                  <w:tcW w:w="462" w:type="pct"/>
                  <w:tcBorders>
                    <w:tl2br w:val="nil"/>
                    <w:tr2bl w:val="nil"/>
                  </w:tcBorders>
                  <w:vAlign w:val="center"/>
                </w:tcPr>
                <w:p w14:paraId="149746C1">
                  <w:pPr>
                    <w:pStyle w:val="18"/>
                    <w:spacing w:before="0"/>
                    <w:jc w:val="center"/>
                    <w:rPr>
                      <w:rFonts w:ascii="Times New Roman" w:hAnsi="Times New Roman"/>
                      <w:b/>
                      <w:bCs/>
                      <w:color w:val="auto"/>
                      <w:sz w:val="18"/>
                      <w:szCs w:val="18"/>
                    </w:rPr>
                  </w:pPr>
                  <w:r>
                    <w:rPr>
                      <w:rFonts w:ascii="Times New Roman" w:hAnsi="Times New Roman"/>
                      <w:b/>
                      <w:bCs/>
                      <w:color w:val="auto"/>
                      <w:sz w:val="18"/>
                      <w:szCs w:val="18"/>
                    </w:rPr>
                    <w:t>相符性</w:t>
                  </w:r>
                </w:p>
              </w:tc>
            </w:tr>
            <w:tr w14:paraId="2BB7D3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85" w:type="pct"/>
                  <w:vMerge w:val="restart"/>
                  <w:tcBorders>
                    <w:tl2br w:val="nil"/>
                    <w:tr2bl w:val="nil"/>
                  </w:tcBorders>
                  <w:vAlign w:val="center"/>
                </w:tcPr>
                <w:p w14:paraId="38CC33FD">
                  <w:pPr>
                    <w:jc w:val="center"/>
                    <w:rPr>
                      <w:color w:val="auto"/>
                      <w:sz w:val="18"/>
                      <w:szCs w:val="18"/>
                    </w:rPr>
                  </w:pPr>
                  <w:r>
                    <w:rPr>
                      <w:rFonts w:hint="eastAsia"/>
                      <w:color w:val="auto"/>
                      <w:sz w:val="18"/>
                      <w:szCs w:val="18"/>
                    </w:rPr>
                    <w:t xml:space="preserve">基本 </w:t>
                  </w:r>
                </w:p>
                <w:p w14:paraId="0CF3547E">
                  <w:pPr>
                    <w:jc w:val="center"/>
                    <w:rPr>
                      <w:color w:val="auto"/>
                      <w:sz w:val="18"/>
                      <w:szCs w:val="18"/>
                    </w:rPr>
                  </w:pPr>
                  <w:r>
                    <w:rPr>
                      <w:rFonts w:hint="eastAsia"/>
                      <w:color w:val="auto"/>
                      <w:sz w:val="18"/>
                      <w:szCs w:val="18"/>
                    </w:rPr>
                    <w:t>要求</w:t>
                  </w:r>
                </w:p>
              </w:tc>
              <w:tc>
                <w:tcPr>
                  <w:tcW w:w="2364" w:type="pct"/>
                  <w:tcBorders>
                    <w:tl2br w:val="nil"/>
                    <w:tr2bl w:val="nil"/>
                  </w:tcBorders>
                  <w:vAlign w:val="center"/>
                </w:tcPr>
                <w:p w14:paraId="6DFD289B">
                  <w:pPr>
                    <w:jc w:val="center"/>
                    <w:rPr>
                      <w:color w:val="auto"/>
                      <w:sz w:val="18"/>
                      <w:szCs w:val="18"/>
                    </w:rPr>
                  </w:pPr>
                  <w:r>
                    <w:rPr>
                      <w:rFonts w:hint="eastAsia"/>
                      <w:color w:val="auto"/>
                      <w:sz w:val="18"/>
                      <w:szCs w:val="18"/>
                    </w:rPr>
                    <w:t>实验室单位应建立有机溶剂使用登记和管理制度，编制实验操作规范，选择有效的废气收集和净化装置，减少</w:t>
                  </w:r>
                  <w:r>
                    <w:rPr>
                      <w:color w:val="auto"/>
                      <w:sz w:val="18"/>
                      <w:szCs w:val="18"/>
                    </w:rPr>
                    <w:t>VOCs</w:t>
                  </w:r>
                  <w:r>
                    <w:rPr>
                      <w:rFonts w:hint="eastAsia"/>
                      <w:color w:val="auto"/>
                      <w:sz w:val="18"/>
                      <w:szCs w:val="18"/>
                    </w:rPr>
                    <w:t>排放，防止污染周边环境</w:t>
                  </w:r>
                </w:p>
              </w:tc>
              <w:tc>
                <w:tcPr>
                  <w:tcW w:w="1787" w:type="pct"/>
                  <w:tcBorders>
                    <w:tl2br w:val="nil"/>
                    <w:tr2bl w:val="nil"/>
                  </w:tcBorders>
                  <w:vAlign w:val="center"/>
                </w:tcPr>
                <w:p w14:paraId="240BC369">
                  <w:pPr>
                    <w:jc w:val="center"/>
                    <w:rPr>
                      <w:color w:val="auto"/>
                      <w:sz w:val="18"/>
                      <w:szCs w:val="18"/>
                    </w:rPr>
                  </w:pPr>
                  <w:r>
                    <w:rPr>
                      <w:rFonts w:hint="eastAsia"/>
                      <w:color w:val="auto"/>
                      <w:sz w:val="18"/>
                      <w:szCs w:val="18"/>
                    </w:rPr>
                    <w:t>本项目建立有机溶剂使用登记和管理制度，编制实验操作规范，对研发实验过程产生的有机废气进行收集处理</w:t>
                  </w:r>
                </w:p>
              </w:tc>
              <w:tc>
                <w:tcPr>
                  <w:tcW w:w="462" w:type="pct"/>
                  <w:tcBorders>
                    <w:tl2br w:val="nil"/>
                    <w:tr2bl w:val="nil"/>
                  </w:tcBorders>
                  <w:vAlign w:val="center"/>
                </w:tcPr>
                <w:p w14:paraId="72546BC8">
                  <w:pPr>
                    <w:jc w:val="center"/>
                    <w:rPr>
                      <w:color w:val="auto"/>
                      <w:sz w:val="18"/>
                      <w:szCs w:val="18"/>
                    </w:rPr>
                  </w:pPr>
                  <w:r>
                    <w:rPr>
                      <w:color w:val="auto"/>
                      <w:sz w:val="18"/>
                      <w:szCs w:val="18"/>
                    </w:rPr>
                    <w:t>相符</w:t>
                  </w:r>
                </w:p>
              </w:tc>
            </w:tr>
            <w:tr w14:paraId="3982F8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85" w:type="pct"/>
                  <w:vMerge w:val="continue"/>
                  <w:tcBorders>
                    <w:tl2br w:val="nil"/>
                    <w:tr2bl w:val="nil"/>
                  </w:tcBorders>
                  <w:vAlign w:val="center"/>
                </w:tcPr>
                <w:p w14:paraId="46318CA2">
                  <w:pPr>
                    <w:pStyle w:val="18"/>
                    <w:spacing w:before="0"/>
                    <w:jc w:val="center"/>
                    <w:rPr>
                      <w:rFonts w:ascii="Times New Roman" w:hAnsi="Times New Roman"/>
                      <w:color w:val="auto"/>
                      <w:sz w:val="18"/>
                      <w:szCs w:val="18"/>
                    </w:rPr>
                  </w:pPr>
                </w:p>
              </w:tc>
              <w:tc>
                <w:tcPr>
                  <w:tcW w:w="2364" w:type="pct"/>
                  <w:tcBorders>
                    <w:tl2br w:val="nil"/>
                    <w:tr2bl w:val="nil"/>
                  </w:tcBorders>
                  <w:vAlign w:val="center"/>
                </w:tcPr>
                <w:p w14:paraId="75ECF904">
                  <w:pPr>
                    <w:jc w:val="center"/>
                    <w:rPr>
                      <w:color w:val="auto"/>
                      <w:sz w:val="18"/>
                      <w:szCs w:val="18"/>
                    </w:rPr>
                  </w:pPr>
                  <w:r>
                    <w:rPr>
                      <w:rFonts w:hint="eastAsia"/>
                      <w:color w:val="auto"/>
                      <w:sz w:val="18"/>
                      <w:szCs w:val="18"/>
                    </w:rPr>
                    <w:t>产生</w:t>
                  </w:r>
                  <w:r>
                    <w:rPr>
                      <w:color w:val="auto"/>
                      <w:sz w:val="18"/>
                      <w:szCs w:val="18"/>
                    </w:rPr>
                    <w:t>VOCs</w:t>
                  </w:r>
                  <w:r>
                    <w:rPr>
                      <w:rFonts w:hint="eastAsia"/>
                      <w:color w:val="auto"/>
                      <w:sz w:val="18"/>
                      <w:szCs w:val="18"/>
                    </w:rPr>
                    <w:t>废气应进行收集，排放至</w:t>
                  </w:r>
                  <w:r>
                    <w:rPr>
                      <w:color w:val="auto"/>
                      <w:sz w:val="18"/>
                      <w:szCs w:val="18"/>
                    </w:rPr>
                    <w:t>VOCs</w:t>
                  </w:r>
                  <w:r>
                    <w:rPr>
                      <w:rFonts w:hint="eastAsia"/>
                      <w:color w:val="auto"/>
                      <w:sz w:val="18"/>
                      <w:szCs w:val="18"/>
                    </w:rPr>
                    <w:t>废气收集装置</w:t>
                  </w:r>
                </w:p>
              </w:tc>
              <w:tc>
                <w:tcPr>
                  <w:tcW w:w="1787" w:type="pct"/>
                  <w:tcBorders>
                    <w:tl2br w:val="nil"/>
                    <w:tr2bl w:val="nil"/>
                  </w:tcBorders>
                  <w:vAlign w:val="center"/>
                </w:tcPr>
                <w:p w14:paraId="1F1A0A50">
                  <w:pPr>
                    <w:jc w:val="center"/>
                    <w:rPr>
                      <w:color w:val="auto"/>
                      <w:sz w:val="18"/>
                      <w:szCs w:val="18"/>
                    </w:rPr>
                  </w:pPr>
                  <w:r>
                    <w:rPr>
                      <w:rFonts w:hint="eastAsia"/>
                      <w:color w:val="auto"/>
                      <w:sz w:val="18"/>
                      <w:szCs w:val="18"/>
                    </w:rPr>
                    <w:t>本项目研发、检测实验产生的有机废气收集后进行活性炭吸附处理</w:t>
                  </w:r>
                </w:p>
              </w:tc>
              <w:tc>
                <w:tcPr>
                  <w:tcW w:w="462" w:type="pct"/>
                  <w:tcBorders>
                    <w:tl2br w:val="nil"/>
                    <w:tr2bl w:val="nil"/>
                  </w:tcBorders>
                  <w:vAlign w:val="center"/>
                </w:tcPr>
                <w:p w14:paraId="450A5C47">
                  <w:pPr>
                    <w:jc w:val="center"/>
                    <w:rPr>
                      <w:color w:val="auto"/>
                      <w:sz w:val="18"/>
                      <w:szCs w:val="18"/>
                    </w:rPr>
                  </w:pPr>
                  <w:r>
                    <w:rPr>
                      <w:color w:val="auto"/>
                      <w:sz w:val="18"/>
                      <w:szCs w:val="18"/>
                    </w:rPr>
                    <w:t>相符</w:t>
                  </w:r>
                </w:p>
              </w:tc>
            </w:tr>
            <w:tr w14:paraId="03B07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85" w:type="pct"/>
                  <w:vMerge w:val="continue"/>
                  <w:tcBorders>
                    <w:tl2br w:val="nil"/>
                    <w:tr2bl w:val="nil"/>
                  </w:tcBorders>
                  <w:vAlign w:val="center"/>
                </w:tcPr>
                <w:p w14:paraId="70970302">
                  <w:pPr>
                    <w:pStyle w:val="18"/>
                    <w:spacing w:before="0"/>
                    <w:jc w:val="center"/>
                    <w:rPr>
                      <w:rFonts w:ascii="Times New Roman" w:hAnsi="Times New Roman"/>
                      <w:color w:val="auto"/>
                      <w:sz w:val="18"/>
                      <w:szCs w:val="18"/>
                    </w:rPr>
                  </w:pPr>
                </w:p>
              </w:tc>
              <w:tc>
                <w:tcPr>
                  <w:tcW w:w="2364" w:type="pct"/>
                  <w:tcBorders>
                    <w:tl2br w:val="nil"/>
                    <w:tr2bl w:val="nil"/>
                  </w:tcBorders>
                  <w:vAlign w:val="center"/>
                </w:tcPr>
                <w:p w14:paraId="6C5B62A7">
                  <w:pPr>
                    <w:jc w:val="center"/>
                    <w:rPr>
                      <w:color w:val="auto"/>
                      <w:sz w:val="18"/>
                      <w:szCs w:val="18"/>
                    </w:rPr>
                  </w:pPr>
                  <w:r>
                    <w:rPr>
                      <w:rFonts w:hint="eastAsia"/>
                      <w:color w:val="auto"/>
                      <w:sz w:val="18"/>
                      <w:szCs w:val="18"/>
                    </w:rPr>
                    <w:t>实验室有组织</w:t>
                  </w:r>
                  <w:r>
                    <w:rPr>
                      <w:color w:val="auto"/>
                      <w:sz w:val="18"/>
                      <w:szCs w:val="18"/>
                    </w:rPr>
                    <w:t>VOCs</w:t>
                  </w:r>
                  <w:r>
                    <w:rPr>
                      <w:rFonts w:hint="eastAsia"/>
                      <w:color w:val="auto"/>
                      <w:sz w:val="18"/>
                      <w:szCs w:val="18"/>
                    </w:rPr>
                    <w:t>宜经过净化处理后方可排放。综合考虑场地、实验室类型等因素，因地制宜地采用有效的</w:t>
                  </w:r>
                  <w:r>
                    <w:rPr>
                      <w:color w:val="auto"/>
                      <w:sz w:val="18"/>
                      <w:szCs w:val="18"/>
                    </w:rPr>
                    <w:t>VOCs</w:t>
                  </w:r>
                  <w:r>
                    <w:rPr>
                      <w:rFonts w:hint="eastAsia"/>
                      <w:color w:val="auto"/>
                      <w:sz w:val="18"/>
                      <w:szCs w:val="18"/>
                    </w:rPr>
                    <w:t>净化装置。经过净化后的废气应符合排放标准后方可排放，净化过程避免产生二次污染</w:t>
                  </w:r>
                </w:p>
              </w:tc>
              <w:tc>
                <w:tcPr>
                  <w:tcW w:w="1787" w:type="pct"/>
                  <w:tcBorders>
                    <w:tl2br w:val="nil"/>
                    <w:tr2bl w:val="nil"/>
                  </w:tcBorders>
                  <w:vAlign w:val="center"/>
                </w:tcPr>
                <w:p w14:paraId="08E4957C">
                  <w:pPr>
                    <w:jc w:val="center"/>
                    <w:rPr>
                      <w:color w:val="auto"/>
                      <w:sz w:val="18"/>
                      <w:szCs w:val="18"/>
                    </w:rPr>
                  </w:pPr>
                  <w:r>
                    <w:rPr>
                      <w:rFonts w:hint="eastAsia"/>
                      <w:color w:val="auto"/>
                      <w:sz w:val="18"/>
                      <w:szCs w:val="18"/>
                    </w:rPr>
                    <w:t>本项目对收集的有机废气进行活性炭吸附处理，产生的废活性炭委托有资质单位处置</w:t>
                  </w:r>
                </w:p>
              </w:tc>
              <w:tc>
                <w:tcPr>
                  <w:tcW w:w="462" w:type="pct"/>
                  <w:tcBorders>
                    <w:tl2br w:val="nil"/>
                    <w:tr2bl w:val="nil"/>
                  </w:tcBorders>
                  <w:vAlign w:val="center"/>
                </w:tcPr>
                <w:p w14:paraId="4447706B">
                  <w:pPr>
                    <w:jc w:val="center"/>
                    <w:rPr>
                      <w:color w:val="auto"/>
                      <w:sz w:val="18"/>
                      <w:szCs w:val="18"/>
                    </w:rPr>
                  </w:pPr>
                  <w:r>
                    <w:rPr>
                      <w:color w:val="auto"/>
                      <w:sz w:val="18"/>
                      <w:szCs w:val="18"/>
                    </w:rPr>
                    <w:t>相符</w:t>
                  </w:r>
                </w:p>
              </w:tc>
            </w:tr>
            <w:tr w14:paraId="329C44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85" w:type="pct"/>
                  <w:vMerge w:val="continue"/>
                  <w:tcBorders>
                    <w:tl2br w:val="nil"/>
                    <w:tr2bl w:val="nil"/>
                  </w:tcBorders>
                  <w:vAlign w:val="center"/>
                </w:tcPr>
                <w:p w14:paraId="25166307">
                  <w:pPr>
                    <w:pStyle w:val="18"/>
                    <w:spacing w:before="0"/>
                    <w:jc w:val="center"/>
                    <w:rPr>
                      <w:rFonts w:ascii="Times New Roman" w:hAnsi="Times New Roman"/>
                      <w:color w:val="auto"/>
                      <w:sz w:val="18"/>
                      <w:szCs w:val="18"/>
                    </w:rPr>
                  </w:pPr>
                </w:p>
              </w:tc>
              <w:tc>
                <w:tcPr>
                  <w:tcW w:w="2364" w:type="pct"/>
                  <w:tcBorders>
                    <w:tl2br w:val="nil"/>
                    <w:tr2bl w:val="nil"/>
                  </w:tcBorders>
                  <w:vAlign w:val="center"/>
                </w:tcPr>
                <w:p w14:paraId="66E1CDDF">
                  <w:pPr>
                    <w:jc w:val="center"/>
                    <w:rPr>
                      <w:color w:val="auto"/>
                      <w:sz w:val="18"/>
                      <w:szCs w:val="18"/>
                    </w:rPr>
                  </w:pPr>
                  <w:r>
                    <w:rPr>
                      <w:rFonts w:hint="eastAsia"/>
                      <w:color w:val="auto"/>
                      <w:sz w:val="18"/>
                      <w:szCs w:val="18"/>
                    </w:rPr>
                    <w:t>废气收集和净化装置应保证与实验操作同时正常运行</w:t>
                  </w:r>
                </w:p>
              </w:tc>
              <w:tc>
                <w:tcPr>
                  <w:tcW w:w="1787" w:type="pct"/>
                  <w:tcBorders>
                    <w:tl2br w:val="nil"/>
                    <w:tr2bl w:val="nil"/>
                  </w:tcBorders>
                  <w:vAlign w:val="center"/>
                </w:tcPr>
                <w:p w14:paraId="7FA3C50A">
                  <w:pPr>
                    <w:jc w:val="center"/>
                    <w:rPr>
                      <w:color w:val="auto"/>
                      <w:sz w:val="18"/>
                      <w:szCs w:val="18"/>
                    </w:rPr>
                  </w:pPr>
                  <w:r>
                    <w:rPr>
                      <w:rFonts w:hint="eastAsia"/>
                      <w:color w:val="auto"/>
                      <w:sz w:val="18"/>
                      <w:szCs w:val="18"/>
                    </w:rPr>
                    <w:t>本项目废气收集和净化装置与实验操作同时正常运行</w:t>
                  </w:r>
                </w:p>
              </w:tc>
              <w:tc>
                <w:tcPr>
                  <w:tcW w:w="462" w:type="pct"/>
                  <w:tcBorders>
                    <w:tl2br w:val="nil"/>
                    <w:tr2bl w:val="nil"/>
                  </w:tcBorders>
                  <w:vAlign w:val="center"/>
                </w:tcPr>
                <w:p w14:paraId="48CB1974">
                  <w:pPr>
                    <w:jc w:val="center"/>
                    <w:rPr>
                      <w:color w:val="auto"/>
                      <w:sz w:val="18"/>
                      <w:szCs w:val="18"/>
                    </w:rPr>
                  </w:pPr>
                  <w:r>
                    <w:rPr>
                      <w:color w:val="auto"/>
                      <w:sz w:val="18"/>
                      <w:szCs w:val="18"/>
                    </w:rPr>
                    <w:t>相符</w:t>
                  </w:r>
                </w:p>
              </w:tc>
            </w:tr>
            <w:tr w14:paraId="5BFEC7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5" w:type="pct"/>
                  <w:vMerge w:val="restart"/>
                  <w:tcBorders>
                    <w:tl2br w:val="nil"/>
                    <w:tr2bl w:val="nil"/>
                  </w:tcBorders>
                  <w:vAlign w:val="center"/>
                </w:tcPr>
                <w:p w14:paraId="30041411">
                  <w:pPr>
                    <w:pStyle w:val="18"/>
                    <w:spacing w:before="0"/>
                    <w:jc w:val="center"/>
                    <w:rPr>
                      <w:rFonts w:ascii="Times New Roman" w:hAnsi="Times New Roman"/>
                      <w:color w:val="auto"/>
                      <w:sz w:val="18"/>
                      <w:szCs w:val="18"/>
                    </w:rPr>
                  </w:pPr>
                  <w:r>
                    <w:rPr>
                      <w:rFonts w:hint="eastAsia" w:ascii="Times New Roman" w:hAnsi="Times New Roman"/>
                      <w:color w:val="auto"/>
                      <w:sz w:val="18"/>
                      <w:szCs w:val="18"/>
                    </w:rPr>
                    <w:t>有机溶剂使用及操作规范</w:t>
                  </w:r>
                </w:p>
                <w:p w14:paraId="27829AE2">
                  <w:pPr>
                    <w:pStyle w:val="18"/>
                    <w:spacing w:before="0"/>
                    <w:jc w:val="center"/>
                    <w:rPr>
                      <w:rFonts w:ascii="Times New Roman" w:hAnsi="Times New Roman"/>
                      <w:color w:val="auto"/>
                      <w:sz w:val="18"/>
                      <w:szCs w:val="18"/>
                    </w:rPr>
                  </w:pPr>
                </w:p>
              </w:tc>
              <w:tc>
                <w:tcPr>
                  <w:tcW w:w="2364" w:type="pct"/>
                  <w:tcBorders>
                    <w:tl2br w:val="nil"/>
                    <w:tr2bl w:val="nil"/>
                  </w:tcBorders>
                  <w:vAlign w:val="center"/>
                </w:tcPr>
                <w:p w14:paraId="587C873F">
                  <w:pPr>
                    <w:jc w:val="center"/>
                    <w:rPr>
                      <w:color w:val="auto"/>
                      <w:sz w:val="18"/>
                      <w:szCs w:val="18"/>
                    </w:rPr>
                  </w:pPr>
                  <w:r>
                    <w:rPr>
                      <w:rFonts w:hint="eastAsia"/>
                      <w:color w:val="auto"/>
                      <w:sz w:val="18"/>
                      <w:szCs w:val="18"/>
                    </w:rPr>
                    <w:t xml:space="preserve">实验室单位应加强对有机溶剂采购、储存和使用管理，建立有机溶剂（常见的有机溶剂种类参见该指南附录 </w:t>
                  </w:r>
                  <w:r>
                    <w:rPr>
                      <w:color w:val="auto"/>
                      <w:sz w:val="18"/>
                      <w:szCs w:val="18"/>
                    </w:rPr>
                    <w:t>A</w:t>
                  </w:r>
                  <w:r>
                    <w:rPr>
                      <w:rFonts w:hint="eastAsia"/>
                      <w:color w:val="auto"/>
                      <w:sz w:val="18"/>
                      <w:szCs w:val="18"/>
                    </w:rPr>
                    <w:t xml:space="preserve">）购置和使用登记制度，记录实验室所购买及使用的有机溶剂种类、数量（参见该指南附录 </w:t>
                  </w:r>
                  <w:r>
                    <w:rPr>
                      <w:color w:val="auto"/>
                      <w:sz w:val="18"/>
                      <w:szCs w:val="18"/>
                    </w:rPr>
                    <w:t>B</w:t>
                  </w:r>
                  <w:r>
                    <w:rPr>
                      <w:rFonts w:hint="eastAsia"/>
                      <w:color w:val="auto"/>
                      <w:sz w:val="18"/>
                      <w:szCs w:val="18"/>
                    </w:rPr>
                    <w:t>），购置发票或复印件和相关台账记录保存三年</w:t>
                  </w:r>
                </w:p>
              </w:tc>
              <w:tc>
                <w:tcPr>
                  <w:tcW w:w="1787" w:type="pct"/>
                  <w:tcBorders>
                    <w:tl2br w:val="nil"/>
                    <w:tr2bl w:val="nil"/>
                  </w:tcBorders>
                  <w:vAlign w:val="center"/>
                </w:tcPr>
                <w:p w14:paraId="3C5D701A">
                  <w:pPr>
                    <w:jc w:val="center"/>
                    <w:rPr>
                      <w:color w:val="auto"/>
                      <w:sz w:val="18"/>
                      <w:szCs w:val="18"/>
                    </w:rPr>
                  </w:pPr>
                  <w:r>
                    <w:rPr>
                      <w:rFonts w:hint="eastAsia"/>
                      <w:color w:val="auto"/>
                      <w:sz w:val="18"/>
                      <w:szCs w:val="18"/>
                    </w:rPr>
                    <w:t>本项目为新建项目，</w:t>
                  </w:r>
                  <w:r>
                    <w:rPr>
                      <w:color w:val="auto"/>
                      <w:sz w:val="18"/>
                      <w:szCs w:val="18"/>
                    </w:rPr>
                    <w:t>建立购置和使用登记制度，记录实验室所购买及使用的有机溶剂种类、数量，购置发票或复印件和相关台账记录保存三年</w:t>
                  </w:r>
                </w:p>
              </w:tc>
              <w:tc>
                <w:tcPr>
                  <w:tcW w:w="462" w:type="pct"/>
                  <w:tcBorders>
                    <w:tl2br w:val="nil"/>
                    <w:tr2bl w:val="nil"/>
                  </w:tcBorders>
                  <w:vAlign w:val="center"/>
                </w:tcPr>
                <w:p w14:paraId="67A264B8">
                  <w:pPr>
                    <w:jc w:val="center"/>
                    <w:rPr>
                      <w:color w:val="auto"/>
                      <w:sz w:val="18"/>
                      <w:szCs w:val="18"/>
                    </w:rPr>
                  </w:pPr>
                  <w:r>
                    <w:rPr>
                      <w:color w:val="auto"/>
                      <w:sz w:val="18"/>
                      <w:szCs w:val="18"/>
                    </w:rPr>
                    <w:t>相符</w:t>
                  </w:r>
                </w:p>
              </w:tc>
            </w:tr>
            <w:tr w14:paraId="779A60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5" w:type="pct"/>
                  <w:vMerge w:val="continue"/>
                  <w:tcBorders>
                    <w:tl2br w:val="nil"/>
                    <w:tr2bl w:val="nil"/>
                  </w:tcBorders>
                  <w:vAlign w:val="center"/>
                </w:tcPr>
                <w:p w14:paraId="58357F9B">
                  <w:pPr>
                    <w:pStyle w:val="18"/>
                    <w:spacing w:before="0"/>
                    <w:jc w:val="center"/>
                    <w:rPr>
                      <w:rFonts w:ascii="Times New Roman" w:hAnsi="Times New Roman"/>
                      <w:color w:val="auto"/>
                      <w:sz w:val="18"/>
                      <w:szCs w:val="18"/>
                    </w:rPr>
                  </w:pPr>
                </w:p>
              </w:tc>
              <w:tc>
                <w:tcPr>
                  <w:tcW w:w="2364" w:type="pct"/>
                  <w:tcBorders>
                    <w:tl2br w:val="nil"/>
                    <w:tr2bl w:val="nil"/>
                  </w:tcBorders>
                  <w:vAlign w:val="center"/>
                </w:tcPr>
                <w:p w14:paraId="176D4370">
                  <w:pPr>
                    <w:jc w:val="center"/>
                    <w:rPr>
                      <w:color w:val="auto"/>
                      <w:sz w:val="18"/>
                      <w:szCs w:val="18"/>
                    </w:rPr>
                  </w:pPr>
                  <w:r>
                    <w:rPr>
                      <w:rFonts w:hint="eastAsia"/>
                      <w:color w:val="auto"/>
                      <w:sz w:val="18"/>
                      <w:szCs w:val="18"/>
                    </w:rPr>
                    <w:t>在实验条件允许的情况下，宜使用低挥发性的有机溶剂</w:t>
                  </w:r>
                </w:p>
              </w:tc>
              <w:tc>
                <w:tcPr>
                  <w:tcW w:w="1787" w:type="pct"/>
                  <w:tcBorders>
                    <w:tl2br w:val="nil"/>
                    <w:tr2bl w:val="nil"/>
                  </w:tcBorders>
                  <w:vAlign w:val="center"/>
                </w:tcPr>
                <w:p w14:paraId="55C0E944">
                  <w:pPr>
                    <w:jc w:val="center"/>
                    <w:rPr>
                      <w:color w:val="auto"/>
                      <w:sz w:val="18"/>
                      <w:szCs w:val="18"/>
                    </w:rPr>
                  </w:pPr>
                  <w:r>
                    <w:rPr>
                      <w:color w:val="auto"/>
                      <w:sz w:val="18"/>
                      <w:szCs w:val="18"/>
                    </w:rPr>
                    <w:t>在实验条件允许的情况下使用低挥发性的有机溶剂</w:t>
                  </w:r>
                </w:p>
              </w:tc>
              <w:tc>
                <w:tcPr>
                  <w:tcW w:w="462" w:type="pct"/>
                  <w:tcBorders>
                    <w:tl2br w:val="nil"/>
                    <w:tr2bl w:val="nil"/>
                  </w:tcBorders>
                  <w:vAlign w:val="center"/>
                </w:tcPr>
                <w:p w14:paraId="64C1BDC7">
                  <w:pPr>
                    <w:jc w:val="center"/>
                    <w:rPr>
                      <w:color w:val="auto"/>
                      <w:sz w:val="18"/>
                      <w:szCs w:val="18"/>
                    </w:rPr>
                  </w:pPr>
                  <w:r>
                    <w:rPr>
                      <w:color w:val="auto"/>
                      <w:sz w:val="18"/>
                      <w:szCs w:val="18"/>
                    </w:rPr>
                    <w:t>相符</w:t>
                  </w:r>
                </w:p>
              </w:tc>
            </w:tr>
            <w:tr w14:paraId="238E74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385" w:type="pct"/>
                  <w:vMerge w:val="continue"/>
                  <w:tcBorders>
                    <w:tl2br w:val="nil"/>
                    <w:tr2bl w:val="nil"/>
                  </w:tcBorders>
                  <w:vAlign w:val="center"/>
                </w:tcPr>
                <w:p w14:paraId="7878973C">
                  <w:pPr>
                    <w:pStyle w:val="18"/>
                    <w:spacing w:before="0"/>
                    <w:jc w:val="center"/>
                    <w:rPr>
                      <w:rFonts w:ascii="Times New Roman" w:hAnsi="Times New Roman"/>
                      <w:color w:val="auto"/>
                      <w:sz w:val="18"/>
                      <w:szCs w:val="18"/>
                    </w:rPr>
                  </w:pPr>
                </w:p>
              </w:tc>
              <w:tc>
                <w:tcPr>
                  <w:tcW w:w="2364" w:type="pct"/>
                  <w:tcBorders>
                    <w:tl2br w:val="nil"/>
                    <w:tr2bl w:val="nil"/>
                  </w:tcBorders>
                  <w:vAlign w:val="center"/>
                </w:tcPr>
                <w:p w14:paraId="454EC7EA">
                  <w:pPr>
                    <w:jc w:val="center"/>
                    <w:rPr>
                      <w:color w:val="auto"/>
                      <w:sz w:val="18"/>
                      <w:szCs w:val="18"/>
                    </w:rPr>
                  </w:pPr>
                  <w:r>
                    <w:rPr>
                      <w:rFonts w:hint="eastAsia"/>
                      <w:color w:val="auto"/>
                      <w:sz w:val="18"/>
                      <w:szCs w:val="18"/>
                    </w:rPr>
                    <w:t>有机溶剂及其废液应储存在专门场所，避免露天存放；使用密封容器盛装，严禁敞口存放</w:t>
                  </w:r>
                </w:p>
              </w:tc>
              <w:tc>
                <w:tcPr>
                  <w:tcW w:w="1787" w:type="pct"/>
                  <w:tcBorders>
                    <w:tl2br w:val="nil"/>
                    <w:tr2bl w:val="nil"/>
                  </w:tcBorders>
                  <w:vAlign w:val="center"/>
                </w:tcPr>
                <w:p w14:paraId="7A58443B">
                  <w:pPr>
                    <w:jc w:val="center"/>
                    <w:rPr>
                      <w:color w:val="auto"/>
                      <w:sz w:val="18"/>
                      <w:szCs w:val="18"/>
                    </w:rPr>
                  </w:pPr>
                  <w:r>
                    <w:rPr>
                      <w:rFonts w:hint="eastAsia"/>
                      <w:color w:val="auto"/>
                      <w:sz w:val="18"/>
                      <w:szCs w:val="18"/>
                    </w:rPr>
                    <w:t>原料有机溶剂贮存在试剂室，</w:t>
                  </w:r>
                  <w:r>
                    <w:rPr>
                      <w:rFonts w:hint="eastAsia"/>
                      <w:color w:val="auto"/>
                      <w:sz w:val="18"/>
                      <w:szCs w:val="18"/>
                      <w:lang w:eastAsia="zh-CN"/>
                    </w:rPr>
                    <w:t>实验废液、清洗废水、喷淋废液</w:t>
                  </w:r>
                  <w:r>
                    <w:rPr>
                      <w:rFonts w:hint="eastAsia"/>
                      <w:color w:val="auto"/>
                      <w:sz w:val="18"/>
                      <w:szCs w:val="18"/>
                    </w:rPr>
                    <w:t>加盖密闭贮存在危废仓库</w:t>
                  </w:r>
                </w:p>
              </w:tc>
              <w:tc>
                <w:tcPr>
                  <w:tcW w:w="462" w:type="pct"/>
                  <w:tcBorders>
                    <w:tl2br w:val="nil"/>
                    <w:tr2bl w:val="nil"/>
                  </w:tcBorders>
                  <w:vAlign w:val="center"/>
                </w:tcPr>
                <w:p w14:paraId="273E7EAD">
                  <w:pPr>
                    <w:jc w:val="center"/>
                    <w:rPr>
                      <w:color w:val="auto"/>
                      <w:sz w:val="18"/>
                      <w:szCs w:val="18"/>
                    </w:rPr>
                  </w:pPr>
                  <w:r>
                    <w:rPr>
                      <w:color w:val="auto"/>
                      <w:sz w:val="18"/>
                      <w:szCs w:val="18"/>
                    </w:rPr>
                    <w:t>相符</w:t>
                  </w:r>
                </w:p>
              </w:tc>
            </w:tr>
            <w:tr w14:paraId="25D8C6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5" w:type="pct"/>
                  <w:vMerge w:val="continue"/>
                  <w:tcBorders>
                    <w:tl2br w:val="nil"/>
                    <w:tr2bl w:val="nil"/>
                  </w:tcBorders>
                  <w:vAlign w:val="center"/>
                </w:tcPr>
                <w:p w14:paraId="2B14B783">
                  <w:pPr>
                    <w:pStyle w:val="18"/>
                    <w:spacing w:before="0"/>
                    <w:jc w:val="center"/>
                    <w:rPr>
                      <w:rFonts w:ascii="Times New Roman" w:hAnsi="Times New Roman"/>
                      <w:color w:val="auto"/>
                      <w:sz w:val="18"/>
                      <w:szCs w:val="18"/>
                    </w:rPr>
                  </w:pPr>
                </w:p>
              </w:tc>
              <w:tc>
                <w:tcPr>
                  <w:tcW w:w="2364" w:type="pct"/>
                  <w:tcBorders>
                    <w:tl2br w:val="nil"/>
                    <w:tr2bl w:val="nil"/>
                  </w:tcBorders>
                  <w:vAlign w:val="center"/>
                </w:tcPr>
                <w:p w14:paraId="54D0EE7C">
                  <w:pPr>
                    <w:jc w:val="center"/>
                    <w:rPr>
                      <w:color w:val="auto"/>
                      <w:sz w:val="18"/>
                      <w:szCs w:val="18"/>
                    </w:rPr>
                  </w:pPr>
                  <w:r>
                    <w:rPr>
                      <w:rFonts w:hint="eastAsia"/>
                      <w:color w:val="auto"/>
                      <w:sz w:val="18"/>
                      <w:szCs w:val="18"/>
                    </w:rPr>
                    <w:t>实验室单位应编制有机溶剂实验操作规范，涉及有机溶剂使用且具有非密闭环节的实验操作应在具有废气收集的装置中进行，避免在开放空间中进行</w:t>
                  </w:r>
                </w:p>
              </w:tc>
              <w:tc>
                <w:tcPr>
                  <w:tcW w:w="1787" w:type="pct"/>
                  <w:tcBorders>
                    <w:tl2br w:val="nil"/>
                    <w:tr2bl w:val="nil"/>
                  </w:tcBorders>
                  <w:vAlign w:val="center"/>
                </w:tcPr>
                <w:p w14:paraId="6E59F957">
                  <w:pPr>
                    <w:jc w:val="center"/>
                    <w:rPr>
                      <w:color w:val="auto"/>
                      <w:sz w:val="18"/>
                      <w:szCs w:val="18"/>
                    </w:rPr>
                  </w:pPr>
                  <w:r>
                    <w:rPr>
                      <w:rFonts w:hint="eastAsia"/>
                      <w:color w:val="auto"/>
                      <w:sz w:val="18"/>
                      <w:szCs w:val="18"/>
                    </w:rPr>
                    <w:t>本项目为新建项目，</w:t>
                  </w:r>
                  <w:r>
                    <w:rPr>
                      <w:color w:val="auto"/>
                      <w:sz w:val="18"/>
                      <w:szCs w:val="18"/>
                    </w:rPr>
                    <w:t>编制有机溶剂实验操作规范，涉及有机溶剂使用且具有非密闭环节的实验操作在具有废气收集的装置</w:t>
                  </w:r>
                  <w:r>
                    <w:rPr>
                      <w:rFonts w:hint="eastAsia"/>
                      <w:color w:val="auto"/>
                      <w:sz w:val="18"/>
                      <w:szCs w:val="18"/>
                    </w:rPr>
                    <w:t>（通风橱）</w:t>
                  </w:r>
                  <w:r>
                    <w:rPr>
                      <w:color w:val="auto"/>
                      <w:sz w:val="18"/>
                      <w:szCs w:val="18"/>
                    </w:rPr>
                    <w:t>中进行</w:t>
                  </w:r>
                </w:p>
              </w:tc>
              <w:tc>
                <w:tcPr>
                  <w:tcW w:w="462" w:type="pct"/>
                  <w:tcBorders>
                    <w:tl2br w:val="nil"/>
                    <w:tr2bl w:val="nil"/>
                  </w:tcBorders>
                  <w:vAlign w:val="center"/>
                </w:tcPr>
                <w:p w14:paraId="0CBF66D6">
                  <w:pPr>
                    <w:jc w:val="center"/>
                    <w:rPr>
                      <w:color w:val="auto"/>
                      <w:sz w:val="18"/>
                      <w:szCs w:val="18"/>
                    </w:rPr>
                  </w:pPr>
                  <w:r>
                    <w:rPr>
                      <w:color w:val="auto"/>
                      <w:sz w:val="18"/>
                      <w:szCs w:val="18"/>
                    </w:rPr>
                    <w:t>相符</w:t>
                  </w:r>
                </w:p>
              </w:tc>
            </w:tr>
            <w:tr w14:paraId="458FAC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5" w:type="pct"/>
                  <w:vMerge w:val="continue"/>
                  <w:tcBorders>
                    <w:tl2br w:val="nil"/>
                    <w:tr2bl w:val="nil"/>
                  </w:tcBorders>
                  <w:vAlign w:val="center"/>
                </w:tcPr>
                <w:p w14:paraId="083D7343">
                  <w:pPr>
                    <w:pStyle w:val="18"/>
                    <w:spacing w:before="0"/>
                    <w:jc w:val="center"/>
                    <w:rPr>
                      <w:rFonts w:ascii="Times New Roman" w:hAnsi="Times New Roman"/>
                      <w:color w:val="auto"/>
                      <w:sz w:val="18"/>
                      <w:szCs w:val="18"/>
                    </w:rPr>
                  </w:pPr>
                </w:p>
              </w:tc>
              <w:tc>
                <w:tcPr>
                  <w:tcW w:w="2364" w:type="pct"/>
                  <w:tcBorders>
                    <w:tl2br w:val="nil"/>
                    <w:tr2bl w:val="nil"/>
                  </w:tcBorders>
                  <w:vAlign w:val="center"/>
                </w:tcPr>
                <w:p w14:paraId="387B96A6">
                  <w:pPr>
                    <w:jc w:val="center"/>
                    <w:rPr>
                      <w:color w:val="auto"/>
                      <w:sz w:val="18"/>
                      <w:szCs w:val="18"/>
                    </w:rPr>
                  </w:pPr>
                  <w:r>
                    <w:rPr>
                      <w:rFonts w:hint="eastAsia"/>
                      <w:color w:val="auto"/>
                      <w:sz w:val="18"/>
                      <w:szCs w:val="18"/>
                    </w:rPr>
                    <w:t>实验室单元应配备足量的吸附剂，对于操作过程中不慎造成的有机溶剂洒落，应及时使用吸附剂处理，并用密封袋或棕色玻璃瓶封存</w:t>
                  </w:r>
                </w:p>
              </w:tc>
              <w:tc>
                <w:tcPr>
                  <w:tcW w:w="1787" w:type="pct"/>
                  <w:tcBorders>
                    <w:tl2br w:val="nil"/>
                    <w:tr2bl w:val="nil"/>
                  </w:tcBorders>
                  <w:vAlign w:val="center"/>
                </w:tcPr>
                <w:p w14:paraId="784F38D1">
                  <w:pPr>
                    <w:jc w:val="center"/>
                    <w:rPr>
                      <w:color w:val="auto"/>
                      <w:sz w:val="18"/>
                      <w:szCs w:val="18"/>
                    </w:rPr>
                  </w:pPr>
                  <w:r>
                    <w:rPr>
                      <w:rFonts w:hint="eastAsia"/>
                      <w:color w:val="auto"/>
                      <w:sz w:val="18"/>
                      <w:szCs w:val="18"/>
                    </w:rPr>
                    <w:t>实验室单元配备了足量的吸附剂，对于操作过程中不慎造成的有机溶剂洒落使用吸附剂处理，并用密封袋或棕色玻璃瓶封存</w:t>
                  </w:r>
                </w:p>
              </w:tc>
              <w:tc>
                <w:tcPr>
                  <w:tcW w:w="462" w:type="pct"/>
                  <w:tcBorders>
                    <w:tl2br w:val="nil"/>
                    <w:tr2bl w:val="nil"/>
                  </w:tcBorders>
                  <w:vAlign w:val="center"/>
                </w:tcPr>
                <w:p w14:paraId="124393F4">
                  <w:pPr>
                    <w:jc w:val="center"/>
                    <w:rPr>
                      <w:color w:val="auto"/>
                      <w:sz w:val="18"/>
                      <w:szCs w:val="18"/>
                    </w:rPr>
                  </w:pPr>
                  <w:r>
                    <w:rPr>
                      <w:color w:val="auto"/>
                      <w:sz w:val="18"/>
                      <w:szCs w:val="18"/>
                    </w:rPr>
                    <w:t>相符</w:t>
                  </w:r>
                </w:p>
              </w:tc>
            </w:tr>
            <w:tr w14:paraId="16368A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5" w:type="pct"/>
                  <w:vMerge w:val="restart"/>
                  <w:tcBorders>
                    <w:tl2br w:val="nil"/>
                    <w:tr2bl w:val="nil"/>
                  </w:tcBorders>
                  <w:vAlign w:val="center"/>
                </w:tcPr>
                <w:p w14:paraId="33C6EE05">
                  <w:pPr>
                    <w:pStyle w:val="18"/>
                    <w:spacing w:before="0"/>
                    <w:jc w:val="center"/>
                    <w:rPr>
                      <w:rFonts w:ascii="Times New Roman" w:hAnsi="Times New Roman"/>
                      <w:color w:val="auto"/>
                      <w:sz w:val="18"/>
                      <w:szCs w:val="18"/>
                    </w:rPr>
                  </w:pPr>
                  <w:r>
                    <w:rPr>
                      <w:rFonts w:hint="eastAsia" w:ascii="Times New Roman" w:hAnsi="Times New Roman"/>
                      <w:color w:val="auto"/>
                      <w:sz w:val="18"/>
                      <w:szCs w:val="18"/>
                    </w:rPr>
                    <w:t>有机废气收集</w:t>
                  </w:r>
                </w:p>
              </w:tc>
              <w:tc>
                <w:tcPr>
                  <w:tcW w:w="2364" w:type="pct"/>
                  <w:tcBorders>
                    <w:tl2br w:val="nil"/>
                    <w:tr2bl w:val="nil"/>
                  </w:tcBorders>
                  <w:vAlign w:val="center"/>
                </w:tcPr>
                <w:p w14:paraId="71A6041D">
                  <w:pPr>
                    <w:jc w:val="center"/>
                    <w:rPr>
                      <w:color w:val="auto"/>
                      <w:sz w:val="18"/>
                      <w:szCs w:val="18"/>
                    </w:rPr>
                  </w:pPr>
                  <w:r>
                    <w:rPr>
                      <w:rFonts w:hint="eastAsia"/>
                      <w:color w:val="auto"/>
                      <w:sz w:val="18"/>
                      <w:szCs w:val="18"/>
                    </w:rPr>
                    <w:t>应根据有机溶剂的使用情况，统筹考虑废气收集装置</w:t>
                  </w:r>
                </w:p>
              </w:tc>
              <w:tc>
                <w:tcPr>
                  <w:tcW w:w="1787" w:type="pct"/>
                  <w:tcBorders>
                    <w:tl2br w:val="nil"/>
                    <w:tr2bl w:val="nil"/>
                  </w:tcBorders>
                  <w:vAlign w:val="center"/>
                </w:tcPr>
                <w:p w14:paraId="08F8C59F">
                  <w:pPr>
                    <w:jc w:val="center"/>
                    <w:rPr>
                      <w:color w:val="auto"/>
                      <w:sz w:val="18"/>
                      <w:szCs w:val="18"/>
                    </w:rPr>
                  </w:pPr>
                  <w:r>
                    <w:rPr>
                      <w:color w:val="auto"/>
                      <w:sz w:val="18"/>
                      <w:szCs w:val="18"/>
                    </w:rPr>
                    <w:t>本项目有机溶剂使用量较少，产生有机废气工序均设置废气收集装置</w:t>
                  </w:r>
                </w:p>
              </w:tc>
              <w:tc>
                <w:tcPr>
                  <w:tcW w:w="462" w:type="pct"/>
                  <w:tcBorders>
                    <w:tl2br w:val="nil"/>
                    <w:tr2bl w:val="nil"/>
                  </w:tcBorders>
                  <w:vAlign w:val="center"/>
                </w:tcPr>
                <w:p w14:paraId="4AC22C9E">
                  <w:pPr>
                    <w:jc w:val="center"/>
                    <w:rPr>
                      <w:color w:val="auto"/>
                      <w:sz w:val="18"/>
                      <w:szCs w:val="18"/>
                    </w:rPr>
                  </w:pPr>
                  <w:r>
                    <w:rPr>
                      <w:color w:val="auto"/>
                      <w:sz w:val="18"/>
                      <w:szCs w:val="18"/>
                    </w:rPr>
                    <w:t>相符</w:t>
                  </w:r>
                </w:p>
              </w:tc>
            </w:tr>
            <w:tr w14:paraId="6C5404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5" w:type="pct"/>
                  <w:vMerge w:val="continue"/>
                  <w:tcBorders>
                    <w:tl2br w:val="nil"/>
                    <w:tr2bl w:val="nil"/>
                  </w:tcBorders>
                  <w:vAlign w:val="center"/>
                </w:tcPr>
                <w:p w14:paraId="45722007">
                  <w:pPr>
                    <w:pStyle w:val="18"/>
                    <w:spacing w:before="0"/>
                    <w:jc w:val="center"/>
                    <w:rPr>
                      <w:rFonts w:ascii="Times New Roman" w:hAnsi="Times New Roman"/>
                      <w:color w:val="auto"/>
                      <w:sz w:val="18"/>
                      <w:szCs w:val="18"/>
                    </w:rPr>
                  </w:pPr>
                </w:p>
              </w:tc>
              <w:tc>
                <w:tcPr>
                  <w:tcW w:w="2364" w:type="pct"/>
                  <w:tcBorders>
                    <w:tl2br w:val="nil"/>
                    <w:tr2bl w:val="nil"/>
                  </w:tcBorders>
                  <w:vAlign w:val="center"/>
                </w:tcPr>
                <w:p w14:paraId="464393F2">
                  <w:pPr>
                    <w:jc w:val="center"/>
                    <w:rPr>
                      <w:color w:val="auto"/>
                      <w:sz w:val="18"/>
                      <w:szCs w:val="18"/>
                    </w:rPr>
                  </w:pPr>
                  <w:r>
                    <w:rPr>
                      <w:rFonts w:hint="eastAsia"/>
                      <w:color w:val="auto"/>
                      <w:sz w:val="18"/>
                      <w:szCs w:val="18"/>
                    </w:rPr>
                    <w:t>有机溶剂年使用量</w:t>
                  </w:r>
                  <w:r>
                    <w:rPr>
                      <w:color w:val="auto"/>
                      <w:sz w:val="18"/>
                      <w:szCs w:val="18"/>
                    </w:rPr>
                    <w:t>≤0.1</w:t>
                  </w:r>
                  <w:r>
                    <w:rPr>
                      <w:rFonts w:hint="eastAsia"/>
                      <w:color w:val="auto"/>
                      <w:sz w:val="18"/>
                      <w:szCs w:val="18"/>
                    </w:rPr>
                    <w:t>吨的实验室单元，可选用内置高效过滤器的无管道通风柜。有机溶剂年使用量大于</w:t>
                  </w:r>
                  <w:r>
                    <w:rPr>
                      <w:color w:val="auto"/>
                      <w:sz w:val="18"/>
                      <w:szCs w:val="18"/>
                    </w:rPr>
                    <w:t>0.1</w:t>
                  </w:r>
                  <w:r>
                    <w:rPr>
                      <w:rFonts w:hint="eastAsia"/>
                      <w:color w:val="auto"/>
                      <w:sz w:val="18"/>
                      <w:szCs w:val="18"/>
                    </w:rPr>
                    <w:t>吨，小于1吨的实验室单元，宜选用有管道的通风柜。有机溶剂年使用量</w:t>
                  </w:r>
                  <w:r>
                    <w:rPr>
                      <w:color w:val="auto"/>
                      <w:sz w:val="18"/>
                      <w:szCs w:val="18"/>
                    </w:rPr>
                    <w:t>≥1</w:t>
                  </w:r>
                  <w:r>
                    <w:rPr>
                      <w:rFonts w:hint="eastAsia"/>
                      <w:color w:val="auto"/>
                      <w:sz w:val="18"/>
                      <w:szCs w:val="18"/>
                    </w:rPr>
                    <w:t>吨的实验室单元，整体应安装废气收集装置，并保持微负压，避免无组织废气逸散</w:t>
                  </w:r>
                </w:p>
              </w:tc>
              <w:tc>
                <w:tcPr>
                  <w:tcW w:w="1787" w:type="pct"/>
                  <w:tcBorders>
                    <w:tl2br w:val="nil"/>
                    <w:tr2bl w:val="nil"/>
                  </w:tcBorders>
                  <w:vAlign w:val="center"/>
                </w:tcPr>
                <w:p w14:paraId="298F77DE">
                  <w:pPr>
                    <w:jc w:val="center"/>
                    <w:rPr>
                      <w:color w:val="auto"/>
                      <w:sz w:val="18"/>
                      <w:szCs w:val="18"/>
                    </w:rPr>
                  </w:pPr>
                  <w:r>
                    <w:rPr>
                      <w:color w:val="auto"/>
                      <w:sz w:val="18"/>
                      <w:szCs w:val="18"/>
                    </w:rPr>
                    <w:t xml:space="preserve">本项目有机溶剂年使用量大 </w:t>
                  </w:r>
                </w:p>
                <w:p w14:paraId="7FF64807">
                  <w:pPr>
                    <w:jc w:val="center"/>
                    <w:rPr>
                      <w:color w:val="auto"/>
                      <w:sz w:val="18"/>
                      <w:szCs w:val="18"/>
                    </w:rPr>
                  </w:pPr>
                  <w:r>
                    <w:rPr>
                      <w:color w:val="auto"/>
                      <w:sz w:val="18"/>
                      <w:szCs w:val="18"/>
                    </w:rPr>
                    <w:t xml:space="preserve">于 0.1 吨小于1吨，项目研 </w:t>
                  </w:r>
                </w:p>
                <w:p w14:paraId="26362038">
                  <w:pPr>
                    <w:jc w:val="center"/>
                    <w:rPr>
                      <w:color w:val="auto"/>
                      <w:sz w:val="18"/>
                      <w:szCs w:val="18"/>
                    </w:rPr>
                  </w:pPr>
                  <w:r>
                    <w:rPr>
                      <w:color w:val="auto"/>
                      <w:sz w:val="18"/>
                      <w:szCs w:val="18"/>
                    </w:rPr>
                    <w:t xml:space="preserve">发、检测采用通风柜、万向 </w:t>
                  </w:r>
                </w:p>
                <w:p w14:paraId="057EB893">
                  <w:pPr>
                    <w:jc w:val="center"/>
                    <w:rPr>
                      <w:color w:val="auto"/>
                      <w:sz w:val="18"/>
                      <w:szCs w:val="18"/>
                    </w:rPr>
                  </w:pPr>
                  <w:r>
                    <w:rPr>
                      <w:color w:val="auto"/>
                      <w:sz w:val="18"/>
                      <w:szCs w:val="18"/>
                    </w:rPr>
                    <w:t xml:space="preserve">罩抽风收集，减少无组织废 </w:t>
                  </w:r>
                </w:p>
                <w:p w14:paraId="697B83AA">
                  <w:pPr>
                    <w:jc w:val="center"/>
                    <w:rPr>
                      <w:color w:val="auto"/>
                      <w:sz w:val="18"/>
                      <w:szCs w:val="18"/>
                    </w:rPr>
                  </w:pPr>
                  <w:r>
                    <w:rPr>
                      <w:color w:val="auto"/>
                      <w:sz w:val="18"/>
                      <w:szCs w:val="18"/>
                    </w:rPr>
                    <w:t>气逸散</w:t>
                  </w:r>
                </w:p>
              </w:tc>
              <w:tc>
                <w:tcPr>
                  <w:tcW w:w="462" w:type="pct"/>
                  <w:tcBorders>
                    <w:tl2br w:val="nil"/>
                    <w:tr2bl w:val="nil"/>
                  </w:tcBorders>
                  <w:vAlign w:val="center"/>
                </w:tcPr>
                <w:p w14:paraId="42770DAA">
                  <w:pPr>
                    <w:jc w:val="center"/>
                    <w:rPr>
                      <w:color w:val="auto"/>
                      <w:sz w:val="18"/>
                      <w:szCs w:val="18"/>
                    </w:rPr>
                  </w:pPr>
                  <w:r>
                    <w:rPr>
                      <w:color w:val="auto"/>
                      <w:sz w:val="18"/>
                      <w:szCs w:val="18"/>
                    </w:rPr>
                    <w:t>相符</w:t>
                  </w:r>
                </w:p>
              </w:tc>
            </w:tr>
            <w:tr w14:paraId="27198A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7" w:hRule="atLeast"/>
                <w:jc w:val="center"/>
              </w:trPr>
              <w:tc>
                <w:tcPr>
                  <w:tcW w:w="385" w:type="pct"/>
                  <w:vMerge w:val="continue"/>
                  <w:tcBorders>
                    <w:tl2br w:val="nil"/>
                    <w:tr2bl w:val="nil"/>
                  </w:tcBorders>
                  <w:vAlign w:val="center"/>
                </w:tcPr>
                <w:p w14:paraId="6E4648D5">
                  <w:pPr>
                    <w:pStyle w:val="18"/>
                    <w:spacing w:before="0"/>
                    <w:jc w:val="center"/>
                    <w:rPr>
                      <w:rFonts w:ascii="Times New Roman" w:hAnsi="Times New Roman"/>
                      <w:color w:val="auto"/>
                      <w:sz w:val="18"/>
                      <w:szCs w:val="18"/>
                    </w:rPr>
                  </w:pPr>
                </w:p>
              </w:tc>
              <w:tc>
                <w:tcPr>
                  <w:tcW w:w="2364" w:type="pct"/>
                  <w:tcBorders>
                    <w:tl2br w:val="nil"/>
                    <w:tr2bl w:val="nil"/>
                  </w:tcBorders>
                  <w:vAlign w:val="center"/>
                </w:tcPr>
                <w:p w14:paraId="1964F790">
                  <w:pPr>
                    <w:jc w:val="center"/>
                    <w:rPr>
                      <w:color w:val="auto"/>
                      <w:sz w:val="18"/>
                      <w:szCs w:val="18"/>
                    </w:rPr>
                  </w:pPr>
                  <w:r>
                    <w:rPr>
                      <w:rFonts w:hint="eastAsia"/>
                      <w:color w:val="auto"/>
                      <w:sz w:val="18"/>
                      <w:szCs w:val="18"/>
                    </w:rPr>
                    <w:t xml:space="preserve">使用有机溶剂作为进样的仪器，应在其上方安装废气收集系统排风罩，其设置应符合 </w:t>
                  </w:r>
                  <w:r>
                    <w:rPr>
                      <w:color w:val="auto"/>
                      <w:sz w:val="18"/>
                      <w:szCs w:val="18"/>
                    </w:rPr>
                    <w:t>GB/T 16758</w:t>
                  </w:r>
                  <w:r>
                    <w:rPr>
                      <w:rFonts w:hint="eastAsia"/>
                      <w:color w:val="auto"/>
                      <w:sz w:val="18"/>
                      <w:szCs w:val="18"/>
                    </w:rPr>
                    <w:t xml:space="preserve">的规定，按 </w:t>
                  </w:r>
                  <w:r>
                    <w:rPr>
                      <w:color w:val="auto"/>
                      <w:sz w:val="18"/>
                      <w:szCs w:val="18"/>
                    </w:rPr>
                    <w:t>GB/T16758</w:t>
                  </w:r>
                  <w:r>
                    <w:rPr>
                      <w:rFonts w:hint="eastAsia"/>
                      <w:color w:val="auto"/>
                      <w:sz w:val="18"/>
                      <w:szCs w:val="18"/>
                    </w:rPr>
                    <w:t>规定的方法测量控制风速，测量点应选取在距排风罩开口面最远处，控制风速不应低于</w:t>
                  </w:r>
                  <w:r>
                    <w:rPr>
                      <w:color w:val="auto"/>
                      <w:sz w:val="18"/>
                      <w:szCs w:val="18"/>
                    </w:rPr>
                    <w:t>0.3m/s</w:t>
                  </w:r>
                  <w:r>
                    <w:rPr>
                      <w:rFonts w:hint="eastAsia"/>
                      <w:color w:val="auto"/>
                      <w:sz w:val="18"/>
                      <w:szCs w:val="18"/>
                    </w:rPr>
                    <w:t>。</w:t>
                  </w:r>
                </w:p>
              </w:tc>
              <w:tc>
                <w:tcPr>
                  <w:tcW w:w="1787" w:type="pct"/>
                  <w:tcBorders>
                    <w:tl2br w:val="nil"/>
                    <w:tr2bl w:val="nil"/>
                  </w:tcBorders>
                  <w:vAlign w:val="center"/>
                </w:tcPr>
                <w:p w14:paraId="5179FD3E">
                  <w:pPr>
                    <w:jc w:val="center"/>
                    <w:rPr>
                      <w:color w:val="auto"/>
                      <w:sz w:val="18"/>
                      <w:szCs w:val="18"/>
                    </w:rPr>
                  </w:pPr>
                  <w:r>
                    <w:rPr>
                      <w:color w:val="auto"/>
                      <w:sz w:val="18"/>
                      <w:szCs w:val="18"/>
                    </w:rPr>
                    <w:t xml:space="preserve">使用有机溶剂作为进样的仪 </w:t>
                  </w:r>
                </w:p>
                <w:p w14:paraId="4FF51AA0">
                  <w:pPr>
                    <w:jc w:val="center"/>
                    <w:rPr>
                      <w:color w:val="auto"/>
                      <w:sz w:val="18"/>
                      <w:szCs w:val="18"/>
                    </w:rPr>
                  </w:pPr>
                  <w:r>
                    <w:rPr>
                      <w:color w:val="auto"/>
                      <w:sz w:val="18"/>
                      <w:szCs w:val="18"/>
                    </w:rPr>
                    <w:t xml:space="preserve">器，采用万向集气罩收集废 </w:t>
                  </w:r>
                </w:p>
                <w:p w14:paraId="090B4392">
                  <w:pPr>
                    <w:jc w:val="center"/>
                    <w:rPr>
                      <w:color w:val="auto"/>
                      <w:sz w:val="18"/>
                      <w:szCs w:val="18"/>
                    </w:rPr>
                  </w:pPr>
                  <w:r>
                    <w:rPr>
                      <w:color w:val="auto"/>
                      <w:sz w:val="18"/>
                      <w:szCs w:val="18"/>
                    </w:rPr>
                    <w:t xml:space="preserve">气，测量点风速不应低于 </w:t>
                  </w:r>
                </w:p>
                <w:p w14:paraId="102BEA8B">
                  <w:pPr>
                    <w:jc w:val="center"/>
                    <w:rPr>
                      <w:color w:val="auto"/>
                      <w:sz w:val="18"/>
                      <w:szCs w:val="18"/>
                    </w:rPr>
                  </w:pPr>
                  <w:r>
                    <w:rPr>
                      <w:color w:val="auto"/>
                      <w:sz w:val="18"/>
                      <w:szCs w:val="18"/>
                    </w:rPr>
                    <w:t>0.3m/s。</w:t>
                  </w:r>
                </w:p>
              </w:tc>
              <w:tc>
                <w:tcPr>
                  <w:tcW w:w="462" w:type="pct"/>
                  <w:tcBorders>
                    <w:tl2br w:val="nil"/>
                    <w:tr2bl w:val="nil"/>
                  </w:tcBorders>
                  <w:vAlign w:val="center"/>
                </w:tcPr>
                <w:p w14:paraId="7FD19A4D">
                  <w:pPr>
                    <w:jc w:val="center"/>
                    <w:rPr>
                      <w:color w:val="auto"/>
                      <w:sz w:val="18"/>
                      <w:szCs w:val="18"/>
                    </w:rPr>
                  </w:pPr>
                  <w:r>
                    <w:rPr>
                      <w:color w:val="auto"/>
                      <w:sz w:val="18"/>
                      <w:szCs w:val="18"/>
                    </w:rPr>
                    <w:t>相符</w:t>
                  </w:r>
                </w:p>
              </w:tc>
            </w:tr>
            <w:tr w14:paraId="488DA2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5" w:type="pct"/>
                  <w:vMerge w:val="continue"/>
                  <w:tcBorders>
                    <w:tl2br w:val="nil"/>
                    <w:tr2bl w:val="nil"/>
                  </w:tcBorders>
                  <w:vAlign w:val="center"/>
                </w:tcPr>
                <w:p w14:paraId="19F3E28C">
                  <w:pPr>
                    <w:pStyle w:val="18"/>
                    <w:spacing w:before="0"/>
                    <w:jc w:val="center"/>
                    <w:rPr>
                      <w:rFonts w:ascii="Times New Roman" w:hAnsi="Times New Roman"/>
                      <w:color w:val="auto"/>
                      <w:sz w:val="18"/>
                      <w:szCs w:val="18"/>
                    </w:rPr>
                  </w:pPr>
                </w:p>
              </w:tc>
              <w:tc>
                <w:tcPr>
                  <w:tcW w:w="2364" w:type="pct"/>
                  <w:tcBorders>
                    <w:tl2br w:val="nil"/>
                    <w:tr2bl w:val="nil"/>
                  </w:tcBorders>
                  <w:vAlign w:val="center"/>
                </w:tcPr>
                <w:p w14:paraId="3C46C1AB">
                  <w:pPr>
                    <w:jc w:val="center"/>
                    <w:rPr>
                      <w:color w:val="auto"/>
                      <w:sz w:val="18"/>
                      <w:szCs w:val="18"/>
                    </w:rPr>
                  </w:pPr>
                  <w:r>
                    <w:rPr>
                      <w:rFonts w:hint="eastAsia"/>
                      <w:color w:val="auto"/>
                      <w:sz w:val="18"/>
                      <w:szCs w:val="18"/>
                    </w:rPr>
                    <w:t>废气收集装置材质应防腐防锈，每月定期维护，存在泄漏时需停止实验并及时修复</w:t>
                  </w:r>
                </w:p>
              </w:tc>
              <w:tc>
                <w:tcPr>
                  <w:tcW w:w="1787" w:type="pct"/>
                  <w:tcBorders>
                    <w:tl2br w:val="nil"/>
                    <w:tr2bl w:val="nil"/>
                  </w:tcBorders>
                  <w:vAlign w:val="center"/>
                </w:tcPr>
                <w:p w14:paraId="0180886E">
                  <w:pPr>
                    <w:jc w:val="center"/>
                    <w:rPr>
                      <w:color w:val="auto"/>
                      <w:sz w:val="18"/>
                      <w:szCs w:val="18"/>
                    </w:rPr>
                  </w:pPr>
                  <w:r>
                    <w:rPr>
                      <w:color w:val="auto"/>
                      <w:sz w:val="18"/>
                      <w:szCs w:val="18"/>
                    </w:rPr>
                    <w:t xml:space="preserve">废气收集装置材质采用防腐 </w:t>
                  </w:r>
                </w:p>
                <w:p w14:paraId="3AFE8621">
                  <w:pPr>
                    <w:jc w:val="center"/>
                    <w:rPr>
                      <w:color w:val="auto"/>
                      <w:sz w:val="18"/>
                      <w:szCs w:val="18"/>
                    </w:rPr>
                  </w:pPr>
                  <w:r>
                    <w:rPr>
                      <w:color w:val="auto"/>
                      <w:sz w:val="18"/>
                      <w:szCs w:val="18"/>
                    </w:rPr>
                    <w:t>防锈器材，每月定期维护</w:t>
                  </w:r>
                </w:p>
              </w:tc>
              <w:tc>
                <w:tcPr>
                  <w:tcW w:w="462" w:type="pct"/>
                  <w:tcBorders>
                    <w:tl2br w:val="nil"/>
                    <w:tr2bl w:val="nil"/>
                  </w:tcBorders>
                  <w:vAlign w:val="center"/>
                </w:tcPr>
                <w:p w14:paraId="516C733C">
                  <w:pPr>
                    <w:jc w:val="center"/>
                    <w:rPr>
                      <w:color w:val="auto"/>
                      <w:sz w:val="18"/>
                      <w:szCs w:val="18"/>
                    </w:rPr>
                  </w:pPr>
                  <w:r>
                    <w:rPr>
                      <w:color w:val="auto"/>
                      <w:sz w:val="18"/>
                      <w:szCs w:val="18"/>
                    </w:rPr>
                    <w:t>相符</w:t>
                  </w:r>
                </w:p>
              </w:tc>
            </w:tr>
            <w:tr w14:paraId="24BE4E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5" w:type="pct"/>
                  <w:vMerge w:val="restart"/>
                  <w:tcBorders>
                    <w:tl2br w:val="nil"/>
                    <w:tr2bl w:val="nil"/>
                  </w:tcBorders>
                  <w:vAlign w:val="center"/>
                </w:tcPr>
                <w:p w14:paraId="7CA11E29">
                  <w:pPr>
                    <w:pStyle w:val="18"/>
                    <w:spacing w:before="0"/>
                    <w:jc w:val="center"/>
                    <w:rPr>
                      <w:rFonts w:ascii="Times New Roman" w:hAnsi="Times New Roman"/>
                      <w:color w:val="auto"/>
                      <w:sz w:val="18"/>
                      <w:szCs w:val="18"/>
                    </w:rPr>
                  </w:pPr>
                  <w:r>
                    <w:rPr>
                      <w:rFonts w:hint="eastAsia" w:ascii="Times New Roman" w:hAnsi="Times New Roman"/>
                      <w:color w:val="auto"/>
                      <w:sz w:val="18"/>
                      <w:szCs w:val="18"/>
                    </w:rPr>
                    <w:t>有机废气末端净化</w:t>
                  </w:r>
                </w:p>
              </w:tc>
              <w:tc>
                <w:tcPr>
                  <w:tcW w:w="2364" w:type="pct"/>
                  <w:tcBorders>
                    <w:tl2br w:val="nil"/>
                    <w:tr2bl w:val="nil"/>
                  </w:tcBorders>
                  <w:vAlign w:val="center"/>
                </w:tcPr>
                <w:p w14:paraId="4C0EF42B">
                  <w:pPr>
                    <w:jc w:val="center"/>
                    <w:rPr>
                      <w:color w:val="auto"/>
                      <w:sz w:val="18"/>
                      <w:szCs w:val="18"/>
                    </w:rPr>
                  </w:pPr>
                  <w:r>
                    <w:rPr>
                      <w:rFonts w:hint="eastAsia"/>
                      <w:color w:val="auto"/>
                      <w:sz w:val="18"/>
                      <w:szCs w:val="18"/>
                    </w:rPr>
                    <w:t>实验室单元在保障安全的情况下可采用吸附法等技术对</w:t>
                  </w:r>
                  <w:r>
                    <w:rPr>
                      <w:color w:val="auto"/>
                      <w:sz w:val="18"/>
                      <w:szCs w:val="18"/>
                    </w:rPr>
                    <w:t>VOCs</w:t>
                  </w:r>
                  <w:r>
                    <w:rPr>
                      <w:rFonts w:hint="eastAsia"/>
                      <w:color w:val="auto"/>
                      <w:sz w:val="18"/>
                      <w:szCs w:val="18"/>
                    </w:rPr>
                    <w:t>进行净化，根据技术发展鼓励采取更加高效的技术手段</w:t>
                  </w:r>
                </w:p>
              </w:tc>
              <w:tc>
                <w:tcPr>
                  <w:tcW w:w="1787" w:type="pct"/>
                  <w:tcBorders>
                    <w:tl2br w:val="nil"/>
                    <w:tr2bl w:val="nil"/>
                  </w:tcBorders>
                  <w:vAlign w:val="center"/>
                </w:tcPr>
                <w:p w14:paraId="74B9F766">
                  <w:pPr>
                    <w:jc w:val="center"/>
                    <w:rPr>
                      <w:color w:val="auto"/>
                      <w:sz w:val="18"/>
                      <w:szCs w:val="18"/>
                    </w:rPr>
                  </w:pPr>
                  <w:r>
                    <w:rPr>
                      <w:color w:val="auto"/>
                      <w:sz w:val="18"/>
                      <w:szCs w:val="18"/>
                    </w:rPr>
                    <w:t xml:space="preserve">本项目采用活性炭吸附法处 </w:t>
                  </w:r>
                </w:p>
                <w:p w14:paraId="1D5505D5">
                  <w:pPr>
                    <w:jc w:val="center"/>
                    <w:rPr>
                      <w:color w:val="auto"/>
                      <w:sz w:val="18"/>
                      <w:szCs w:val="18"/>
                    </w:rPr>
                  </w:pPr>
                  <w:r>
                    <w:rPr>
                      <w:color w:val="auto"/>
                      <w:sz w:val="18"/>
                      <w:szCs w:val="18"/>
                    </w:rPr>
                    <w:t>理有机废气</w:t>
                  </w:r>
                </w:p>
              </w:tc>
              <w:tc>
                <w:tcPr>
                  <w:tcW w:w="462" w:type="pct"/>
                  <w:tcBorders>
                    <w:tl2br w:val="nil"/>
                    <w:tr2bl w:val="nil"/>
                  </w:tcBorders>
                  <w:vAlign w:val="center"/>
                </w:tcPr>
                <w:p w14:paraId="61CD86EE">
                  <w:pPr>
                    <w:jc w:val="center"/>
                    <w:rPr>
                      <w:color w:val="auto"/>
                      <w:sz w:val="18"/>
                      <w:szCs w:val="18"/>
                    </w:rPr>
                  </w:pPr>
                  <w:r>
                    <w:rPr>
                      <w:color w:val="auto"/>
                      <w:sz w:val="18"/>
                      <w:szCs w:val="18"/>
                    </w:rPr>
                    <w:t>相符</w:t>
                  </w:r>
                </w:p>
              </w:tc>
            </w:tr>
            <w:tr w14:paraId="598314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5" w:type="pct"/>
                  <w:vMerge w:val="continue"/>
                  <w:tcBorders>
                    <w:tl2br w:val="nil"/>
                    <w:tr2bl w:val="nil"/>
                  </w:tcBorders>
                  <w:vAlign w:val="center"/>
                </w:tcPr>
                <w:p w14:paraId="33D27526">
                  <w:pPr>
                    <w:pStyle w:val="18"/>
                    <w:spacing w:before="0"/>
                    <w:jc w:val="center"/>
                    <w:rPr>
                      <w:rFonts w:ascii="Times New Roman" w:hAnsi="Times New Roman"/>
                      <w:color w:val="auto"/>
                      <w:sz w:val="18"/>
                      <w:szCs w:val="18"/>
                    </w:rPr>
                  </w:pPr>
                </w:p>
              </w:tc>
              <w:tc>
                <w:tcPr>
                  <w:tcW w:w="2364" w:type="pct"/>
                  <w:tcBorders>
                    <w:tl2br w:val="nil"/>
                    <w:tr2bl w:val="nil"/>
                  </w:tcBorders>
                  <w:vAlign w:val="center"/>
                </w:tcPr>
                <w:p w14:paraId="2BE50155">
                  <w:pPr>
                    <w:jc w:val="center"/>
                    <w:rPr>
                      <w:color w:val="auto"/>
                      <w:sz w:val="18"/>
                      <w:szCs w:val="18"/>
                    </w:rPr>
                  </w:pPr>
                  <w:r>
                    <w:rPr>
                      <w:rFonts w:hint="eastAsia"/>
                      <w:color w:val="auto"/>
                      <w:sz w:val="18"/>
                      <w:szCs w:val="18"/>
                    </w:rPr>
                    <w:t>吸附法可采用活性炭、活性炭纤维、分子筛等作为吸附介质。吸附剂的性能参数应符合</w:t>
                  </w:r>
                  <w:r>
                    <w:rPr>
                      <w:color w:val="auto"/>
                      <w:sz w:val="18"/>
                      <w:szCs w:val="18"/>
                    </w:rPr>
                    <w:t>GB/T7701.1</w:t>
                  </w:r>
                  <w:r>
                    <w:rPr>
                      <w:rFonts w:hint="eastAsia"/>
                      <w:color w:val="auto"/>
                      <w:sz w:val="18"/>
                      <w:szCs w:val="18"/>
                    </w:rPr>
                    <w:t>和</w:t>
                  </w:r>
                  <w:r>
                    <w:rPr>
                      <w:color w:val="auto"/>
                      <w:sz w:val="18"/>
                      <w:szCs w:val="18"/>
                    </w:rPr>
                    <w:t>HJ 2026</w:t>
                  </w:r>
                  <w:r>
                    <w:rPr>
                      <w:rFonts w:hint="eastAsia"/>
                      <w:color w:val="auto"/>
                      <w:sz w:val="18"/>
                      <w:szCs w:val="18"/>
                    </w:rPr>
                    <w:t>的相应要求</w:t>
                  </w:r>
                </w:p>
              </w:tc>
              <w:tc>
                <w:tcPr>
                  <w:tcW w:w="1787" w:type="pct"/>
                  <w:tcBorders>
                    <w:tl2br w:val="nil"/>
                    <w:tr2bl w:val="nil"/>
                  </w:tcBorders>
                  <w:vAlign w:val="center"/>
                </w:tcPr>
                <w:p w14:paraId="0B70DB25">
                  <w:pPr>
                    <w:jc w:val="center"/>
                    <w:rPr>
                      <w:color w:val="auto"/>
                      <w:sz w:val="18"/>
                      <w:szCs w:val="18"/>
                    </w:rPr>
                  </w:pPr>
                  <w:r>
                    <w:rPr>
                      <w:color w:val="auto"/>
                      <w:sz w:val="18"/>
                      <w:szCs w:val="18"/>
                    </w:rPr>
                    <w:t>本项目采用活性炭吸附</w:t>
                  </w:r>
                </w:p>
              </w:tc>
              <w:tc>
                <w:tcPr>
                  <w:tcW w:w="462" w:type="pct"/>
                  <w:tcBorders>
                    <w:tl2br w:val="nil"/>
                    <w:tr2bl w:val="nil"/>
                  </w:tcBorders>
                  <w:vAlign w:val="center"/>
                </w:tcPr>
                <w:p w14:paraId="0393D5F0">
                  <w:pPr>
                    <w:jc w:val="center"/>
                    <w:rPr>
                      <w:color w:val="auto"/>
                      <w:sz w:val="18"/>
                      <w:szCs w:val="18"/>
                    </w:rPr>
                  </w:pPr>
                  <w:r>
                    <w:rPr>
                      <w:color w:val="auto"/>
                      <w:sz w:val="18"/>
                      <w:szCs w:val="18"/>
                    </w:rPr>
                    <w:t>相符</w:t>
                  </w:r>
                </w:p>
              </w:tc>
            </w:tr>
            <w:tr w14:paraId="556C94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5" w:type="pct"/>
                  <w:vMerge w:val="restart"/>
                  <w:tcBorders>
                    <w:tl2br w:val="nil"/>
                    <w:tr2bl w:val="nil"/>
                  </w:tcBorders>
                  <w:vAlign w:val="center"/>
                </w:tcPr>
                <w:p w14:paraId="14AAFBB1">
                  <w:pPr>
                    <w:pStyle w:val="18"/>
                    <w:spacing w:before="0"/>
                    <w:jc w:val="center"/>
                    <w:rPr>
                      <w:rFonts w:ascii="Times New Roman" w:hAnsi="Times New Roman"/>
                      <w:color w:val="auto"/>
                      <w:sz w:val="18"/>
                      <w:szCs w:val="18"/>
                    </w:rPr>
                  </w:pPr>
                  <w:r>
                    <w:rPr>
                      <w:rFonts w:hint="eastAsia" w:ascii="Times New Roman" w:hAnsi="Times New Roman"/>
                      <w:color w:val="auto"/>
                      <w:sz w:val="18"/>
                      <w:szCs w:val="18"/>
                    </w:rPr>
                    <w:t>净化装置建设及运行要求</w:t>
                  </w:r>
                </w:p>
              </w:tc>
              <w:tc>
                <w:tcPr>
                  <w:tcW w:w="2364" w:type="pct"/>
                  <w:tcBorders>
                    <w:tl2br w:val="nil"/>
                    <w:tr2bl w:val="nil"/>
                  </w:tcBorders>
                  <w:vAlign w:val="center"/>
                </w:tcPr>
                <w:p w14:paraId="7E865EE2">
                  <w:pPr>
                    <w:jc w:val="center"/>
                    <w:rPr>
                      <w:color w:val="auto"/>
                      <w:sz w:val="18"/>
                      <w:szCs w:val="18"/>
                    </w:rPr>
                  </w:pPr>
                  <w:r>
                    <w:rPr>
                      <w:rFonts w:hint="eastAsia"/>
                      <w:color w:val="auto"/>
                      <w:sz w:val="18"/>
                      <w:szCs w:val="18"/>
                    </w:rPr>
                    <w:t xml:space="preserve">净化装置应在产生 </w:t>
                  </w:r>
                  <w:r>
                    <w:rPr>
                      <w:color w:val="auto"/>
                      <w:sz w:val="18"/>
                      <w:szCs w:val="18"/>
                    </w:rPr>
                    <w:t xml:space="preserve">VOCs </w:t>
                  </w:r>
                  <w:r>
                    <w:rPr>
                      <w:rFonts w:hint="eastAsia"/>
                      <w:color w:val="auto"/>
                      <w:sz w:val="18"/>
                      <w:szCs w:val="18"/>
                    </w:rPr>
                    <w:t>的实验前开启、在实验结束后需继续开启十分钟，保证</w:t>
                  </w:r>
                  <w:r>
                    <w:rPr>
                      <w:color w:val="auto"/>
                      <w:sz w:val="18"/>
                      <w:szCs w:val="18"/>
                    </w:rPr>
                    <w:t xml:space="preserve">VOCs </w:t>
                  </w:r>
                  <w:r>
                    <w:rPr>
                      <w:rFonts w:hint="eastAsia"/>
                      <w:color w:val="auto"/>
                      <w:sz w:val="18"/>
                      <w:szCs w:val="18"/>
                    </w:rPr>
                    <w:t>处理完全，再停机，并实现联动控制。净化装置运行过程中发生故障，应及时停用检修。净化装置建设方应提供净化装置的使用要求和操作规程</w:t>
                  </w:r>
                </w:p>
              </w:tc>
              <w:tc>
                <w:tcPr>
                  <w:tcW w:w="1787" w:type="pct"/>
                  <w:tcBorders>
                    <w:tl2br w:val="nil"/>
                    <w:tr2bl w:val="nil"/>
                  </w:tcBorders>
                  <w:vAlign w:val="center"/>
                </w:tcPr>
                <w:p w14:paraId="03F2FD0A">
                  <w:pPr>
                    <w:jc w:val="center"/>
                    <w:rPr>
                      <w:color w:val="auto"/>
                      <w:sz w:val="18"/>
                      <w:szCs w:val="18"/>
                    </w:rPr>
                  </w:pPr>
                  <w:r>
                    <w:rPr>
                      <w:color w:val="auto"/>
                      <w:sz w:val="18"/>
                      <w:szCs w:val="18"/>
                    </w:rPr>
                    <w:t>净化装置建设方提供净化装</w:t>
                  </w:r>
                </w:p>
                <w:p w14:paraId="1BE222B4">
                  <w:pPr>
                    <w:jc w:val="center"/>
                    <w:rPr>
                      <w:color w:val="auto"/>
                      <w:sz w:val="18"/>
                      <w:szCs w:val="18"/>
                    </w:rPr>
                  </w:pPr>
                  <w:r>
                    <w:rPr>
                      <w:color w:val="auto"/>
                      <w:sz w:val="18"/>
                      <w:szCs w:val="18"/>
                    </w:rPr>
                    <w:t xml:space="preserve">置的使用要求和操作规程， </w:t>
                  </w:r>
                </w:p>
                <w:p w14:paraId="4D5A2476">
                  <w:pPr>
                    <w:jc w:val="center"/>
                    <w:rPr>
                      <w:color w:val="auto"/>
                      <w:sz w:val="18"/>
                      <w:szCs w:val="18"/>
                    </w:rPr>
                  </w:pPr>
                  <w:r>
                    <w:rPr>
                      <w:color w:val="auto"/>
                      <w:sz w:val="18"/>
                      <w:szCs w:val="18"/>
                    </w:rPr>
                    <w:t>和实验室</w:t>
                  </w:r>
                  <w:r>
                    <w:rPr>
                      <w:rFonts w:hint="eastAsia"/>
                      <w:color w:val="auto"/>
                      <w:sz w:val="18"/>
                      <w:szCs w:val="18"/>
                    </w:rPr>
                    <w:t>实现</w:t>
                  </w:r>
                  <w:r>
                    <w:rPr>
                      <w:color w:val="auto"/>
                      <w:sz w:val="18"/>
                      <w:szCs w:val="18"/>
                    </w:rPr>
                    <w:t xml:space="preserve">联动机制，保 </w:t>
                  </w:r>
                </w:p>
                <w:p w14:paraId="1635B13D">
                  <w:pPr>
                    <w:jc w:val="center"/>
                    <w:rPr>
                      <w:color w:val="auto"/>
                      <w:sz w:val="18"/>
                      <w:szCs w:val="18"/>
                    </w:rPr>
                  </w:pPr>
                  <w:r>
                    <w:rPr>
                      <w:color w:val="auto"/>
                      <w:sz w:val="18"/>
                      <w:szCs w:val="18"/>
                    </w:rPr>
                    <w:t>证产生有机废气实验开启</w:t>
                  </w:r>
                  <w:r>
                    <w:rPr>
                      <w:rFonts w:hint="eastAsia"/>
                      <w:color w:val="auto"/>
                      <w:sz w:val="18"/>
                      <w:szCs w:val="18"/>
                    </w:rPr>
                    <w:t>前</w:t>
                  </w:r>
                  <w:r>
                    <w:rPr>
                      <w:color w:val="auto"/>
                      <w:sz w:val="18"/>
                      <w:szCs w:val="18"/>
                    </w:rPr>
                    <w:t xml:space="preserve"> </w:t>
                  </w:r>
                </w:p>
                <w:p w14:paraId="24DD39FE">
                  <w:pPr>
                    <w:jc w:val="center"/>
                    <w:rPr>
                      <w:color w:val="auto"/>
                      <w:sz w:val="18"/>
                      <w:szCs w:val="18"/>
                    </w:rPr>
                  </w:pPr>
                  <w:r>
                    <w:rPr>
                      <w:color w:val="auto"/>
                      <w:sz w:val="18"/>
                      <w:szCs w:val="18"/>
                    </w:rPr>
                    <w:t xml:space="preserve">及结束后净化装置均继续开 </w:t>
                  </w:r>
                </w:p>
                <w:p w14:paraId="56068E07">
                  <w:pPr>
                    <w:jc w:val="center"/>
                    <w:rPr>
                      <w:color w:val="auto"/>
                      <w:sz w:val="18"/>
                      <w:szCs w:val="18"/>
                    </w:rPr>
                  </w:pPr>
                  <w:r>
                    <w:rPr>
                      <w:color w:val="auto"/>
                      <w:sz w:val="18"/>
                      <w:szCs w:val="18"/>
                    </w:rPr>
                    <w:t>启十分钟</w:t>
                  </w:r>
                </w:p>
              </w:tc>
              <w:tc>
                <w:tcPr>
                  <w:tcW w:w="462" w:type="pct"/>
                  <w:tcBorders>
                    <w:tl2br w:val="nil"/>
                    <w:tr2bl w:val="nil"/>
                  </w:tcBorders>
                  <w:vAlign w:val="center"/>
                </w:tcPr>
                <w:p w14:paraId="54838AB1">
                  <w:pPr>
                    <w:jc w:val="center"/>
                    <w:rPr>
                      <w:color w:val="auto"/>
                      <w:sz w:val="18"/>
                      <w:szCs w:val="18"/>
                    </w:rPr>
                  </w:pPr>
                  <w:r>
                    <w:rPr>
                      <w:color w:val="auto"/>
                      <w:sz w:val="18"/>
                      <w:szCs w:val="18"/>
                    </w:rPr>
                    <w:t>相符</w:t>
                  </w:r>
                </w:p>
              </w:tc>
            </w:tr>
            <w:tr w14:paraId="4D1F2B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5" w:type="pct"/>
                  <w:vMerge w:val="continue"/>
                  <w:tcBorders>
                    <w:tl2br w:val="nil"/>
                    <w:tr2bl w:val="nil"/>
                  </w:tcBorders>
                  <w:vAlign w:val="center"/>
                </w:tcPr>
                <w:p w14:paraId="418C90F0">
                  <w:pPr>
                    <w:pStyle w:val="18"/>
                    <w:spacing w:before="0"/>
                    <w:jc w:val="center"/>
                    <w:rPr>
                      <w:rFonts w:ascii="Times New Roman" w:hAnsi="Times New Roman"/>
                      <w:color w:val="auto"/>
                      <w:sz w:val="18"/>
                      <w:szCs w:val="18"/>
                    </w:rPr>
                  </w:pPr>
                </w:p>
              </w:tc>
              <w:tc>
                <w:tcPr>
                  <w:tcW w:w="2364" w:type="pct"/>
                  <w:tcBorders>
                    <w:tl2br w:val="nil"/>
                    <w:tr2bl w:val="nil"/>
                  </w:tcBorders>
                  <w:vAlign w:val="center"/>
                </w:tcPr>
                <w:p w14:paraId="48A1103E">
                  <w:pPr>
                    <w:jc w:val="center"/>
                    <w:rPr>
                      <w:color w:val="auto"/>
                      <w:sz w:val="18"/>
                      <w:szCs w:val="18"/>
                    </w:rPr>
                  </w:pPr>
                  <w:r>
                    <w:rPr>
                      <w:rFonts w:hint="eastAsia"/>
                      <w:color w:val="auto"/>
                      <w:sz w:val="18"/>
                      <w:szCs w:val="18"/>
                    </w:rPr>
                    <w:t>净化装置的管理应纳入实验室日常管理中，配备专业管理人员和技术人员，掌握应急情况下的处理措施</w:t>
                  </w:r>
                </w:p>
              </w:tc>
              <w:tc>
                <w:tcPr>
                  <w:tcW w:w="1787" w:type="pct"/>
                  <w:tcBorders>
                    <w:tl2br w:val="nil"/>
                    <w:tr2bl w:val="nil"/>
                  </w:tcBorders>
                  <w:vAlign w:val="center"/>
                </w:tcPr>
                <w:p w14:paraId="65F8F82F">
                  <w:pPr>
                    <w:jc w:val="center"/>
                    <w:rPr>
                      <w:color w:val="auto"/>
                      <w:sz w:val="18"/>
                      <w:szCs w:val="18"/>
                    </w:rPr>
                  </w:pPr>
                  <w:r>
                    <w:rPr>
                      <w:rFonts w:hint="eastAsia"/>
                      <w:color w:val="auto"/>
                      <w:sz w:val="18"/>
                      <w:szCs w:val="18"/>
                    </w:rPr>
                    <w:t>净化装置的管理纳入实验室日常管理中，配备专业管理人员和技术人员，掌握应急情况下的处理措施</w:t>
                  </w:r>
                </w:p>
              </w:tc>
              <w:tc>
                <w:tcPr>
                  <w:tcW w:w="462" w:type="pct"/>
                  <w:tcBorders>
                    <w:tl2br w:val="nil"/>
                    <w:tr2bl w:val="nil"/>
                  </w:tcBorders>
                  <w:vAlign w:val="center"/>
                </w:tcPr>
                <w:p w14:paraId="1B55FEDD">
                  <w:pPr>
                    <w:jc w:val="center"/>
                    <w:rPr>
                      <w:color w:val="auto"/>
                      <w:sz w:val="18"/>
                      <w:szCs w:val="18"/>
                    </w:rPr>
                  </w:pPr>
                  <w:r>
                    <w:rPr>
                      <w:color w:val="auto"/>
                      <w:sz w:val="18"/>
                      <w:szCs w:val="18"/>
                    </w:rPr>
                    <w:t>相符</w:t>
                  </w:r>
                </w:p>
              </w:tc>
            </w:tr>
            <w:tr w14:paraId="12645F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85" w:type="pct"/>
                  <w:vMerge w:val="continue"/>
                  <w:tcBorders>
                    <w:tl2br w:val="nil"/>
                    <w:tr2bl w:val="nil"/>
                  </w:tcBorders>
                  <w:vAlign w:val="center"/>
                </w:tcPr>
                <w:p w14:paraId="3FCDA3C2">
                  <w:pPr>
                    <w:pStyle w:val="18"/>
                    <w:spacing w:before="0"/>
                    <w:jc w:val="center"/>
                    <w:rPr>
                      <w:rFonts w:ascii="Times New Roman" w:hAnsi="Times New Roman"/>
                      <w:color w:val="auto"/>
                      <w:sz w:val="18"/>
                      <w:szCs w:val="18"/>
                    </w:rPr>
                  </w:pPr>
                </w:p>
              </w:tc>
              <w:tc>
                <w:tcPr>
                  <w:tcW w:w="2364" w:type="pct"/>
                  <w:tcBorders>
                    <w:tl2br w:val="nil"/>
                    <w:tr2bl w:val="nil"/>
                  </w:tcBorders>
                  <w:vAlign w:val="center"/>
                </w:tcPr>
                <w:p w14:paraId="4F102171">
                  <w:pPr>
                    <w:jc w:val="center"/>
                    <w:rPr>
                      <w:color w:val="auto"/>
                      <w:sz w:val="18"/>
                      <w:szCs w:val="18"/>
                    </w:rPr>
                  </w:pPr>
                  <w:r>
                    <w:rPr>
                      <w:rFonts w:hint="eastAsia"/>
                      <w:color w:val="auto"/>
                      <w:sz w:val="18"/>
                      <w:szCs w:val="18"/>
                    </w:rPr>
                    <w:t>建立运行、维护和操作规程，明确设施的检查周期，建立主要设备运行状况的台账制度，保证设施正常运行</w:t>
                  </w:r>
                </w:p>
              </w:tc>
              <w:tc>
                <w:tcPr>
                  <w:tcW w:w="1787" w:type="pct"/>
                  <w:tcBorders>
                    <w:tl2br w:val="nil"/>
                    <w:tr2bl w:val="nil"/>
                  </w:tcBorders>
                  <w:vAlign w:val="center"/>
                </w:tcPr>
                <w:p w14:paraId="38DFCF55">
                  <w:pPr>
                    <w:jc w:val="center"/>
                    <w:rPr>
                      <w:color w:val="auto"/>
                      <w:sz w:val="18"/>
                      <w:szCs w:val="18"/>
                    </w:rPr>
                  </w:pPr>
                  <w:r>
                    <w:rPr>
                      <w:rFonts w:hint="eastAsia"/>
                      <w:color w:val="auto"/>
                      <w:sz w:val="18"/>
                      <w:szCs w:val="18"/>
                    </w:rPr>
                    <w:t>建立运行、维护和操作规程，明确设施的检查周期，建立主要设备运行状况的台账制度，保证设施正常运行</w:t>
                  </w:r>
                </w:p>
              </w:tc>
              <w:tc>
                <w:tcPr>
                  <w:tcW w:w="462" w:type="pct"/>
                  <w:tcBorders>
                    <w:tl2br w:val="nil"/>
                    <w:tr2bl w:val="nil"/>
                  </w:tcBorders>
                  <w:vAlign w:val="center"/>
                </w:tcPr>
                <w:p w14:paraId="7D21BD34">
                  <w:pPr>
                    <w:jc w:val="center"/>
                    <w:rPr>
                      <w:color w:val="auto"/>
                      <w:sz w:val="18"/>
                      <w:szCs w:val="18"/>
                    </w:rPr>
                  </w:pPr>
                  <w:r>
                    <w:rPr>
                      <w:color w:val="auto"/>
                      <w:sz w:val="18"/>
                      <w:szCs w:val="18"/>
                    </w:rPr>
                    <w:t>相符</w:t>
                  </w:r>
                </w:p>
              </w:tc>
            </w:tr>
            <w:tr w14:paraId="00B4B8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5" w:type="pct"/>
                  <w:vMerge w:val="continue"/>
                  <w:tcBorders>
                    <w:tl2br w:val="nil"/>
                    <w:tr2bl w:val="nil"/>
                  </w:tcBorders>
                  <w:vAlign w:val="center"/>
                </w:tcPr>
                <w:p w14:paraId="2FA1B2AE">
                  <w:pPr>
                    <w:pStyle w:val="18"/>
                    <w:spacing w:before="0"/>
                    <w:jc w:val="center"/>
                    <w:rPr>
                      <w:rFonts w:ascii="Times New Roman" w:hAnsi="Times New Roman"/>
                      <w:color w:val="auto"/>
                      <w:sz w:val="18"/>
                      <w:szCs w:val="18"/>
                    </w:rPr>
                  </w:pPr>
                </w:p>
              </w:tc>
              <w:tc>
                <w:tcPr>
                  <w:tcW w:w="2364" w:type="pct"/>
                  <w:tcBorders>
                    <w:tl2br w:val="nil"/>
                    <w:tr2bl w:val="nil"/>
                  </w:tcBorders>
                  <w:vAlign w:val="center"/>
                </w:tcPr>
                <w:p w14:paraId="69507A33">
                  <w:pPr>
                    <w:jc w:val="center"/>
                    <w:rPr>
                      <w:color w:val="auto"/>
                      <w:sz w:val="18"/>
                      <w:szCs w:val="18"/>
                    </w:rPr>
                  </w:pPr>
                  <w:r>
                    <w:rPr>
                      <w:rFonts w:hint="eastAsia"/>
                      <w:color w:val="auto"/>
                      <w:sz w:val="18"/>
                      <w:szCs w:val="18"/>
                    </w:rPr>
                    <w:t>建立净化装置运行状况、设施维护等的记录制度</w:t>
                  </w:r>
                </w:p>
              </w:tc>
              <w:tc>
                <w:tcPr>
                  <w:tcW w:w="1787" w:type="pct"/>
                  <w:tcBorders>
                    <w:tl2br w:val="nil"/>
                    <w:tr2bl w:val="nil"/>
                  </w:tcBorders>
                  <w:vAlign w:val="center"/>
                </w:tcPr>
                <w:p w14:paraId="4F6CF12F">
                  <w:pPr>
                    <w:jc w:val="center"/>
                    <w:rPr>
                      <w:color w:val="auto"/>
                      <w:sz w:val="18"/>
                      <w:szCs w:val="18"/>
                    </w:rPr>
                  </w:pPr>
                  <w:r>
                    <w:rPr>
                      <w:rFonts w:hint="eastAsia"/>
                      <w:color w:val="auto"/>
                      <w:sz w:val="18"/>
                      <w:szCs w:val="18"/>
                    </w:rPr>
                    <w:t>建立净化装置运行状况、设施维护等的记录制度</w:t>
                  </w:r>
                </w:p>
              </w:tc>
              <w:tc>
                <w:tcPr>
                  <w:tcW w:w="462" w:type="pct"/>
                  <w:tcBorders>
                    <w:tl2br w:val="nil"/>
                    <w:tr2bl w:val="nil"/>
                  </w:tcBorders>
                  <w:vAlign w:val="center"/>
                </w:tcPr>
                <w:p w14:paraId="216D7F2E">
                  <w:pPr>
                    <w:jc w:val="center"/>
                    <w:rPr>
                      <w:color w:val="auto"/>
                      <w:sz w:val="18"/>
                      <w:szCs w:val="18"/>
                    </w:rPr>
                  </w:pPr>
                  <w:r>
                    <w:rPr>
                      <w:color w:val="auto"/>
                      <w:sz w:val="18"/>
                      <w:szCs w:val="18"/>
                    </w:rPr>
                    <w:t>相符</w:t>
                  </w:r>
                </w:p>
              </w:tc>
            </w:tr>
            <w:tr w14:paraId="3B34A1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5" w:type="pct"/>
                  <w:vMerge w:val="continue"/>
                  <w:tcBorders>
                    <w:tl2br w:val="nil"/>
                    <w:tr2bl w:val="nil"/>
                  </w:tcBorders>
                  <w:vAlign w:val="center"/>
                </w:tcPr>
                <w:p w14:paraId="3021F640">
                  <w:pPr>
                    <w:pStyle w:val="18"/>
                    <w:spacing w:before="0"/>
                    <w:jc w:val="center"/>
                    <w:rPr>
                      <w:rFonts w:ascii="Times New Roman" w:hAnsi="Times New Roman"/>
                      <w:color w:val="auto"/>
                      <w:sz w:val="18"/>
                      <w:szCs w:val="18"/>
                    </w:rPr>
                  </w:pPr>
                </w:p>
              </w:tc>
              <w:tc>
                <w:tcPr>
                  <w:tcW w:w="2364" w:type="pct"/>
                  <w:tcBorders>
                    <w:tl2br w:val="nil"/>
                    <w:tr2bl w:val="nil"/>
                  </w:tcBorders>
                  <w:vAlign w:val="center"/>
                </w:tcPr>
                <w:p w14:paraId="21F0B910">
                  <w:pPr>
                    <w:jc w:val="center"/>
                    <w:rPr>
                      <w:color w:val="auto"/>
                      <w:sz w:val="18"/>
                      <w:szCs w:val="18"/>
                    </w:rPr>
                  </w:pPr>
                  <w:r>
                    <w:rPr>
                      <w:rFonts w:hint="eastAsia"/>
                      <w:color w:val="auto"/>
                      <w:sz w:val="18"/>
                      <w:szCs w:val="18"/>
                    </w:rPr>
                    <w:t xml:space="preserve">排气筒应设置永久性采样口，采样口的设置应符合 </w:t>
                  </w:r>
                  <w:r>
                    <w:rPr>
                      <w:color w:val="auto"/>
                      <w:sz w:val="18"/>
                      <w:szCs w:val="18"/>
                    </w:rPr>
                    <w:t xml:space="preserve">HJ/T 397 </w:t>
                  </w:r>
                  <w:r>
                    <w:rPr>
                      <w:rFonts w:hint="eastAsia"/>
                      <w:color w:val="auto"/>
                      <w:sz w:val="18"/>
                      <w:szCs w:val="18"/>
                    </w:rPr>
                    <w:t>要求</w:t>
                  </w:r>
                </w:p>
              </w:tc>
              <w:tc>
                <w:tcPr>
                  <w:tcW w:w="1787" w:type="pct"/>
                  <w:tcBorders>
                    <w:tl2br w:val="nil"/>
                    <w:tr2bl w:val="nil"/>
                  </w:tcBorders>
                  <w:vAlign w:val="center"/>
                </w:tcPr>
                <w:p w14:paraId="2AF8688D">
                  <w:pPr>
                    <w:jc w:val="center"/>
                    <w:rPr>
                      <w:color w:val="auto"/>
                      <w:sz w:val="18"/>
                      <w:szCs w:val="18"/>
                    </w:rPr>
                  </w:pPr>
                  <w:r>
                    <w:rPr>
                      <w:color w:val="auto"/>
                      <w:sz w:val="18"/>
                      <w:szCs w:val="18"/>
                    </w:rPr>
                    <w:t>排气筒设置永久性采样口，采样口的设置应符合 HJ/T 397 要求</w:t>
                  </w:r>
                </w:p>
              </w:tc>
              <w:tc>
                <w:tcPr>
                  <w:tcW w:w="462" w:type="pct"/>
                  <w:tcBorders>
                    <w:tl2br w:val="nil"/>
                    <w:tr2bl w:val="nil"/>
                  </w:tcBorders>
                  <w:vAlign w:val="center"/>
                </w:tcPr>
                <w:p w14:paraId="16CFC13B">
                  <w:pPr>
                    <w:jc w:val="center"/>
                    <w:rPr>
                      <w:color w:val="auto"/>
                      <w:sz w:val="18"/>
                      <w:szCs w:val="18"/>
                    </w:rPr>
                  </w:pPr>
                  <w:r>
                    <w:rPr>
                      <w:color w:val="auto"/>
                      <w:sz w:val="18"/>
                      <w:szCs w:val="18"/>
                    </w:rPr>
                    <w:t>相符</w:t>
                  </w:r>
                </w:p>
              </w:tc>
            </w:tr>
            <w:tr w14:paraId="09161D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5" w:type="pct"/>
                  <w:vMerge w:val="restart"/>
                  <w:tcBorders>
                    <w:tl2br w:val="nil"/>
                    <w:tr2bl w:val="nil"/>
                  </w:tcBorders>
                  <w:vAlign w:val="center"/>
                </w:tcPr>
                <w:p w14:paraId="6D2A621D">
                  <w:pPr>
                    <w:pStyle w:val="18"/>
                    <w:spacing w:before="0"/>
                    <w:jc w:val="center"/>
                    <w:rPr>
                      <w:rFonts w:ascii="Times New Roman" w:hAnsi="Times New Roman"/>
                      <w:color w:val="auto"/>
                      <w:sz w:val="18"/>
                      <w:szCs w:val="18"/>
                    </w:rPr>
                  </w:pPr>
                  <w:r>
                    <w:rPr>
                      <w:rFonts w:hint="eastAsia" w:ascii="Times New Roman" w:hAnsi="Times New Roman"/>
                      <w:color w:val="auto"/>
                      <w:sz w:val="18"/>
                      <w:szCs w:val="18"/>
                    </w:rPr>
                    <w:t>危险废物管理</w:t>
                  </w:r>
                </w:p>
              </w:tc>
              <w:tc>
                <w:tcPr>
                  <w:tcW w:w="2364" w:type="pct"/>
                  <w:tcBorders>
                    <w:tl2br w:val="nil"/>
                    <w:tr2bl w:val="nil"/>
                  </w:tcBorders>
                  <w:vAlign w:val="center"/>
                </w:tcPr>
                <w:p w14:paraId="0E02DDFC">
                  <w:pPr>
                    <w:jc w:val="center"/>
                    <w:rPr>
                      <w:color w:val="auto"/>
                      <w:sz w:val="18"/>
                      <w:szCs w:val="18"/>
                    </w:rPr>
                  </w:pPr>
                  <w:r>
                    <w:rPr>
                      <w:rFonts w:hint="eastAsia"/>
                      <w:color w:val="auto"/>
                      <w:sz w:val="18"/>
                      <w:szCs w:val="18"/>
                    </w:rPr>
                    <w:t>吸附剂废弃后，应根据《国家危险废物名录》确认是否属于危险废物；如果属于危险废物，应按 GB 18597 等危险废物贮存、转移、处置等相关要求进行环境管理</w:t>
                  </w:r>
                </w:p>
              </w:tc>
              <w:tc>
                <w:tcPr>
                  <w:tcW w:w="1787" w:type="pct"/>
                  <w:vMerge w:val="restart"/>
                  <w:tcBorders>
                    <w:tl2br w:val="nil"/>
                    <w:tr2bl w:val="nil"/>
                  </w:tcBorders>
                  <w:vAlign w:val="center"/>
                </w:tcPr>
                <w:p w14:paraId="1F0AD24F">
                  <w:pPr>
                    <w:jc w:val="center"/>
                    <w:rPr>
                      <w:color w:val="auto"/>
                      <w:sz w:val="18"/>
                      <w:szCs w:val="18"/>
                    </w:rPr>
                  </w:pPr>
                  <w:r>
                    <w:rPr>
                      <w:color w:val="auto"/>
                      <w:sz w:val="18"/>
                      <w:szCs w:val="18"/>
                    </w:rPr>
                    <w:t xml:space="preserve">危险废物按照要求委托有资 </w:t>
                  </w:r>
                </w:p>
                <w:p w14:paraId="7D32D84B">
                  <w:pPr>
                    <w:jc w:val="center"/>
                    <w:rPr>
                      <w:color w:val="auto"/>
                      <w:sz w:val="18"/>
                      <w:szCs w:val="18"/>
                    </w:rPr>
                  </w:pPr>
                  <w:r>
                    <w:rPr>
                      <w:color w:val="auto"/>
                      <w:sz w:val="18"/>
                      <w:szCs w:val="18"/>
                    </w:rPr>
                    <w:t>质单位处置</w:t>
                  </w:r>
                </w:p>
              </w:tc>
              <w:tc>
                <w:tcPr>
                  <w:tcW w:w="462" w:type="pct"/>
                  <w:tcBorders>
                    <w:tl2br w:val="nil"/>
                    <w:tr2bl w:val="nil"/>
                  </w:tcBorders>
                  <w:vAlign w:val="center"/>
                </w:tcPr>
                <w:p w14:paraId="22A0ACE9">
                  <w:pPr>
                    <w:jc w:val="center"/>
                    <w:rPr>
                      <w:color w:val="auto"/>
                      <w:sz w:val="18"/>
                      <w:szCs w:val="18"/>
                    </w:rPr>
                  </w:pPr>
                  <w:r>
                    <w:rPr>
                      <w:color w:val="auto"/>
                      <w:sz w:val="18"/>
                      <w:szCs w:val="18"/>
                    </w:rPr>
                    <w:t>相符</w:t>
                  </w:r>
                </w:p>
              </w:tc>
            </w:tr>
            <w:tr w14:paraId="02DFA1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5" w:type="pct"/>
                  <w:vMerge w:val="continue"/>
                  <w:tcBorders>
                    <w:tl2br w:val="nil"/>
                    <w:tr2bl w:val="nil"/>
                  </w:tcBorders>
                  <w:vAlign w:val="center"/>
                </w:tcPr>
                <w:p w14:paraId="306DA381">
                  <w:pPr>
                    <w:pStyle w:val="18"/>
                    <w:spacing w:before="0"/>
                    <w:jc w:val="center"/>
                    <w:rPr>
                      <w:rFonts w:ascii="Times New Roman" w:hAnsi="Times New Roman"/>
                      <w:color w:val="auto"/>
                      <w:sz w:val="18"/>
                      <w:szCs w:val="18"/>
                    </w:rPr>
                  </w:pPr>
                </w:p>
              </w:tc>
              <w:tc>
                <w:tcPr>
                  <w:tcW w:w="2364" w:type="pct"/>
                  <w:tcBorders>
                    <w:tl2br w:val="nil"/>
                    <w:tr2bl w:val="nil"/>
                  </w:tcBorders>
                  <w:vAlign w:val="center"/>
                </w:tcPr>
                <w:p w14:paraId="7926519E">
                  <w:pPr>
                    <w:jc w:val="center"/>
                    <w:rPr>
                      <w:color w:val="auto"/>
                      <w:sz w:val="18"/>
                      <w:szCs w:val="18"/>
                    </w:rPr>
                  </w:pPr>
                  <w:r>
                    <w:rPr>
                      <w:rFonts w:hint="eastAsia"/>
                      <w:color w:val="auto"/>
                      <w:sz w:val="18"/>
                      <w:szCs w:val="18"/>
                    </w:rPr>
                    <w:t>鼓励吸附剂循环再生利用</w:t>
                  </w:r>
                </w:p>
              </w:tc>
              <w:tc>
                <w:tcPr>
                  <w:tcW w:w="1787" w:type="pct"/>
                  <w:vMerge w:val="continue"/>
                  <w:tcBorders>
                    <w:tl2br w:val="nil"/>
                    <w:tr2bl w:val="nil"/>
                  </w:tcBorders>
                  <w:vAlign w:val="center"/>
                </w:tcPr>
                <w:p w14:paraId="4E161EB9">
                  <w:pPr>
                    <w:jc w:val="center"/>
                    <w:rPr>
                      <w:color w:val="auto"/>
                      <w:sz w:val="18"/>
                      <w:szCs w:val="18"/>
                    </w:rPr>
                  </w:pPr>
                </w:p>
              </w:tc>
              <w:tc>
                <w:tcPr>
                  <w:tcW w:w="462" w:type="pct"/>
                  <w:tcBorders>
                    <w:tl2br w:val="nil"/>
                    <w:tr2bl w:val="nil"/>
                  </w:tcBorders>
                  <w:vAlign w:val="center"/>
                </w:tcPr>
                <w:p w14:paraId="41A570A8">
                  <w:pPr>
                    <w:jc w:val="center"/>
                    <w:rPr>
                      <w:color w:val="auto"/>
                      <w:sz w:val="18"/>
                      <w:szCs w:val="18"/>
                    </w:rPr>
                  </w:pPr>
                  <w:r>
                    <w:rPr>
                      <w:color w:val="auto"/>
                      <w:sz w:val="18"/>
                      <w:szCs w:val="18"/>
                    </w:rPr>
                    <w:t>相符</w:t>
                  </w:r>
                </w:p>
              </w:tc>
            </w:tr>
          </w:tbl>
          <w:p w14:paraId="58441F8A">
            <w:pPr>
              <w:autoSpaceDE w:val="0"/>
              <w:autoSpaceDN w:val="0"/>
              <w:adjustRightInd w:val="0"/>
              <w:snapToGrid w:val="0"/>
              <w:spacing w:line="360" w:lineRule="auto"/>
              <w:ind w:firstLine="444" w:firstLineChars="200"/>
              <w:rPr>
                <w:color w:val="auto"/>
                <w:spacing w:val="6"/>
                <w:szCs w:val="21"/>
                <w:shd w:val="clear" w:color="auto" w:fill="FFFFFF"/>
              </w:rPr>
            </w:pPr>
            <w:r>
              <w:rPr>
                <w:rFonts w:hint="eastAsia"/>
                <w:color w:val="auto"/>
                <w:spacing w:val="6"/>
                <w:szCs w:val="21"/>
                <w:shd w:val="clear" w:color="auto" w:fill="FFFFFF"/>
              </w:rPr>
              <w:t>综上所述，本项目符合《实验室挥发性有机物污染防治技术指南》（T/ACEF 001-2020）要求。</w:t>
            </w:r>
          </w:p>
          <w:p w14:paraId="487AE220">
            <w:pPr>
              <w:autoSpaceDE w:val="0"/>
              <w:autoSpaceDN w:val="0"/>
              <w:adjustRightInd w:val="0"/>
              <w:snapToGrid w:val="0"/>
              <w:spacing w:line="360" w:lineRule="auto"/>
              <w:ind w:firstLine="446" w:firstLineChars="200"/>
              <w:rPr>
                <w:b/>
                <w:bCs/>
                <w:color w:val="auto"/>
                <w:spacing w:val="6"/>
                <w:szCs w:val="21"/>
                <w:shd w:val="clear" w:color="auto" w:fill="FFFFFF"/>
              </w:rPr>
            </w:pPr>
            <w:r>
              <w:rPr>
                <w:rFonts w:hint="eastAsia"/>
                <w:b/>
                <w:bCs/>
                <w:color w:val="auto"/>
                <w:spacing w:val="6"/>
                <w:szCs w:val="21"/>
                <w:shd w:val="clear" w:color="auto" w:fill="FFFFFF"/>
              </w:rPr>
              <w:t>13.与《实验室废气污染控制技术规范》（DB32/T4455-2023）的符合性分析</w:t>
            </w:r>
          </w:p>
          <w:p w14:paraId="1F56CD67">
            <w:pPr>
              <w:pStyle w:val="18"/>
              <w:spacing w:before="0" w:beforeAutospacing="0" w:after="0" w:afterAutospacing="0"/>
              <w:jc w:val="center"/>
              <w:rPr>
                <w:rFonts w:ascii="Times New Roman" w:hAnsi="Times New Roman"/>
                <w:b/>
                <w:bCs/>
                <w:color w:val="auto"/>
                <w:sz w:val="21"/>
                <w:szCs w:val="21"/>
              </w:rPr>
            </w:pPr>
          </w:p>
          <w:p w14:paraId="7112A5E2">
            <w:pPr>
              <w:pStyle w:val="18"/>
              <w:spacing w:before="0" w:beforeAutospacing="0" w:after="0" w:afterAutospacing="0"/>
              <w:jc w:val="center"/>
              <w:rPr>
                <w:rFonts w:ascii="Times New Roman" w:hAnsi="Times New Roman"/>
                <w:b/>
                <w:bCs/>
                <w:color w:val="auto"/>
                <w:sz w:val="21"/>
                <w:szCs w:val="21"/>
              </w:rPr>
            </w:pPr>
          </w:p>
          <w:p w14:paraId="3957A546">
            <w:pPr>
              <w:pStyle w:val="18"/>
              <w:spacing w:before="0" w:beforeAutospacing="0" w:after="0" w:afterAutospacing="0"/>
              <w:jc w:val="center"/>
              <w:rPr>
                <w:rFonts w:ascii="Times New Roman" w:hAnsi="Times New Roman"/>
                <w:b/>
                <w:bCs/>
                <w:color w:val="auto"/>
                <w:sz w:val="21"/>
                <w:szCs w:val="21"/>
              </w:rPr>
            </w:pPr>
          </w:p>
          <w:p w14:paraId="54BDA60C">
            <w:pPr>
              <w:pStyle w:val="18"/>
              <w:spacing w:before="0" w:beforeAutospacing="0" w:after="0" w:afterAutospacing="0"/>
              <w:jc w:val="center"/>
              <w:rPr>
                <w:rFonts w:ascii="Times New Roman" w:hAnsi="Times New Roman"/>
                <w:b/>
                <w:bCs/>
                <w:color w:val="auto"/>
                <w:sz w:val="21"/>
                <w:szCs w:val="21"/>
              </w:rPr>
            </w:pPr>
          </w:p>
          <w:p w14:paraId="2D41D32C">
            <w:pPr>
              <w:pStyle w:val="18"/>
              <w:spacing w:before="0" w:beforeAutospacing="0" w:after="0" w:afterAutospacing="0"/>
              <w:jc w:val="center"/>
              <w:rPr>
                <w:rFonts w:ascii="Times New Roman" w:hAnsi="Times New Roman"/>
                <w:b/>
                <w:bCs/>
                <w:color w:val="auto"/>
                <w:sz w:val="21"/>
                <w:szCs w:val="21"/>
              </w:rPr>
            </w:pPr>
            <w:r>
              <w:rPr>
                <w:rFonts w:ascii="Times New Roman" w:hAnsi="Times New Roman"/>
                <w:b/>
                <w:bCs/>
                <w:color w:val="auto"/>
                <w:sz w:val="21"/>
                <w:szCs w:val="21"/>
              </w:rPr>
              <w:t>表1-</w:t>
            </w:r>
            <w:r>
              <w:rPr>
                <w:rFonts w:hint="eastAsia" w:ascii="Times New Roman" w:hAnsi="Times New Roman"/>
                <w:b/>
                <w:bCs/>
                <w:color w:val="auto"/>
                <w:sz w:val="21"/>
                <w:szCs w:val="21"/>
              </w:rPr>
              <w:t>9与《</w:t>
            </w:r>
            <w:r>
              <w:rPr>
                <w:rFonts w:hint="eastAsia"/>
                <w:b/>
                <w:bCs/>
                <w:color w:val="auto"/>
                <w:spacing w:val="6"/>
                <w:szCs w:val="21"/>
                <w:shd w:val="clear" w:color="auto" w:fill="FFFFFF"/>
              </w:rPr>
              <w:t>实验室废气污染控制技术规范</w:t>
            </w:r>
            <w:r>
              <w:rPr>
                <w:rFonts w:hint="eastAsia" w:ascii="Times New Roman" w:hAnsi="Times New Roman"/>
                <w:b/>
                <w:bCs/>
                <w:color w:val="auto"/>
                <w:sz w:val="21"/>
                <w:szCs w:val="21"/>
              </w:rPr>
              <w:t>》相符性分析</w:t>
            </w:r>
          </w:p>
          <w:tbl>
            <w:tblPr>
              <w:tblStyle w:val="23"/>
              <w:tblW w:w="48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84"/>
              <w:gridCol w:w="3680"/>
              <w:gridCol w:w="2970"/>
              <w:gridCol w:w="426"/>
            </w:tblGrid>
            <w:tr w14:paraId="46C656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381" w:type="pct"/>
                  <w:tcBorders>
                    <w:tl2br w:val="nil"/>
                    <w:tr2bl w:val="nil"/>
                  </w:tcBorders>
                  <w:vAlign w:val="center"/>
                </w:tcPr>
                <w:p w14:paraId="514F07E4">
                  <w:pPr>
                    <w:pStyle w:val="18"/>
                    <w:spacing w:before="0"/>
                    <w:jc w:val="center"/>
                    <w:rPr>
                      <w:rFonts w:ascii="Times New Roman" w:hAnsi="Times New Roman"/>
                      <w:b/>
                      <w:bCs/>
                      <w:color w:val="auto"/>
                      <w:sz w:val="18"/>
                      <w:szCs w:val="18"/>
                    </w:rPr>
                  </w:pPr>
                  <w:r>
                    <w:rPr>
                      <w:rFonts w:hint="eastAsia" w:ascii="Times New Roman" w:hAnsi="Times New Roman"/>
                      <w:b/>
                      <w:bCs/>
                      <w:color w:val="auto"/>
                      <w:sz w:val="18"/>
                      <w:szCs w:val="18"/>
                    </w:rPr>
                    <w:t>项目</w:t>
                  </w:r>
                </w:p>
              </w:tc>
              <w:tc>
                <w:tcPr>
                  <w:tcW w:w="2402" w:type="pct"/>
                  <w:tcBorders>
                    <w:tl2br w:val="nil"/>
                    <w:tr2bl w:val="nil"/>
                  </w:tcBorders>
                  <w:vAlign w:val="center"/>
                </w:tcPr>
                <w:p w14:paraId="5FEE858D">
                  <w:pPr>
                    <w:pStyle w:val="18"/>
                    <w:spacing w:before="0"/>
                    <w:jc w:val="center"/>
                    <w:rPr>
                      <w:rFonts w:ascii="Times New Roman" w:hAnsi="Times New Roman"/>
                      <w:b/>
                      <w:bCs/>
                      <w:color w:val="auto"/>
                      <w:sz w:val="18"/>
                      <w:szCs w:val="18"/>
                    </w:rPr>
                  </w:pPr>
                  <w:r>
                    <w:rPr>
                      <w:rFonts w:hint="eastAsia" w:ascii="Times New Roman" w:hAnsi="Times New Roman"/>
                      <w:b/>
                      <w:bCs/>
                      <w:color w:val="auto"/>
                      <w:sz w:val="18"/>
                      <w:szCs w:val="18"/>
                    </w:rPr>
                    <w:t>文件要求</w:t>
                  </w:r>
                </w:p>
              </w:tc>
              <w:tc>
                <w:tcPr>
                  <w:tcW w:w="1938" w:type="pct"/>
                  <w:tcBorders>
                    <w:tl2br w:val="nil"/>
                    <w:tr2bl w:val="nil"/>
                  </w:tcBorders>
                  <w:vAlign w:val="center"/>
                </w:tcPr>
                <w:p w14:paraId="5C865640">
                  <w:pPr>
                    <w:pStyle w:val="18"/>
                    <w:spacing w:before="0"/>
                    <w:jc w:val="center"/>
                    <w:rPr>
                      <w:rFonts w:ascii="Times New Roman" w:hAnsi="Times New Roman"/>
                      <w:b/>
                      <w:bCs/>
                      <w:color w:val="auto"/>
                      <w:sz w:val="18"/>
                      <w:szCs w:val="18"/>
                    </w:rPr>
                  </w:pPr>
                  <w:r>
                    <w:rPr>
                      <w:rFonts w:ascii="Times New Roman" w:hAnsi="Times New Roman"/>
                      <w:b/>
                      <w:bCs/>
                      <w:color w:val="auto"/>
                      <w:sz w:val="18"/>
                      <w:szCs w:val="18"/>
                    </w:rPr>
                    <w:t>本项目情况</w:t>
                  </w:r>
                </w:p>
              </w:tc>
              <w:tc>
                <w:tcPr>
                  <w:tcW w:w="278" w:type="pct"/>
                  <w:tcBorders>
                    <w:tl2br w:val="nil"/>
                    <w:tr2bl w:val="nil"/>
                  </w:tcBorders>
                  <w:vAlign w:val="center"/>
                </w:tcPr>
                <w:p w14:paraId="28A7C1E6">
                  <w:pPr>
                    <w:pStyle w:val="18"/>
                    <w:spacing w:before="0"/>
                    <w:jc w:val="center"/>
                    <w:rPr>
                      <w:rFonts w:ascii="Times New Roman" w:hAnsi="Times New Roman"/>
                      <w:b/>
                      <w:bCs/>
                      <w:color w:val="auto"/>
                      <w:sz w:val="18"/>
                      <w:szCs w:val="18"/>
                    </w:rPr>
                  </w:pPr>
                  <w:r>
                    <w:rPr>
                      <w:rFonts w:ascii="Times New Roman" w:hAnsi="Times New Roman"/>
                      <w:b/>
                      <w:bCs/>
                      <w:color w:val="auto"/>
                      <w:sz w:val="18"/>
                      <w:szCs w:val="18"/>
                    </w:rPr>
                    <w:t>相符性</w:t>
                  </w:r>
                </w:p>
              </w:tc>
            </w:tr>
            <w:tr w14:paraId="5AC138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81" w:type="pct"/>
                  <w:vMerge w:val="restart"/>
                  <w:tcBorders>
                    <w:tl2br w:val="nil"/>
                    <w:tr2bl w:val="nil"/>
                  </w:tcBorders>
                  <w:vAlign w:val="center"/>
                </w:tcPr>
                <w:p w14:paraId="41F3D37D">
                  <w:pPr>
                    <w:jc w:val="center"/>
                    <w:rPr>
                      <w:color w:val="auto"/>
                      <w:sz w:val="18"/>
                      <w:szCs w:val="18"/>
                    </w:rPr>
                  </w:pPr>
                  <w:r>
                    <w:rPr>
                      <w:rFonts w:hint="eastAsia"/>
                      <w:color w:val="auto"/>
                      <w:sz w:val="18"/>
                      <w:szCs w:val="18"/>
                    </w:rPr>
                    <w:t>总体要求</w:t>
                  </w:r>
                </w:p>
              </w:tc>
              <w:tc>
                <w:tcPr>
                  <w:tcW w:w="2402" w:type="pct"/>
                  <w:tcBorders>
                    <w:tl2br w:val="nil"/>
                    <w:tr2bl w:val="nil"/>
                  </w:tcBorders>
                  <w:vAlign w:val="center"/>
                </w:tcPr>
                <w:p w14:paraId="420541F2">
                  <w:pPr>
                    <w:rPr>
                      <w:color w:val="auto"/>
                      <w:sz w:val="18"/>
                      <w:szCs w:val="18"/>
                    </w:rPr>
                  </w:pPr>
                  <w:r>
                    <w:rPr>
                      <w:rFonts w:hint="eastAsia"/>
                      <w:color w:val="auto"/>
                      <w:sz w:val="18"/>
                      <w:szCs w:val="18"/>
                    </w:rPr>
                    <w:t>实验室单位产生的废气应经过排风柜或排风罩等方式收集,按照相关工程技术规范对净化工艺和设备进行科学设计和施工,排出室外的有机、无机废气应符合 GB14554和 DB32/4041的规定（国家或地方行业污染物排放标准中对实验室废气已作规定的，按相应行业排放标准规定执行）。</w:t>
                  </w:r>
                </w:p>
              </w:tc>
              <w:tc>
                <w:tcPr>
                  <w:tcW w:w="1938" w:type="pct"/>
                  <w:tcBorders>
                    <w:tl2br w:val="nil"/>
                    <w:tr2bl w:val="nil"/>
                  </w:tcBorders>
                  <w:vAlign w:val="center"/>
                </w:tcPr>
                <w:p w14:paraId="5EBFAB17">
                  <w:pPr>
                    <w:rPr>
                      <w:color w:val="auto"/>
                      <w:sz w:val="18"/>
                      <w:szCs w:val="18"/>
                    </w:rPr>
                  </w:pPr>
                  <w:r>
                    <w:rPr>
                      <w:rFonts w:hint="eastAsia"/>
                      <w:color w:val="auto"/>
                      <w:sz w:val="18"/>
                      <w:szCs w:val="18"/>
                    </w:rPr>
                    <w:t>本项目实验室研发及检测需要分别在通风橱或实验台上完成实验，通风橱采用抽风系统收集废气，实验台采用万向集气罩进行收集，本项目研发及检测过程中产生的各类废气均经收集+水喷淋+除雾器+二级活性炭吸附处置后通过15米高排气筒（DA001）排放</w:t>
                  </w:r>
                </w:p>
              </w:tc>
              <w:tc>
                <w:tcPr>
                  <w:tcW w:w="278" w:type="pct"/>
                  <w:tcBorders>
                    <w:tl2br w:val="nil"/>
                    <w:tr2bl w:val="nil"/>
                  </w:tcBorders>
                  <w:vAlign w:val="center"/>
                </w:tcPr>
                <w:p w14:paraId="7A138AD0">
                  <w:pPr>
                    <w:jc w:val="center"/>
                    <w:rPr>
                      <w:color w:val="auto"/>
                      <w:sz w:val="18"/>
                      <w:szCs w:val="18"/>
                    </w:rPr>
                  </w:pPr>
                  <w:r>
                    <w:rPr>
                      <w:color w:val="auto"/>
                      <w:sz w:val="18"/>
                      <w:szCs w:val="18"/>
                    </w:rPr>
                    <w:t>相符</w:t>
                  </w:r>
                </w:p>
              </w:tc>
            </w:tr>
            <w:tr w14:paraId="4BFFE1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81" w:type="pct"/>
                  <w:vMerge w:val="continue"/>
                  <w:tcBorders>
                    <w:tl2br w:val="nil"/>
                    <w:tr2bl w:val="nil"/>
                  </w:tcBorders>
                  <w:vAlign w:val="center"/>
                </w:tcPr>
                <w:p w14:paraId="41982EFE">
                  <w:pPr>
                    <w:jc w:val="center"/>
                    <w:rPr>
                      <w:color w:val="auto"/>
                      <w:sz w:val="18"/>
                      <w:szCs w:val="18"/>
                    </w:rPr>
                  </w:pPr>
                </w:p>
              </w:tc>
              <w:tc>
                <w:tcPr>
                  <w:tcW w:w="2402" w:type="pct"/>
                  <w:tcBorders>
                    <w:tl2br w:val="nil"/>
                    <w:tr2bl w:val="nil"/>
                  </w:tcBorders>
                  <w:vAlign w:val="center"/>
                </w:tcPr>
                <w:p w14:paraId="064F9926">
                  <w:pPr>
                    <w:rPr>
                      <w:color w:val="auto"/>
                      <w:sz w:val="18"/>
                      <w:szCs w:val="18"/>
                    </w:rPr>
                  </w:pPr>
                  <w:r>
                    <w:rPr>
                      <w:rFonts w:hint="eastAsia"/>
                      <w:color w:val="auto"/>
                      <w:sz w:val="18"/>
                      <w:szCs w:val="18"/>
                    </w:rPr>
                    <w:t>收集废气中NMHC初始排放速率大于或等于2kg/h的实验室单元，废气净化效率不低于80%；收集废气中NMHC初始排放速率在0.2 kg/h~2 kg/h(含0.2 kg/h)范围内的实验室单元，废气净化效率不低于60%；收集废气中NMHC初始排放速率在0.02 kg/h~0.2 kg/h(含 0.02 kg/h)范围内的实验室单元，废气净化效率不低于50%。</w:t>
                  </w:r>
                </w:p>
              </w:tc>
              <w:tc>
                <w:tcPr>
                  <w:tcW w:w="1938" w:type="pct"/>
                  <w:tcBorders>
                    <w:tl2br w:val="nil"/>
                    <w:tr2bl w:val="nil"/>
                  </w:tcBorders>
                  <w:vAlign w:val="center"/>
                </w:tcPr>
                <w:p w14:paraId="36B2F63C">
                  <w:pPr>
                    <w:rPr>
                      <w:color w:val="auto"/>
                      <w:sz w:val="18"/>
                      <w:szCs w:val="18"/>
                    </w:rPr>
                  </w:pPr>
                  <w:r>
                    <w:rPr>
                      <w:rFonts w:hint="eastAsia"/>
                      <w:color w:val="auto"/>
                      <w:sz w:val="18"/>
                      <w:szCs w:val="18"/>
                    </w:rPr>
                    <w:t>本项目NMHC初始排放速率在0.02 kg/h~0.2 kg/h(含 0.02 kg/h)范围内，废气净化效率为</w:t>
                  </w:r>
                  <w:r>
                    <w:rPr>
                      <w:rFonts w:hint="eastAsia"/>
                      <w:color w:val="auto"/>
                      <w:sz w:val="18"/>
                      <w:szCs w:val="18"/>
                      <w:lang w:val="en-US" w:eastAsia="zh-CN"/>
                    </w:rPr>
                    <w:t>80</w:t>
                  </w:r>
                  <w:r>
                    <w:rPr>
                      <w:rFonts w:hint="eastAsia"/>
                      <w:color w:val="auto"/>
                      <w:sz w:val="18"/>
                      <w:szCs w:val="18"/>
                    </w:rPr>
                    <w:t>%。</w:t>
                  </w:r>
                </w:p>
              </w:tc>
              <w:tc>
                <w:tcPr>
                  <w:tcW w:w="278" w:type="pct"/>
                  <w:tcBorders>
                    <w:tl2br w:val="nil"/>
                    <w:tr2bl w:val="nil"/>
                  </w:tcBorders>
                  <w:vAlign w:val="center"/>
                </w:tcPr>
                <w:p w14:paraId="0A9D34D1">
                  <w:pPr>
                    <w:jc w:val="center"/>
                    <w:rPr>
                      <w:color w:val="auto"/>
                      <w:sz w:val="18"/>
                      <w:szCs w:val="18"/>
                    </w:rPr>
                  </w:pPr>
                  <w:r>
                    <w:rPr>
                      <w:color w:val="auto"/>
                      <w:sz w:val="18"/>
                      <w:szCs w:val="18"/>
                    </w:rPr>
                    <w:t>相符</w:t>
                  </w:r>
                </w:p>
              </w:tc>
            </w:tr>
            <w:tr w14:paraId="688C73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81" w:type="pct"/>
                  <w:vMerge w:val="restart"/>
                  <w:tcBorders>
                    <w:tl2br w:val="nil"/>
                    <w:tr2bl w:val="nil"/>
                  </w:tcBorders>
                  <w:vAlign w:val="center"/>
                </w:tcPr>
                <w:p w14:paraId="3273740F">
                  <w:pPr>
                    <w:jc w:val="center"/>
                    <w:rPr>
                      <w:color w:val="auto"/>
                      <w:sz w:val="18"/>
                      <w:szCs w:val="18"/>
                    </w:rPr>
                  </w:pPr>
                  <w:r>
                    <w:rPr>
                      <w:rFonts w:hint="eastAsia"/>
                      <w:color w:val="auto"/>
                      <w:sz w:val="18"/>
                      <w:szCs w:val="18"/>
                    </w:rPr>
                    <w:t>废气收集</w:t>
                  </w:r>
                </w:p>
              </w:tc>
              <w:tc>
                <w:tcPr>
                  <w:tcW w:w="2402" w:type="pct"/>
                  <w:tcBorders>
                    <w:tl2br w:val="nil"/>
                    <w:tr2bl w:val="nil"/>
                  </w:tcBorders>
                  <w:vAlign w:val="center"/>
                </w:tcPr>
                <w:p w14:paraId="12382D8E">
                  <w:pPr>
                    <w:rPr>
                      <w:color w:val="auto"/>
                      <w:sz w:val="18"/>
                      <w:szCs w:val="18"/>
                    </w:rPr>
                  </w:pPr>
                  <w:r>
                    <w:rPr>
                      <w:rFonts w:hint="eastAsia"/>
                      <w:color w:val="auto"/>
                      <w:sz w:val="18"/>
                      <w:szCs w:val="18"/>
                    </w:rPr>
                    <w:t>应根据实验室单元易挥发物质的产生和使用情况，统筹设置废气收集装置，实验室门窗或通风口等排放口外废气无组织排放监控点浓度限值和监测应符合 GB 37822和DB32/4041的要求。</w:t>
                  </w:r>
                </w:p>
              </w:tc>
              <w:tc>
                <w:tcPr>
                  <w:tcW w:w="1938" w:type="pct"/>
                  <w:tcBorders>
                    <w:tl2br w:val="nil"/>
                    <w:tr2bl w:val="nil"/>
                  </w:tcBorders>
                  <w:vAlign w:val="center"/>
                </w:tcPr>
                <w:p w14:paraId="10386CB7">
                  <w:pPr>
                    <w:rPr>
                      <w:color w:val="auto"/>
                      <w:sz w:val="18"/>
                      <w:szCs w:val="18"/>
                    </w:rPr>
                  </w:pPr>
                  <w:r>
                    <w:rPr>
                      <w:rFonts w:hint="eastAsia"/>
                      <w:color w:val="auto"/>
                      <w:sz w:val="18"/>
                      <w:szCs w:val="18"/>
                    </w:rPr>
                    <w:t>本项目实验室研发及检测需要分别在通风橱或实验台上完成实验，通风橱采用抽风系统收集废气，实验台采用万向集气罩进行收集。实验室门窗或通风口等排放口外废气无组织排放监控点浓度限值和监测符合 GB 37822和DB32/ 4041的要求。</w:t>
                  </w:r>
                </w:p>
              </w:tc>
              <w:tc>
                <w:tcPr>
                  <w:tcW w:w="278" w:type="pct"/>
                  <w:tcBorders>
                    <w:tl2br w:val="nil"/>
                    <w:tr2bl w:val="nil"/>
                  </w:tcBorders>
                  <w:vAlign w:val="center"/>
                </w:tcPr>
                <w:p w14:paraId="5FAF70EF">
                  <w:pPr>
                    <w:jc w:val="center"/>
                    <w:rPr>
                      <w:color w:val="auto"/>
                      <w:sz w:val="18"/>
                      <w:szCs w:val="18"/>
                    </w:rPr>
                  </w:pPr>
                  <w:r>
                    <w:rPr>
                      <w:color w:val="auto"/>
                      <w:sz w:val="18"/>
                      <w:szCs w:val="18"/>
                    </w:rPr>
                    <w:t>相符</w:t>
                  </w:r>
                </w:p>
              </w:tc>
            </w:tr>
            <w:tr w14:paraId="1FA53E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81" w:type="pct"/>
                  <w:vMerge w:val="continue"/>
                  <w:tcBorders>
                    <w:tl2br w:val="nil"/>
                    <w:tr2bl w:val="nil"/>
                  </w:tcBorders>
                  <w:vAlign w:val="center"/>
                </w:tcPr>
                <w:p w14:paraId="6F36729F">
                  <w:pPr>
                    <w:jc w:val="center"/>
                    <w:rPr>
                      <w:color w:val="auto"/>
                      <w:sz w:val="18"/>
                      <w:szCs w:val="18"/>
                    </w:rPr>
                  </w:pPr>
                </w:p>
              </w:tc>
              <w:tc>
                <w:tcPr>
                  <w:tcW w:w="2402" w:type="pct"/>
                  <w:tcBorders>
                    <w:tl2br w:val="nil"/>
                    <w:tr2bl w:val="nil"/>
                  </w:tcBorders>
                  <w:vAlign w:val="center"/>
                </w:tcPr>
                <w:p w14:paraId="16D8282A">
                  <w:pPr>
                    <w:rPr>
                      <w:color w:val="auto"/>
                      <w:sz w:val="18"/>
                      <w:szCs w:val="18"/>
                    </w:rPr>
                  </w:pPr>
                  <w:r>
                    <w:rPr>
                      <w:rFonts w:hint="eastAsia"/>
                      <w:color w:val="auto"/>
                      <w:sz w:val="18"/>
                      <w:szCs w:val="18"/>
                    </w:rPr>
                    <w:t>根据易挥发物质的产生和使用情况、废气特征等因素，在条件允许的情况下,进行分质收集处理。同类废气宜集中收集处理。</w:t>
                  </w:r>
                </w:p>
              </w:tc>
              <w:tc>
                <w:tcPr>
                  <w:tcW w:w="1938" w:type="pct"/>
                  <w:tcBorders>
                    <w:tl2br w:val="nil"/>
                    <w:tr2bl w:val="nil"/>
                  </w:tcBorders>
                  <w:vAlign w:val="center"/>
                </w:tcPr>
                <w:p w14:paraId="7D898408">
                  <w:pPr>
                    <w:rPr>
                      <w:color w:val="auto"/>
                      <w:sz w:val="18"/>
                      <w:szCs w:val="18"/>
                    </w:rPr>
                  </w:pPr>
                  <w:r>
                    <w:rPr>
                      <w:rFonts w:hint="eastAsia"/>
                      <w:color w:val="auto"/>
                      <w:sz w:val="18"/>
                      <w:szCs w:val="18"/>
                    </w:rPr>
                    <w:t>本项目研发及检测过程中产生的各类废气均经收集+水喷淋+除雾器+二级活性炭吸附处置后通过15米高排气筒（DA001）排放</w:t>
                  </w:r>
                </w:p>
              </w:tc>
              <w:tc>
                <w:tcPr>
                  <w:tcW w:w="278" w:type="pct"/>
                  <w:tcBorders>
                    <w:tl2br w:val="nil"/>
                    <w:tr2bl w:val="nil"/>
                  </w:tcBorders>
                  <w:vAlign w:val="center"/>
                </w:tcPr>
                <w:p w14:paraId="1F9B30A0">
                  <w:pPr>
                    <w:jc w:val="center"/>
                    <w:rPr>
                      <w:color w:val="auto"/>
                      <w:sz w:val="18"/>
                      <w:szCs w:val="18"/>
                    </w:rPr>
                  </w:pPr>
                  <w:r>
                    <w:rPr>
                      <w:color w:val="auto"/>
                      <w:sz w:val="18"/>
                      <w:szCs w:val="18"/>
                    </w:rPr>
                    <w:t>相符</w:t>
                  </w:r>
                </w:p>
              </w:tc>
            </w:tr>
            <w:tr w14:paraId="136473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81" w:type="pct"/>
                  <w:vMerge w:val="continue"/>
                  <w:tcBorders>
                    <w:tl2br w:val="nil"/>
                    <w:tr2bl w:val="nil"/>
                  </w:tcBorders>
                  <w:vAlign w:val="center"/>
                </w:tcPr>
                <w:p w14:paraId="215E35B7">
                  <w:pPr>
                    <w:jc w:val="center"/>
                    <w:rPr>
                      <w:color w:val="auto"/>
                      <w:sz w:val="18"/>
                      <w:szCs w:val="18"/>
                    </w:rPr>
                  </w:pPr>
                </w:p>
              </w:tc>
              <w:tc>
                <w:tcPr>
                  <w:tcW w:w="2402" w:type="pct"/>
                  <w:tcBorders>
                    <w:tl2br w:val="nil"/>
                    <w:tr2bl w:val="nil"/>
                  </w:tcBorders>
                  <w:vAlign w:val="center"/>
                </w:tcPr>
                <w:p w14:paraId="363F7CAE">
                  <w:pPr>
                    <w:rPr>
                      <w:color w:val="auto"/>
                      <w:sz w:val="18"/>
                      <w:szCs w:val="18"/>
                    </w:rPr>
                  </w:pPr>
                  <w:r>
                    <w:rPr>
                      <w:rFonts w:hint="eastAsia"/>
                      <w:color w:val="auto"/>
                      <w:sz w:val="18"/>
                      <w:szCs w:val="18"/>
                    </w:rPr>
                    <w:t>有废气产生的实验设备和操作工位宜设置在排风柜中，进行实验操作时排风柜应正常开启，操作口平均面风速不宜低于0.4 m/s。排风柜应符合 JB/T 6412的要求，变风量排风柜应符合JG/T 222的要求,可在排风柜出口选配活性炭过滤器。</w:t>
                  </w:r>
                </w:p>
              </w:tc>
              <w:tc>
                <w:tcPr>
                  <w:tcW w:w="1938" w:type="pct"/>
                  <w:tcBorders>
                    <w:tl2br w:val="nil"/>
                    <w:tr2bl w:val="nil"/>
                  </w:tcBorders>
                  <w:vAlign w:val="center"/>
                </w:tcPr>
                <w:p w14:paraId="3C9EF8D3">
                  <w:pPr>
                    <w:rPr>
                      <w:color w:val="auto"/>
                      <w:sz w:val="18"/>
                      <w:szCs w:val="18"/>
                    </w:rPr>
                  </w:pPr>
                  <w:r>
                    <w:rPr>
                      <w:rFonts w:hint="eastAsia"/>
                      <w:color w:val="auto"/>
                      <w:sz w:val="18"/>
                      <w:szCs w:val="18"/>
                    </w:rPr>
                    <w:t>有废气产生的实验设备和操作工位设置在通风橱中，进行实验操作时通风橱正常开启，操作口平均面风速不低于0.4 m/s。通风橱符合 JB/T 6412的要求，废气经收集+水喷淋+除雾器+二级活性炭吸附处置后通过15米高排气筒（DA001）排放。</w:t>
                  </w:r>
                </w:p>
              </w:tc>
              <w:tc>
                <w:tcPr>
                  <w:tcW w:w="278" w:type="pct"/>
                  <w:tcBorders>
                    <w:tl2br w:val="nil"/>
                    <w:tr2bl w:val="nil"/>
                  </w:tcBorders>
                  <w:vAlign w:val="center"/>
                </w:tcPr>
                <w:p w14:paraId="39BC99C8">
                  <w:pPr>
                    <w:jc w:val="center"/>
                    <w:rPr>
                      <w:color w:val="auto"/>
                      <w:sz w:val="18"/>
                      <w:szCs w:val="18"/>
                    </w:rPr>
                  </w:pPr>
                  <w:r>
                    <w:rPr>
                      <w:color w:val="auto"/>
                      <w:sz w:val="18"/>
                      <w:szCs w:val="18"/>
                    </w:rPr>
                    <w:t>相符</w:t>
                  </w:r>
                </w:p>
              </w:tc>
            </w:tr>
            <w:tr w14:paraId="1C2697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81" w:type="pct"/>
                  <w:vMerge w:val="continue"/>
                  <w:tcBorders>
                    <w:tl2br w:val="nil"/>
                    <w:tr2bl w:val="nil"/>
                  </w:tcBorders>
                  <w:vAlign w:val="center"/>
                </w:tcPr>
                <w:p w14:paraId="0FAC5040">
                  <w:pPr>
                    <w:jc w:val="center"/>
                    <w:rPr>
                      <w:color w:val="auto"/>
                      <w:sz w:val="18"/>
                      <w:szCs w:val="18"/>
                    </w:rPr>
                  </w:pPr>
                </w:p>
              </w:tc>
              <w:tc>
                <w:tcPr>
                  <w:tcW w:w="2402" w:type="pct"/>
                  <w:tcBorders>
                    <w:tl2br w:val="nil"/>
                    <w:tr2bl w:val="nil"/>
                  </w:tcBorders>
                  <w:vAlign w:val="center"/>
                </w:tcPr>
                <w:p w14:paraId="608F5734">
                  <w:pPr>
                    <w:rPr>
                      <w:color w:val="auto"/>
                      <w:sz w:val="18"/>
                      <w:szCs w:val="18"/>
                    </w:rPr>
                  </w:pPr>
                  <w:r>
                    <w:rPr>
                      <w:rFonts w:hint="eastAsia"/>
                      <w:color w:val="auto"/>
                      <w:sz w:val="18"/>
                      <w:szCs w:val="18"/>
                    </w:rPr>
                    <w:t>产生和使用易挥发物质的仪器或操作工位,以及其他产生废气的实验室设备，未在排风柜中进行的，应在其上方安装废气收集排风罩，排风罩设置应符合GB/T 16758的规定。距排风罩开口面最远处废气无组织排放位置控制风速不应低于 0.3m/s，控制风速的测量按照 GB/T 16758、WS/T 757执行。</w:t>
                  </w:r>
                </w:p>
              </w:tc>
              <w:tc>
                <w:tcPr>
                  <w:tcW w:w="1938" w:type="pct"/>
                  <w:tcBorders>
                    <w:tl2br w:val="nil"/>
                    <w:tr2bl w:val="nil"/>
                  </w:tcBorders>
                  <w:vAlign w:val="center"/>
                </w:tcPr>
                <w:p w14:paraId="76114951">
                  <w:pPr>
                    <w:rPr>
                      <w:color w:val="auto"/>
                      <w:sz w:val="18"/>
                      <w:szCs w:val="18"/>
                    </w:rPr>
                  </w:pPr>
                  <w:r>
                    <w:rPr>
                      <w:rFonts w:hint="eastAsia"/>
                      <w:color w:val="auto"/>
                      <w:sz w:val="18"/>
                      <w:szCs w:val="18"/>
                    </w:rPr>
                    <w:t>本项目实验室研发及检测需要分别在通风橱或实验台上完成实验，通风橱采用抽风系统收集废气，实验台采用万向集气罩进行收集。排风罩设置符合GB/T 16758的规定。距排风罩开口面最远处废气无组织排放位置控制风速不低于 0.3m/s，控制风速的测量按照 GB/T 16758、WS/T 757执行。</w:t>
                  </w:r>
                </w:p>
              </w:tc>
              <w:tc>
                <w:tcPr>
                  <w:tcW w:w="278" w:type="pct"/>
                  <w:tcBorders>
                    <w:tl2br w:val="nil"/>
                    <w:tr2bl w:val="nil"/>
                  </w:tcBorders>
                  <w:vAlign w:val="center"/>
                </w:tcPr>
                <w:p w14:paraId="1036AA0E">
                  <w:pPr>
                    <w:jc w:val="center"/>
                    <w:rPr>
                      <w:color w:val="auto"/>
                      <w:sz w:val="18"/>
                      <w:szCs w:val="18"/>
                    </w:rPr>
                  </w:pPr>
                  <w:r>
                    <w:rPr>
                      <w:color w:val="auto"/>
                      <w:sz w:val="18"/>
                      <w:szCs w:val="18"/>
                    </w:rPr>
                    <w:t>相符</w:t>
                  </w:r>
                </w:p>
              </w:tc>
            </w:tr>
            <w:tr w14:paraId="452818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81" w:type="pct"/>
                  <w:vMerge w:val="continue"/>
                  <w:tcBorders>
                    <w:tl2br w:val="nil"/>
                    <w:tr2bl w:val="nil"/>
                  </w:tcBorders>
                  <w:vAlign w:val="center"/>
                </w:tcPr>
                <w:p w14:paraId="0F9C6BF4">
                  <w:pPr>
                    <w:jc w:val="center"/>
                    <w:rPr>
                      <w:color w:val="auto"/>
                      <w:sz w:val="18"/>
                      <w:szCs w:val="18"/>
                    </w:rPr>
                  </w:pPr>
                </w:p>
              </w:tc>
              <w:tc>
                <w:tcPr>
                  <w:tcW w:w="2402" w:type="pct"/>
                  <w:tcBorders>
                    <w:tl2br w:val="nil"/>
                    <w:tr2bl w:val="nil"/>
                  </w:tcBorders>
                  <w:vAlign w:val="center"/>
                </w:tcPr>
                <w:p w14:paraId="7EE61660">
                  <w:pPr>
                    <w:rPr>
                      <w:color w:val="auto"/>
                      <w:sz w:val="18"/>
                      <w:szCs w:val="18"/>
                    </w:rPr>
                  </w:pPr>
                  <w:r>
                    <w:rPr>
                      <w:rFonts w:hint="eastAsia"/>
                      <w:color w:val="auto"/>
                      <w:sz w:val="18"/>
                      <w:szCs w:val="18"/>
                    </w:rPr>
                    <w:t>含易挥发物质的试剂库应设置废气收集装置，换气次数不应低于6次/h。</w:t>
                  </w:r>
                </w:p>
              </w:tc>
              <w:tc>
                <w:tcPr>
                  <w:tcW w:w="1938" w:type="pct"/>
                  <w:tcBorders>
                    <w:tl2br w:val="nil"/>
                    <w:tr2bl w:val="nil"/>
                  </w:tcBorders>
                  <w:vAlign w:val="center"/>
                </w:tcPr>
                <w:p w14:paraId="5BF55D8E">
                  <w:pPr>
                    <w:rPr>
                      <w:color w:val="auto"/>
                      <w:sz w:val="18"/>
                      <w:szCs w:val="18"/>
                    </w:rPr>
                  </w:pPr>
                  <w:r>
                    <w:rPr>
                      <w:rFonts w:hint="eastAsia"/>
                      <w:color w:val="auto"/>
                      <w:sz w:val="18"/>
                      <w:szCs w:val="18"/>
                    </w:rPr>
                    <w:t>试剂库设置废气收集装置，换气次数不低于6次/h</w:t>
                  </w:r>
                </w:p>
              </w:tc>
              <w:tc>
                <w:tcPr>
                  <w:tcW w:w="278" w:type="pct"/>
                  <w:tcBorders>
                    <w:tl2br w:val="nil"/>
                    <w:tr2bl w:val="nil"/>
                  </w:tcBorders>
                  <w:vAlign w:val="center"/>
                </w:tcPr>
                <w:p w14:paraId="6F12F403">
                  <w:pPr>
                    <w:jc w:val="center"/>
                    <w:rPr>
                      <w:color w:val="auto"/>
                      <w:sz w:val="18"/>
                      <w:szCs w:val="18"/>
                    </w:rPr>
                  </w:pPr>
                  <w:r>
                    <w:rPr>
                      <w:color w:val="auto"/>
                      <w:sz w:val="18"/>
                      <w:szCs w:val="18"/>
                    </w:rPr>
                    <w:t>相符</w:t>
                  </w:r>
                </w:p>
              </w:tc>
            </w:tr>
            <w:tr w14:paraId="21673F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81" w:type="pct"/>
                  <w:vMerge w:val="restart"/>
                  <w:tcBorders>
                    <w:tl2br w:val="nil"/>
                    <w:tr2bl w:val="nil"/>
                  </w:tcBorders>
                  <w:vAlign w:val="center"/>
                </w:tcPr>
                <w:p w14:paraId="2E49079D">
                  <w:pPr>
                    <w:jc w:val="center"/>
                    <w:rPr>
                      <w:color w:val="auto"/>
                      <w:sz w:val="18"/>
                      <w:szCs w:val="18"/>
                    </w:rPr>
                  </w:pPr>
                  <w:r>
                    <w:rPr>
                      <w:rFonts w:hint="eastAsia"/>
                      <w:color w:val="auto"/>
                      <w:sz w:val="18"/>
                      <w:szCs w:val="18"/>
                    </w:rPr>
                    <w:t>废气净化</w:t>
                  </w:r>
                </w:p>
              </w:tc>
              <w:tc>
                <w:tcPr>
                  <w:tcW w:w="2402" w:type="pct"/>
                  <w:tcBorders>
                    <w:tl2br w:val="nil"/>
                    <w:tr2bl w:val="nil"/>
                  </w:tcBorders>
                  <w:vAlign w:val="center"/>
                </w:tcPr>
                <w:p w14:paraId="42B5D16D">
                  <w:pPr>
                    <w:rPr>
                      <w:color w:val="auto"/>
                      <w:sz w:val="18"/>
                      <w:szCs w:val="18"/>
                    </w:rPr>
                  </w:pPr>
                  <w:r>
                    <w:rPr>
                      <w:rFonts w:hint="eastAsia"/>
                      <w:color w:val="auto"/>
                      <w:sz w:val="18"/>
                      <w:szCs w:val="18"/>
                    </w:rPr>
                    <w:t>实验室单位应根据废气特性选用适用的净化技术,常见的有吸附法、吸收法等。有机废气可采用吸附法进行处理，采用吸附法时，宜采用原位再生等废吸附剂产生量较低的技术；无机废气可采用吸收法或吸附法进行处理；混合废气宜采取组合式净化技术。根据技术发展鼓励采用更加高效的技术手段，并根据实际情况采取适当的预处理措施,符合 HJ 2000的要求。</w:t>
                  </w:r>
                </w:p>
              </w:tc>
              <w:tc>
                <w:tcPr>
                  <w:tcW w:w="1938" w:type="pct"/>
                  <w:tcBorders>
                    <w:tl2br w:val="nil"/>
                    <w:tr2bl w:val="nil"/>
                  </w:tcBorders>
                  <w:vAlign w:val="center"/>
                </w:tcPr>
                <w:p w14:paraId="54300FB3">
                  <w:pPr>
                    <w:rPr>
                      <w:color w:val="auto"/>
                      <w:sz w:val="18"/>
                      <w:szCs w:val="18"/>
                    </w:rPr>
                  </w:pPr>
                  <w:r>
                    <w:rPr>
                      <w:rFonts w:hint="eastAsia"/>
                      <w:color w:val="auto"/>
                      <w:sz w:val="18"/>
                      <w:szCs w:val="18"/>
                    </w:rPr>
                    <w:t>本项目实验室研发及检测废气经收集+水喷淋+除雾器+二级活性炭吸附处置后通过15米高排气筒（DA001）排放</w:t>
                  </w:r>
                </w:p>
              </w:tc>
              <w:tc>
                <w:tcPr>
                  <w:tcW w:w="278" w:type="pct"/>
                  <w:tcBorders>
                    <w:tl2br w:val="nil"/>
                    <w:tr2bl w:val="nil"/>
                  </w:tcBorders>
                  <w:vAlign w:val="center"/>
                </w:tcPr>
                <w:p w14:paraId="52D71C58">
                  <w:pPr>
                    <w:jc w:val="center"/>
                    <w:rPr>
                      <w:color w:val="auto"/>
                      <w:sz w:val="18"/>
                      <w:szCs w:val="18"/>
                    </w:rPr>
                  </w:pPr>
                  <w:r>
                    <w:rPr>
                      <w:color w:val="auto"/>
                      <w:sz w:val="18"/>
                      <w:szCs w:val="18"/>
                    </w:rPr>
                    <w:t>相符</w:t>
                  </w:r>
                </w:p>
              </w:tc>
            </w:tr>
            <w:tr w14:paraId="6A403D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81" w:type="pct"/>
                  <w:vMerge w:val="continue"/>
                  <w:tcBorders>
                    <w:tl2br w:val="nil"/>
                    <w:tr2bl w:val="nil"/>
                  </w:tcBorders>
                  <w:vAlign w:val="center"/>
                </w:tcPr>
                <w:p w14:paraId="10F80752">
                  <w:pPr>
                    <w:jc w:val="center"/>
                    <w:rPr>
                      <w:color w:val="auto"/>
                      <w:sz w:val="18"/>
                      <w:szCs w:val="18"/>
                    </w:rPr>
                  </w:pPr>
                </w:p>
              </w:tc>
              <w:tc>
                <w:tcPr>
                  <w:tcW w:w="2402" w:type="pct"/>
                  <w:tcBorders>
                    <w:tl2br w:val="nil"/>
                    <w:tr2bl w:val="nil"/>
                  </w:tcBorders>
                  <w:vAlign w:val="center"/>
                </w:tcPr>
                <w:p w14:paraId="163D9169">
                  <w:pPr>
                    <w:rPr>
                      <w:color w:val="auto"/>
                      <w:sz w:val="18"/>
                      <w:szCs w:val="18"/>
                    </w:rPr>
                  </w:pPr>
                  <w:r>
                    <w:rPr>
                      <w:rFonts w:hint="eastAsia"/>
                      <w:color w:val="auto"/>
                      <w:sz w:val="18"/>
                      <w:szCs w:val="18"/>
                    </w:rPr>
                    <w:t>净化装置采样口的设置应符合HJ/T 1、HJ/T 397和GB/T 16157的要求。自行监测应符合 H]819的要求，排放同类实验室废气的排气筒宜合并。</w:t>
                  </w:r>
                </w:p>
              </w:tc>
              <w:tc>
                <w:tcPr>
                  <w:tcW w:w="1938" w:type="pct"/>
                  <w:tcBorders>
                    <w:tl2br w:val="nil"/>
                    <w:tr2bl w:val="nil"/>
                  </w:tcBorders>
                  <w:vAlign w:val="center"/>
                </w:tcPr>
                <w:p w14:paraId="53001A99">
                  <w:pPr>
                    <w:rPr>
                      <w:color w:val="auto"/>
                      <w:sz w:val="18"/>
                      <w:szCs w:val="18"/>
                    </w:rPr>
                  </w:pPr>
                  <w:r>
                    <w:rPr>
                      <w:rFonts w:hint="eastAsia"/>
                      <w:color w:val="auto"/>
                      <w:sz w:val="18"/>
                      <w:szCs w:val="18"/>
                    </w:rPr>
                    <w:t>净化装置采样口的设置应符合HJ/T 1、HJ/T 397和GB/T 16157的要求。自行监测符合 H]819的要求。本项目实验室研发及检测废气经收集+水喷淋+除雾器+二级活性炭吸附处置后通过15米高排气筒（DA001）排放</w:t>
                  </w:r>
                </w:p>
              </w:tc>
              <w:tc>
                <w:tcPr>
                  <w:tcW w:w="278" w:type="pct"/>
                  <w:tcBorders>
                    <w:tl2br w:val="nil"/>
                    <w:tr2bl w:val="nil"/>
                  </w:tcBorders>
                  <w:vAlign w:val="center"/>
                </w:tcPr>
                <w:p w14:paraId="460934ED">
                  <w:pPr>
                    <w:jc w:val="center"/>
                    <w:rPr>
                      <w:color w:val="auto"/>
                      <w:sz w:val="18"/>
                      <w:szCs w:val="18"/>
                    </w:rPr>
                  </w:pPr>
                  <w:r>
                    <w:rPr>
                      <w:color w:val="auto"/>
                      <w:sz w:val="18"/>
                      <w:szCs w:val="18"/>
                    </w:rPr>
                    <w:t>相符</w:t>
                  </w:r>
                </w:p>
              </w:tc>
            </w:tr>
            <w:tr w14:paraId="031692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81" w:type="pct"/>
                  <w:vMerge w:val="continue"/>
                  <w:tcBorders>
                    <w:tl2br w:val="nil"/>
                    <w:tr2bl w:val="nil"/>
                  </w:tcBorders>
                  <w:vAlign w:val="center"/>
                </w:tcPr>
                <w:p w14:paraId="3D8A8D3B">
                  <w:pPr>
                    <w:jc w:val="center"/>
                    <w:rPr>
                      <w:color w:val="auto"/>
                      <w:sz w:val="18"/>
                      <w:szCs w:val="18"/>
                    </w:rPr>
                  </w:pPr>
                </w:p>
              </w:tc>
              <w:tc>
                <w:tcPr>
                  <w:tcW w:w="2402" w:type="pct"/>
                  <w:tcBorders>
                    <w:tl2br w:val="nil"/>
                    <w:tr2bl w:val="nil"/>
                  </w:tcBorders>
                  <w:vAlign w:val="center"/>
                </w:tcPr>
                <w:p w14:paraId="0758EE8C">
                  <w:pPr>
                    <w:rPr>
                      <w:color w:val="auto"/>
                      <w:sz w:val="18"/>
                      <w:szCs w:val="18"/>
                    </w:rPr>
                  </w:pPr>
                  <w:r>
                    <w:rPr>
                      <w:rFonts w:hint="eastAsia"/>
                      <w:color w:val="auto"/>
                      <w:sz w:val="18"/>
                      <w:szCs w:val="18"/>
                    </w:rPr>
                    <w:t>吸附法处理有机废气可采用活性炭、活性炭纤维等作为吸附介质,并满足以下要求。</w:t>
                  </w:r>
                </w:p>
                <w:p w14:paraId="79C429BA">
                  <w:pPr>
                    <w:numPr>
                      <w:ilvl w:val="0"/>
                      <w:numId w:val="3"/>
                    </w:numPr>
                    <w:rPr>
                      <w:color w:val="auto"/>
                      <w:sz w:val="18"/>
                      <w:szCs w:val="18"/>
                    </w:rPr>
                  </w:pPr>
                  <w:r>
                    <w:rPr>
                      <w:rFonts w:hint="eastAsia"/>
                      <w:color w:val="auto"/>
                      <w:sz w:val="18"/>
                      <w:szCs w:val="18"/>
                    </w:rPr>
                    <w:t>选用的颗粒活性炭碘值不应低于800 mg/g,四氯化碳吸附率不应低于50%；选用的蜂窝活性炭碘值不应低于650 mg/g，四氯化碳吸附率不应低于35%，其他性能指标应符合GB/T 7701.1的要求。选用的活性炭纤维比表面积不应低于1100 m</w:t>
                  </w:r>
                  <w:r>
                    <w:rPr>
                      <w:rFonts w:hint="eastAsia"/>
                      <w:color w:val="auto"/>
                      <w:sz w:val="18"/>
                      <w:szCs w:val="18"/>
                      <w:vertAlign w:val="superscript"/>
                    </w:rPr>
                    <w:t>2</w:t>
                  </w:r>
                  <w:r>
                    <w:rPr>
                      <w:rFonts w:hint="eastAsia"/>
                      <w:color w:val="auto"/>
                      <w:sz w:val="18"/>
                      <w:szCs w:val="18"/>
                    </w:rPr>
                    <w:t>/g，其他性能指标应符合 HG/T 3922的要求。</w:t>
                  </w:r>
                </w:p>
                <w:p w14:paraId="7581BF9A">
                  <w:pPr>
                    <w:numPr>
                      <w:ilvl w:val="0"/>
                      <w:numId w:val="3"/>
                    </w:numPr>
                    <w:rPr>
                      <w:color w:val="auto"/>
                      <w:sz w:val="18"/>
                      <w:szCs w:val="18"/>
                    </w:rPr>
                  </w:pPr>
                  <w:r>
                    <w:rPr>
                      <w:rFonts w:hint="eastAsia"/>
                      <w:color w:val="auto"/>
                      <w:sz w:val="18"/>
                      <w:szCs w:val="18"/>
                    </w:rPr>
                    <w:t>吸附法处理有机废气的工艺设计应符合 H]2026和 HJ/T 386的相关规定，废气在吸附装置中应有足够的停留时间，应大于0.3 s。</w:t>
                  </w:r>
                </w:p>
                <w:p w14:paraId="0DA05AAE">
                  <w:pPr>
                    <w:rPr>
                      <w:color w:val="auto"/>
                      <w:sz w:val="18"/>
                      <w:szCs w:val="18"/>
                    </w:rPr>
                  </w:pPr>
                  <w:r>
                    <w:rPr>
                      <w:rFonts w:hint="eastAsia"/>
                      <w:color w:val="auto"/>
                      <w:sz w:val="18"/>
                      <w:szCs w:val="18"/>
                    </w:rPr>
                    <w:t>c）应根据废气排放特征，明确吸附剂更换周期，不宜超过6个月，有环境影响评价或者排污许可证等法定文件的，可按其核定的更换周期执行，具有原位再生功能的吸附剂可根据再生后吸附性能情况适当延长更换周期。</w:t>
                  </w:r>
                </w:p>
              </w:tc>
              <w:tc>
                <w:tcPr>
                  <w:tcW w:w="1938" w:type="pct"/>
                  <w:tcBorders>
                    <w:tl2br w:val="nil"/>
                    <w:tr2bl w:val="nil"/>
                  </w:tcBorders>
                  <w:vAlign w:val="center"/>
                </w:tcPr>
                <w:p w14:paraId="5BC36FB2">
                  <w:pPr>
                    <w:rPr>
                      <w:color w:val="auto"/>
                      <w:sz w:val="18"/>
                      <w:szCs w:val="18"/>
                    </w:rPr>
                  </w:pPr>
                  <w:r>
                    <w:rPr>
                      <w:rFonts w:hint="eastAsia"/>
                      <w:color w:val="auto"/>
                      <w:sz w:val="18"/>
                      <w:szCs w:val="18"/>
                    </w:rPr>
                    <w:t xml:space="preserve">项目活性炭箱装有蜂窝活性炭 </w:t>
                  </w:r>
                </w:p>
                <w:p w14:paraId="73A0D920">
                  <w:pPr>
                    <w:rPr>
                      <w:color w:val="auto"/>
                      <w:sz w:val="18"/>
                      <w:szCs w:val="18"/>
                    </w:rPr>
                  </w:pPr>
                  <w:r>
                    <w:rPr>
                      <w:rFonts w:hint="eastAsia"/>
                      <w:color w:val="auto"/>
                      <w:sz w:val="18"/>
                      <w:szCs w:val="18"/>
                    </w:rPr>
                    <w:t>碘值大于650</w:t>
                  </w:r>
                  <w:r>
                    <w:rPr>
                      <w:color w:val="auto"/>
                      <w:sz w:val="18"/>
                      <w:szCs w:val="18"/>
                    </w:rPr>
                    <w:t xml:space="preserve"> mg/g</w:t>
                  </w:r>
                  <w:r>
                    <w:rPr>
                      <w:rFonts w:hint="eastAsia"/>
                      <w:color w:val="auto"/>
                      <w:sz w:val="18"/>
                      <w:szCs w:val="18"/>
                    </w:rPr>
                    <w:t>。停留时间大于0.3s。更换周期为3个月。</w:t>
                  </w:r>
                </w:p>
                <w:p w14:paraId="7CB69C2E">
                  <w:pPr>
                    <w:rPr>
                      <w:color w:val="auto"/>
                      <w:sz w:val="18"/>
                      <w:szCs w:val="18"/>
                    </w:rPr>
                  </w:pPr>
                </w:p>
              </w:tc>
              <w:tc>
                <w:tcPr>
                  <w:tcW w:w="278" w:type="pct"/>
                  <w:tcBorders>
                    <w:tl2br w:val="nil"/>
                    <w:tr2bl w:val="nil"/>
                  </w:tcBorders>
                  <w:vAlign w:val="center"/>
                </w:tcPr>
                <w:p w14:paraId="04927EC9">
                  <w:pPr>
                    <w:jc w:val="center"/>
                    <w:rPr>
                      <w:color w:val="auto"/>
                      <w:sz w:val="18"/>
                      <w:szCs w:val="18"/>
                    </w:rPr>
                  </w:pPr>
                  <w:r>
                    <w:rPr>
                      <w:color w:val="auto"/>
                      <w:sz w:val="18"/>
                      <w:szCs w:val="18"/>
                    </w:rPr>
                    <w:t>相符</w:t>
                  </w:r>
                </w:p>
              </w:tc>
            </w:tr>
            <w:tr w14:paraId="22ACE9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81" w:type="pct"/>
                  <w:vMerge w:val="restart"/>
                  <w:tcBorders>
                    <w:tl2br w:val="nil"/>
                    <w:tr2bl w:val="nil"/>
                  </w:tcBorders>
                  <w:vAlign w:val="center"/>
                </w:tcPr>
                <w:p w14:paraId="13EDDCEF">
                  <w:pPr>
                    <w:jc w:val="center"/>
                    <w:rPr>
                      <w:color w:val="auto"/>
                      <w:sz w:val="18"/>
                      <w:szCs w:val="18"/>
                    </w:rPr>
                  </w:pPr>
                  <w:r>
                    <w:rPr>
                      <w:rFonts w:hint="eastAsia"/>
                      <w:color w:val="auto"/>
                      <w:sz w:val="18"/>
                      <w:szCs w:val="18"/>
                    </w:rPr>
                    <w:t>运行管理</w:t>
                  </w:r>
                </w:p>
              </w:tc>
              <w:tc>
                <w:tcPr>
                  <w:tcW w:w="2402" w:type="pct"/>
                  <w:tcBorders>
                    <w:tl2br w:val="nil"/>
                    <w:tr2bl w:val="nil"/>
                  </w:tcBorders>
                  <w:vAlign w:val="center"/>
                </w:tcPr>
                <w:p w14:paraId="274178FF">
                  <w:pPr>
                    <w:rPr>
                      <w:color w:val="auto"/>
                      <w:sz w:val="18"/>
                      <w:szCs w:val="18"/>
                    </w:rPr>
                  </w:pPr>
                  <w:r>
                    <w:rPr>
                      <w:rFonts w:hint="eastAsia"/>
                      <w:color w:val="auto"/>
                      <w:sz w:val="18"/>
                      <w:szCs w:val="18"/>
                    </w:rPr>
                    <w:t>实验室单位应加强对易挥发物质的采购、储存和使用管理。建立易挥发物质</w:t>
                  </w:r>
                  <w:r>
                    <w:rPr>
                      <w:color w:val="auto"/>
                      <w:sz w:val="18"/>
                      <w:szCs w:val="18"/>
                    </w:rPr>
                    <w:t>(</w:t>
                  </w:r>
                  <w:r>
                    <w:rPr>
                      <w:rFonts w:hint="eastAsia"/>
                      <w:color w:val="auto"/>
                      <w:sz w:val="18"/>
                      <w:szCs w:val="18"/>
                    </w:rPr>
                    <w:t xml:space="preserve">常见种类见附录 </w:t>
                  </w:r>
                  <w:r>
                    <w:rPr>
                      <w:color w:val="auto"/>
                      <w:sz w:val="18"/>
                      <w:szCs w:val="18"/>
                    </w:rPr>
                    <w:t>A)</w:t>
                  </w:r>
                  <w:r>
                    <w:rPr>
                      <w:rFonts w:hint="eastAsia"/>
                      <w:color w:val="auto"/>
                      <w:sz w:val="18"/>
                      <w:szCs w:val="18"/>
                    </w:rPr>
                    <w:t>购置和使用登记制度，记录所购买及使用的易挥发物质种类、采购量、使用量、回收量、废弃量及记录人等信息</w:t>
                  </w:r>
                  <w:r>
                    <w:rPr>
                      <w:color w:val="auto"/>
                      <w:sz w:val="18"/>
                      <w:szCs w:val="18"/>
                    </w:rPr>
                    <w:t>,</w:t>
                  </w:r>
                  <w:r>
                    <w:rPr>
                      <w:rFonts w:hint="eastAsia"/>
                      <w:color w:val="auto"/>
                      <w:sz w:val="18"/>
                      <w:szCs w:val="18"/>
                    </w:rPr>
                    <w:t>易挥发物质采购、使用记录表详见附录</w:t>
                  </w:r>
                  <w:r>
                    <w:rPr>
                      <w:color w:val="auto"/>
                      <w:sz w:val="18"/>
                      <w:szCs w:val="18"/>
                    </w:rPr>
                    <w:t>B</w:t>
                  </w:r>
                  <w:r>
                    <w:rPr>
                      <w:rFonts w:hint="eastAsia"/>
                      <w:color w:val="auto"/>
                      <w:sz w:val="18"/>
                      <w:szCs w:val="18"/>
                    </w:rPr>
                    <w:t>，相关台账记录保存期限不应少于</w:t>
                  </w:r>
                  <w:r>
                    <w:rPr>
                      <w:color w:val="auto"/>
                      <w:sz w:val="18"/>
                      <w:szCs w:val="18"/>
                    </w:rPr>
                    <w:t>5</w:t>
                  </w:r>
                  <w:r>
                    <w:rPr>
                      <w:rFonts w:hint="eastAsia"/>
                      <w:color w:val="auto"/>
                      <w:sz w:val="18"/>
                      <w:szCs w:val="18"/>
                    </w:rPr>
                    <w:t>年。</w:t>
                  </w:r>
                </w:p>
              </w:tc>
              <w:tc>
                <w:tcPr>
                  <w:tcW w:w="1938" w:type="pct"/>
                  <w:tcBorders>
                    <w:tl2br w:val="nil"/>
                    <w:tr2bl w:val="nil"/>
                  </w:tcBorders>
                  <w:vAlign w:val="center"/>
                </w:tcPr>
                <w:p w14:paraId="15CB93A6">
                  <w:pPr>
                    <w:rPr>
                      <w:color w:val="auto"/>
                      <w:sz w:val="18"/>
                      <w:szCs w:val="18"/>
                    </w:rPr>
                  </w:pPr>
                  <w:r>
                    <w:rPr>
                      <w:rFonts w:hint="eastAsia"/>
                      <w:color w:val="auto"/>
                      <w:sz w:val="18"/>
                      <w:szCs w:val="18"/>
                    </w:rPr>
                    <w:t>实验室单位加强对易挥发物质的采购、储存和使用管理。建立易挥发物质购置和使用登记制度，记录所购买及使用的易挥发物质种类、采购量、使用量、回收量、废弃量及记录人等信息</w:t>
                  </w:r>
                  <w:r>
                    <w:rPr>
                      <w:color w:val="auto"/>
                      <w:sz w:val="18"/>
                      <w:szCs w:val="18"/>
                    </w:rPr>
                    <w:t>,</w:t>
                  </w:r>
                  <w:r>
                    <w:rPr>
                      <w:rFonts w:hint="eastAsia"/>
                      <w:color w:val="auto"/>
                      <w:sz w:val="18"/>
                      <w:szCs w:val="18"/>
                    </w:rPr>
                    <w:t>易挥发物质采购、使用记录表，相关台账记录保存期限不少于</w:t>
                  </w:r>
                  <w:r>
                    <w:rPr>
                      <w:color w:val="auto"/>
                      <w:sz w:val="18"/>
                      <w:szCs w:val="18"/>
                    </w:rPr>
                    <w:t>5</w:t>
                  </w:r>
                  <w:r>
                    <w:rPr>
                      <w:rFonts w:hint="eastAsia"/>
                      <w:color w:val="auto"/>
                      <w:sz w:val="18"/>
                      <w:szCs w:val="18"/>
                    </w:rPr>
                    <w:t>年。</w:t>
                  </w:r>
                </w:p>
              </w:tc>
              <w:tc>
                <w:tcPr>
                  <w:tcW w:w="278" w:type="pct"/>
                  <w:tcBorders>
                    <w:tl2br w:val="nil"/>
                    <w:tr2bl w:val="nil"/>
                  </w:tcBorders>
                  <w:vAlign w:val="center"/>
                </w:tcPr>
                <w:p w14:paraId="3DEC05F2">
                  <w:pPr>
                    <w:jc w:val="center"/>
                    <w:rPr>
                      <w:color w:val="auto"/>
                      <w:sz w:val="18"/>
                      <w:szCs w:val="18"/>
                    </w:rPr>
                  </w:pPr>
                  <w:r>
                    <w:rPr>
                      <w:color w:val="auto"/>
                      <w:sz w:val="18"/>
                      <w:szCs w:val="18"/>
                    </w:rPr>
                    <w:t>相符</w:t>
                  </w:r>
                </w:p>
              </w:tc>
            </w:tr>
            <w:tr w14:paraId="409CDC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81" w:type="pct"/>
                  <w:vMerge w:val="continue"/>
                  <w:tcBorders>
                    <w:tl2br w:val="nil"/>
                    <w:tr2bl w:val="nil"/>
                  </w:tcBorders>
                  <w:vAlign w:val="center"/>
                </w:tcPr>
                <w:p w14:paraId="5E75BD9D">
                  <w:pPr>
                    <w:jc w:val="center"/>
                    <w:rPr>
                      <w:color w:val="auto"/>
                      <w:sz w:val="18"/>
                      <w:szCs w:val="18"/>
                    </w:rPr>
                  </w:pPr>
                </w:p>
              </w:tc>
              <w:tc>
                <w:tcPr>
                  <w:tcW w:w="2402" w:type="pct"/>
                  <w:tcBorders>
                    <w:tl2br w:val="nil"/>
                    <w:tr2bl w:val="nil"/>
                  </w:tcBorders>
                  <w:vAlign w:val="center"/>
                </w:tcPr>
                <w:p w14:paraId="65F80FB7">
                  <w:pPr>
                    <w:rPr>
                      <w:color w:val="auto"/>
                      <w:sz w:val="18"/>
                      <w:szCs w:val="18"/>
                    </w:rPr>
                  </w:pPr>
                  <w:r>
                    <w:rPr>
                      <w:rFonts w:hint="eastAsia"/>
                      <w:color w:val="auto"/>
                      <w:sz w:val="18"/>
                      <w:szCs w:val="18"/>
                    </w:rPr>
                    <w:t>易挥发物质应使用密闭容器盛装或储存于试剂柜</w:t>
                  </w:r>
                  <w:r>
                    <w:rPr>
                      <w:color w:val="auto"/>
                      <w:sz w:val="18"/>
                      <w:szCs w:val="18"/>
                    </w:rPr>
                    <w:t>(</w:t>
                  </w:r>
                  <w:r>
                    <w:rPr>
                      <w:rFonts w:hint="eastAsia"/>
                      <w:color w:val="auto"/>
                      <w:sz w:val="18"/>
                      <w:szCs w:val="18"/>
                    </w:rPr>
                    <w:t>库</w:t>
                  </w:r>
                  <w:r>
                    <w:rPr>
                      <w:color w:val="auto"/>
                      <w:sz w:val="18"/>
                      <w:szCs w:val="18"/>
                    </w:rPr>
                    <w:t>)</w:t>
                  </w:r>
                  <w:r>
                    <w:rPr>
                      <w:rFonts w:hint="eastAsia"/>
                      <w:color w:val="auto"/>
                      <w:sz w:val="18"/>
                      <w:szCs w:val="18"/>
                    </w:rPr>
                    <w:t>中</w:t>
                  </w:r>
                  <w:r>
                    <w:rPr>
                      <w:color w:val="auto"/>
                      <w:sz w:val="18"/>
                      <w:szCs w:val="18"/>
                    </w:rPr>
                    <w:t>,</w:t>
                  </w:r>
                  <w:r>
                    <w:rPr>
                      <w:rFonts w:hint="eastAsia"/>
                      <w:color w:val="auto"/>
                      <w:sz w:val="18"/>
                      <w:szCs w:val="18"/>
                    </w:rPr>
                    <w:t>并采取措施控制污染物挥发。</w:t>
                  </w:r>
                </w:p>
              </w:tc>
              <w:tc>
                <w:tcPr>
                  <w:tcW w:w="1938" w:type="pct"/>
                  <w:tcBorders>
                    <w:tl2br w:val="nil"/>
                    <w:tr2bl w:val="nil"/>
                  </w:tcBorders>
                  <w:vAlign w:val="center"/>
                </w:tcPr>
                <w:p w14:paraId="787FDDF5">
                  <w:pPr>
                    <w:rPr>
                      <w:color w:val="auto"/>
                      <w:sz w:val="18"/>
                      <w:szCs w:val="18"/>
                    </w:rPr>
                  </w:pPr>
                  <w:r>
                    <w:rPr>
                      <w:rFonts w:hint="eastAsia"/>
                      <w:color w:val="auto"/>
                      <w:sz w:val="18"/>
                      <w:szCs w:val="18"/>
                    </w:rPr>
                    <w:t>易挥发物质使用密闭容器盛装，储存于试剂室试剂柜中，并将废气收集后废气处理设施处理。</w:t>
                  </w:r>
                </w:p>
              </w:tc>
              <w:tc>
                <w:tcPr>
                  <w:tcW w:w="278" w:type="pct"/>
                  <w:tcBorders>
                    <w:tl2br w:val="nil"/>
                    <w:tr2bl w:val="nil"/>
                  </w:tcBorders>
                  <w:vAlign w:val="center"/>
                </w:tcPr>
                <w:p w14:paraId="5C72F138">
                  <w:pPr>
                    <w:jc w:val="center"/>
                    <w:rPr>
                      <w:color w:val="auto"/>
                      <w:sz w:val="18"/>
                      <w:szCs w:val="18"/>
                    </w:rPr>
                  </w:pPr>
                  <w:r>
                    <w:rPr>
                      <w:color w:val="auto"/>
                      <w:sz w:val="18"/>
                      <w:szCs w:val="18"/>
                    </w:rPr>
                    <w:t>相符</w:t>
                  </w:r>
                </w:p>
              </w:tc>
            </w:tr>
            <w:tr w14:paraId="1AF241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81" w:type="pct"/>
                  <w:vMerge w:val="continue"/>
                  <w:tcBorders>
                    <w:tl2br w:val="nil"/>
                    <w:tr2bl w:val="nil"/>
                  </w:tcBorders>
                  <w:vAlign w:val="center"/>
                </w:tcPr>
                <w:p w14:paraId="5CD1FD39">
                  <w:pPr>
                    <w:jc w:val="center"/>
                    <w:rPr>
                      <w:color w:val="auto"/>
                      <w:sz w:val="18"/>
                      <w:szCs w:val="18"/>
                    </w:rPr>
                  </w:pPr>
                </w:p>
              </w:tc>
              <w:tc>
                <w:tcPr>
                  <w:tcW w:w="2402" w:type="pct"/>
                  <w:tcBorders>
                    <w:tl2br w:val="nil"/>
                    <w:tr2bl w:val="nil"/>
                  </w:tcBorders>
                  <w:vAlign w:val="center"/>
                </w:tcPr>
                <w:p w14:paraId="7EEC65F8">
                  <w:pPr>
                    <w:rPr>
                      <w:color w:val="auto"/>
                      <w:sz w:val="18"/>
                      <w:szCs w:val="18"/>
                    </w:rPr>
                  </w:pPr>
                  <w:r>
                    <w:rPr>
                      <w:rFonts w:hint="eastAsia"/>
                      <w:color w:val="auto"/>
                      <w:sz w:val="18"/>
                      <w:szCs w:val="18"/>
                    </w:rPr>
                    <w:t>实验室单位应编制易挥发物质实验操作规范</w:t>
                  </w:r>
                  <w:r>
                    <w:rPr>
                      <w:color w:val="auto"/>
                      <w:sz w:val="18"/>
                      <w:szCs w:val="18"/>
                    </w:rPr>
                    <w:t>,</w:t>
                  </w:r>
                  <w:r>
                    <w:rPr>
                      <w:rFonts w:hint="eastAsia"/>
                      <w:color w:val="auto"/>
                      <w:sz w:val="18"/>
                      <w:szCs w:val="18"/>
                    </w:rPr>
                    <w:t>涉及易挥发物质使用且具有非密闭环节的实验操作应在具有废气收集的装置中进行。</w:t>
                  </w:r>
                </w:p>
              </w:tc>
              <w:tc>
                <w:tcPr>
                  <w:tcW w:w="1938" w:type="pct"/>
                  <w:tcBorders>
                    <w:tl2br w:val="nil"/>
                    <w:tr2bl w:val="nil"/>
                  </w:tcBorders>
                  <w:vAlign w:val="center"/>
                </w:tcPr>
                <w:p w14:paraId="4E10DB5F">
                  <w:pPr>
                    <w:rPr>
                      <w:color w:val="auto"/>
                      <w:sz w:val="18"/>
                      <w:szCs w:val="18"/>
                    </w:rPr>
                  </w:pPr>
                  <w:r>
                    <w:rPr>
                      <w:rFonts w:hint="eastAsia"/>
                      <w:color w:val="auto"/>
                      <w:sz w:val="18"/>
                      <w:szCs w:val="18"/>
                    </w:rPr>
                    <w:t>实验室编制易挥发物质实验操作规范，涉及易挥发物质实验操作在通风橱或实验台上完成，通风橱采用抽风系统收集废气，实验台采用万向集气罩进行收集。</w:t>
                  </w:r>
                </w:p>
              </w:tc>
              <w:tc>
                <w:tcPr>
                  <w:tcW w:w="278" w:type="pct"/>
                  <w:tcBorders>
                    <w:tl2br w:val="nil"/>
                    <w:tr2bl w:val="nil"/>
                  </w:tcBorders>
                  <w:vAlign w:val="center"/>
                </w:tcPr>
                <w:p w14:paraId="77BCA426">
                  <w:pPr>
                    <w:jc w:val="center"/>
                    <w:rPr>
                      <w:color w:val="auto"/>
                      <w:sz w:val="18"/>
                      <w:szCs w:val="18"/>
                    </w:rPr>
                  </w:pPr>
                  <w:r>
                    <w:rPr>
                      <w:color w:val="auto"/>
                      <w:sz w:val="18"/>
                      <w:szCs w:val="18"/>
                    </w:rPr>
                    <w:t>相符</w:t>
                  </w:r>
                </w:p>
              </w:tc>
            </w:tr>
            <w:tr w14:paraId="1F4FFA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81" w:type="pct"/>
                  <w:vMerge w:val="continue"/>
                  <w:tcBorders>
                    <w:tl2br w:val="nil"/>
                    <w:tr2bl w:val="nil"/>
                  </w:tcBorders>
                  <w:vAlign w:val="center"/>
                </w:tcPr>
                <w:p w14:paraId="5AC53470">
                  <w:pPr>
                    <w:jc w:val="center"/>
                    <w:rPr>
                      <w:color w:val="auto"/>
                      <w:sz w:val="18"/>
                      <w:szCs w:val="18"/>
                    </w:rPr>
                  </w:pPr>
                </w:p>
              </w:tc>
              <w:tc>
                <w:tcPr>
                  <w:tcW w:w="2402" w:type="pct"/>
                  <w:tcBorders>
                    <w:tl2br w:val="nil"/>
                    <w:tr2bl w:val="nil"/>
                  </w:tcBorders>
                  <w:vAlign w:val="center"/>
                </w:tcPr>
                <w:p w14:paraId="5A7982DB">
                  <w:pPr>
                    <w:rPr>
                      <w:color w:val="auto"/>
                      <w:sz w:val="18"/>
                      <w:szCs w:val="18"/>
                    </w:rPr>
                  </w:pPr>
                  <w:r>
                    <w:rPr>
                      <w:rFonts w:hint="eastAsia"/>
                      <w:color w:val="auto"/>
                      <w:sz w:val="18"/>
                      <w:szCs w:val="18"/>
                    </w:rPr>
                    <w:t>储存易挥发实验废物的包装容器应加盖、封口，保持密闭；储存易挥发实验废物的仓库应设置废气收集处理设施。</w:t>
                  </w:r>
                </w:p>
              </w:tc>
              <w:tc>
                <w:tcPr>
                  <w:tcW w:w="1938" w:type="pct"/>
                  <w:tcBorders>
                    <w:tl2br w:val="nil"/>
                    <w:tr2bl w:val="nil"/>
                  </w:tcBorders>
                  <w:vAlign w:val="center"/>
                </w:tcPr>
                <w:p w14:paraId="029DE10E">
                  <w:pPr>
                    <w:rPr>
                      <w:color w:val="auto"/>
                      <w:sz w:val="18"/>
                      <w:szCs w:val="18"/>
                    </w:rPr>
                  </w:pPr>
                  <w:r>
                    <w:rPr>
                      <w:rFonts w:hint="eastAsia"/>
                      <w:color w:val="auto"/>
                      <w:sz w:val="18"/>
                      <w:szCs w:val="18"/>
                    </w:rPr>
                    <w:t>储存易挥发实验废物的包装容器加盖、封口，保持密闭；储存易挥发实验废物的仓库设置了废气收集处理设施。</w:t>
                  </w:r>
                </w:p>
              </w:tc>
              <w:tc>
                <w:tcPr>
                  <w:tcW w:w="278" w:type="pct"/>
                  <w:tcBorders>
                    <w:tl2br w:val="nil"/>
                    <w:tr2bl w:val="nil"/>
                  </w:tcBorders>
                  <w:vAlign w:val="center"/>
                </w:tcPr>
                <w:p w14:paraId="7DCF9339">
                  <w:pPr>
                    <w:jc w:val="center"/>
                    <w:rPr>
                      <w:color w:val="auto"/>
                      <w:sz w:val="18"/>
                      <w:szCs w:val="18"/>
                    </w:rPr>
                  </w:pPr>
                  <w:r>
                    <w:rPr>
                      <w:color w:val="auto"/>
                      <w:sz w:val="18"/>
                      <w:szCs w:val="18"/>
                    </w:rPr>
                    <w:t>相符</w:t>
                  </w:r>
                </w:p>
              </w:tc>
            </w:tr>
            <w:tr w14:paraId="450391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81" w:type="pct"/>
                  <w:vMerge w:val="continue"/>
                  <w:tcBorders>
                    <w:tl2br w:val="nil"/>
                    <w:tr2bl w:val="nil"/>
                  </w:tcBorders>
                  <w:vAlign w:val="center"/>
                </w:tcPr>
                <w:p w14:paraId="5A4251D5">
                  <w:pPr>
                    <w:jc w:val="center"/>
                    <w:rPr>
                      <w:color w:val="auto"/>
                      <w:sz w:val="18"/>
                      <w:szCs w:val="18"/>
                    </w:rPr>
                  </w:pPr>
                </w:p>
              </w:tc>
              <w:tc>
                <w:tcPr>
                  <w:tcW w:w="2402" w:type="pct"/>
                  <w:tcBorders>
                    <w:tl2br w:val="nil"/>
                    <w:tr2bl w:val="nil"/>
                  </w:tcBorders>
                  <w:vAlign w:val="center"/>
                </w:tcPr>
                <w:p w14:paraId="3D4A4DDE">
                  <w:pPr>
                    <w:rPr>
                      <w:color w:val="auto"/>
                      <w:sz w:val="18"/>
                      <w:szCs w:val="18"/>
                    </w:rPr>
                  </w:pPr>
                  <w:r>
                    <w:rPr>
                      <w:rFonts w:hint="eastAsia"/>
                      <w:color w:val="auto"/>
                      <w:sz w:val="18"/>
                      <w:szCs w:val="18"/>
                    </w:rPr>
                    <w:t>废气收集和净化装置应在产生废气的实验前开启，实验结束后应保证实验废气处理完全再停机，并实现收集和净化装置与实验设施运行的联动控制。收集和净化装置运行过程中发生故障，应及时停用检修。</w:t>
                  </w:r>
                </w:p>
              </w:tc>
              <w:tc>
                <w:tcPr>
                  <w:tcW w:w="1938" w:type="pct"/>
                  <w:tcBorders>
                    <w:tl2br w:val="nil"/>
                    <w:tr2bl w:val="nil"/>
                  </w:tcBorders>
                  <w:vAlign w:val="center"/>
                </w:tcPr>
                <w:p w14:paraId="669A104B">
                  <w:pPr>
                    <w:rPr>
                      <w:color w:val="auto"/>
                      <w:sz w:val="18"/>
                      <w:szCs w:val="18"/>
                    </w:rPr>
                  </w:pPr>
                  <w:r>
                    <w:rPr>
                      <w:rFonts w:hint="eastAsia"/>
                      <w:color w:val="auto"/>
                      <w:sz w:val="18"/>
                      <w:szCs w:val="18"/>
                    </w:rPr>
                    <w:t>废气收集和净化装置在产生废气的实验前开启，实验结束后保证实验废气处理完全再停机，并实现收集和净化装置与实验设施运行的联动控制。收集和净化装置运行过程中发生故障及时停用检修。</w:t>
                  </w:r>
                </w:p>
              </w:tc>
              <w:tc>
                <w:tcPr>
                  <w:tcW w:w="278" w:type="pct"/>
                  <w:tcBorders>
                    <w:tl2br w:val="nil"/>
                    <w:tr2bl w:val="nil"/>
                  </w:tcBorders>
                  <w:vAlign w:val="center"/>
                </w:tcPr>
                <w:p w14:paraId="3F6FF47F">
                  <w:pPr>
                    <w:jc w:val="center"/>
                    <w:rPr>
                      <w:color w:val="auto"/>
                      <w:sz w:val="18"/>
                      <w:szCs w:val="18"/>
                    </w:rPr>
                  </w:pPr>
                  <w:r>
                    <w:rPr>
                      <w:color w:val="auto"/>
                      <w:sz w:val="18"/>
                      <w:szCs w:val="18"/>
                    </w:rPr>
                    <w:t>相符</w:t>
                  </w:r>
                </w:p>
              </w:tc>
            </w:tr>
            <w:tr w14:paraId="6F72D5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81" w:type="pct"/>
                  <w:vMerge w:val="continue"/>
                  <w:tcBorders>
                    <w:tl2br w:val="nil"/>
                    <w:tr2bl w:val="nil"/>
                  </w:tcBorders>
                  <w:vAlign w:val="center"/>
                </w:tcPr>
                <w:p w14:paraId="34F24594">
                  <w:pPr>
                    <w:jc w:val="center"/>
                    <w:rPr>
                      <w:color w:val="auto"/>
                      <w:sz w:val="18"/>
                      <w:szCs w:val="18"/>
                    </w:rPr>
                  </w:pPr>
                </w:p>
              </w:tc>
              <w:tc>
                <w:tcPr>
                  <w:tcW w:w="2402" w:type="pct"/>
                  <w:tcBorders>
                    <w:tl2br w:val="nil"/>
                    <w:tr2bl w:val="nil"/>
                  </w:tcBorders>
                  <w:vAlign w:val="center"/>
                </w:tcPr>
                <w:p w14:paraId="4D640353">
                  <w:pPr>
                    <w:widowControl/>
                    <w:jc w:val="left"/>
                    <w:rPr>
                      <w:color w:val="auto"/>
                      <w:sz w:val="18"/>
                      <w:szCs w:val="18"/>
                    </w:rPr>
                  </w:pPr>
                  <w:r>
                    <w:rPr>
                      <w:rFonts w:hint="eastAsia" w:ascii="宋体" w:hAnsi="宋体" w:cs="宋体"/>
                      <w:color w:val="auto"/>
                      <w:kern w:val="0"/>
                      <w:sz w:val="18"/>
                      <w:szCs w:val="18"/>
                      <w:lang w:bidi="ar"/>
                    </w:rPr>
                    <w:t>实验室单位应采用受影响人员易于获悉的方式及时公示吸附剂更换信息</w:t>
                  </w:r>
                  <w:r>
                    <w:rPr>
                      <w:rFonts w:hint="eastAsia"/>
                      <w:color w:val="auto"/>
                      <w:kern w:val="0"/>
                      <w:sz w:val="18"/>
                      <w:szCs w:val="18"/>
                      <w:lang w:bidi="ar"/>
                    </w:rPr>
                    <w:t>，</w:t>
                  </w:r>
                  <w:r>
                    <w:rPr>
                      <w:rFonts w:hint="eastAsia" w:ascii="宋体" w:hAnsi="宋体" w:cs="宋体"/>
                      <w:color w:val="auto"/>
                      <w:kern w:val="0"/>
                      <w:sz w:val="18"/>
                      <w:szCs w:val="18"/>
                      <w:lang w:bidi="ar"/>
                    </w:rPr>
                    <w:t>包括更换日期、更换量、生产厂家、关键品质参数及相关人员等信息。</w:t>
                  </w:r>
                </w:p>
              </w:tc>
              <w:tc>
                <w:tcPr>
                  <w:tcW w:w="1938" w:type="pct"/>
                  <w:tcBorders>
                    <w:tl2br w:val="nil"/>
                    <w:tr2bl w:val="nil"/>
                  </w:tcBorders>
                  <w:vAlign w:val="center"/>
                </w:tcPr>
                <w:p w14:paraId="10E068B6">
                  <w:pPr>
                    <w:rPr>
                      <w:color w:val="auto"/>
                      <w:sz w:val="18"/>
                      <w:szCs w:val="18"/>
                    </w:rPr>
                  </w:pPr>
                  <w:r>
                    <w:rPr>
                      <w:rFonts w:hint="eastAsia" w:ascii="宋体" w:hAnsi="宋体" w:cs="宋体"/>
                      <w:color w:val="auto"/>
                      <w:kern w:val="0"/>
                      <w:sz w:val="18"/>
                      <w:szCs w:val="18"/>
                      <w:lang w:bidi="ar"/>
                    </w:rPr>
                    <w:t>实验室单应采用受影响人员易于获悉的方式及时公示吸附剂更换信息</w:t>
                  </w:r>
                  <w:r>
                    <w:rPr>
                      <w:rFonts w:hint="eastAsia"/>
                      <w:color w:val="auto"/>
                      <w:kern w:val="0"/>
                      <w:sz w:val="18"/>
                      <w:szCs w:val="18"/>
                      <w:lang w:bidi="ar"/>
                    </w:rPr>
                    <w:t>，</w:t>
                  </w:r>
                  <w:r>
                    <w:rPr>
                      <w:rFonts w:hint="eastAsia" w:ascii="宋体" w:hAnsi="宋体" w:cs="宋体"/>
                      <w:color w:val="auto"/>
                      <w:kern w:val="0"/>
                      <w:sz w:val="18"/>
                      <w:szCs w:val="18"/>
                      <w:lang w:bidi="ar"/>
                    </w:rPr>
                    <w:t>包括更换日期、更换量、生产厂家、关键品质参数及相关人员等信息。</w:t>
                  </w:r>
                </w:p>
              </w:tc>
              <w:tc>
                <w:tcPr>
                  <w:tcW w:w="278" w:type="pct"/>
                  <w:tcBorders>
                    <w:tl2br w:val="nil"/>
                    <w:tr2bl w:val="nil"/>
                  </w:tcBorders>
                  <w:vAlign w:val="center"/>
                </w:tcPr>
                <w:p w14:paraId="0C1DD4A1">
                  <w:pPr>
                    <w:jc w:val="center"/>
                    <w:rPr>
                      <w:color w:val="auto"/>
                      <w:sz w:val="18"/>
                      <w:szCs w:val="18"/>
                    </w:rPr>
                  </w:pPr>
                  <w:r>
                    <w:rPr>
                      <w:color w:val="auto"/>
                      <w:sz w:val="18"/>
                      <w:szCs w:val="18"/>
                    </w:rPr>
                    <w:t>相符</w:t>
                  </w:r>
                </w:p>
              </w:tc>
            </w:tr>
            <w:tr w14:paraId="5DE167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81" w:type="pct"/>
                  <w:vMerge w:val="continue"/>
                  <w:tcBorders>
                    <w:tl2br w:val="nil"/>
                    <w:tr2bl w:val="nil"/>
                  </w:tcBorders>
                  <w:vAlign w:val="center"/>
                </w:tcPr>
                <w:p w14:paraId="2363D573">
                  <w:pPr>
                    <w:jc w:val="center"/>
                    <w:rPr>
                      <w:color w:val="auto"/>
                      <w:sz w:val="18"/>
                      <w:szCs w:val="18"/>
                    </w:rPr>
                  </w:pPr>
                </w:p>
              </w:tc>
              <w:tc>
                <w:tcPr>
                  <w:tcW w:w="2402" w:type="pct"/>
                  <w:tcBorders>
                    <w:tl2br w:val="nil"/>
                    <w:tr2bl w:val="nil"/>
                  </w:tcBorders>
                  <w:vAlign w:val="center"/>
                </w:tcPr>
                <w:p w14:paraId="48005725">
                  <w:pPr>
                    <w:rPr>
                      <w:color w:val="auto"/>
                      <w:sz w:val="18"/>
                      <w:szCs w:val="18"/>
                    </w:rPr>
                  </w:pPr>
                  <w:r>
                    <w:rPr>
                      <w:rFonts w:hint="eastAsia"/>
                      <w:color w:val="auto"/>
                      <w:sz w:val="18"/>
                      <w:szCs w:val="18"/>
                    </w:rPr>
                    <w:t>废气净化装置产生的废吸收液和吸附剂再生时产生的废气应进行规范收集处理。</w:t>
                  </w:r>
                </w:p>
              </w:tc>
              <w:tc>
                <w:tcPr>
                  <w:tcW w:w="1938" w:type="pct"/>
                  <w:tcBorders>
                    <w:tl2br w:val="nil"/>
                    <w:tr2bl w:val="nil"/>
                  </w:tcBorders>
                  <w:vAlign w:val="center"/>
                </w:tcPr>
                <w:p w14:paraId="501C1363">
                  <w:pPr>
                    <w:rPr>
                      <w:color w:val="auto"/>
                      <w:sz w:val="18"/>
                      <w:szCs w:val="18"/>
                    </w:rPr>
                  </w:pPr>
                  <w:r>
                    <w:rPr>
                      <w:rFonts w:hint="eastAsia"/>
                      <w:color w:val="auto"/>
                      <w:sz w:val="18"/>
                      <w:szCs w:val="18"/>
                    </w:rPr>
                    <w:t>本项目不涉及废吸收液和吸附剂再生。</w:t>
                  </w:r>
                </w:p>
              </w:tc>
              <w:tc>
                <w:tcPr>
                  <w:tcW w:w="278" w:type="pct"/>
                  <w:tcBorders>
                    <w:tl2br w:val="nil"/>
                    <w:tr2bl w:val="nil"/>
                  </w:tcBorders>
                  <w:vAlign w:val="center"/>
                </w:tcPr>
                <w:p w14:paraId="60209AD9">
                  <w:pPr>
                    <w:jc w:val="center"/>
                    <w:rPr>
                      <w:color w:val="auto"/>
                      <w:sz w:val="18"/>
                      <w:szCs w:val="18"/>
                    </w:rPr>
                  </w:pPr>
                  <w:r>
                    <w:rPr>
                      <w:color w:val="auto"/>
                      <w:sz w:val="18"/>
                      <w:szCs w:val="18"/>
                    </w:rPr>
                    <w:t>相符</w:t>
                  </w:r>
                </w:p>
              </w:tc>
            </w:tr>
            <w:tr w14:paraId="00EFAA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81" w:type="pct"/>
                  <w:vMerge w:val="continue"/>
                  <w:tcBorders>
                    <w:tl2br w:val="nil"/>
                    <w:tr2bl w:val="nil"/>
                  </w:tcBorders>
                  <w:vAlign w:val="center"/>
                </w:tcPr>
                <w:p w14:paraId="2B4D60B7">
                  <w:pPr>
                    <w:jc w:val="center"/>
                    <w:rPr>
                      <w:color w:val="auto"/>
                      <w:sz w:val="18"/>
                      <w:szCs w:val="18"/>
                    </w:rPr>
                  </w:pPr>
                </w:p>
              </w:tc>
              <w:tc>
                <w:tcPr>
                  <w:tcW w:w="2402" w:type="pct"/>
                  <w:tcBorders>
                    <w:tl2br w:val="nil"/>
                    <w:tr2bl w:val="nil"/>
                  </w:tcBorders>
                  <w:vAlign w:val="center"/>
                </w:tcPr>
                <w:p w14:paraId="52840892">
                  <w:pPr>
                    <w:widowControl/>
                    <w:jc w:val="left"/>
                    <w:rPr>
                      <w:color w:val="auto"/>
                      <w:sz w:val="18"/>
                      <w:szCs w:val="18"/>
                    </w:rPr>
                  </w:pPr>
                  <w:r>
                    <w:rPr>
                      <w:rFonts w:hint="eastAsia" w:ascii="宋体" w:hAnsi="宋体" w:cs="宋体"/>
                      <w:color w:val="auto"/>
                      <w:kern w:val="0"/>
                      <w:sz w:val="18"/>
                      <w:szCs w:val="18"/>
                      <w:lang w:bidi="ar"/>
                    </w:rPr>
                    <w:t>废气收集和净化装置应采取措施降低噪声和振动对环境的影响。</w:t>
                  </w:r>
                </w:p>
              </w:tc>
              <w:tc>
                <w:tcPr>
                  <w:tcW w:w="1938" w:type="pct"/>
                  <w:tcBorders>
                    <w:tl2br w:val="nil"/>
                    <w:tr2bl w:val="nil"/>
                  </w:tcBorders>
                  <w:vAlign w:val="center"/>
                </w:tcPr>
                <w:p w14:paraId="2E49BCCE">
                  <w:pPr>
                    <w:rPr>
                      <w:color w:val="auto"/>
                      <w:sz w:val="18"/>
                      <w:szCs w:val="18"/>
                    </w:rPr>
                  </w:pPr>
                  <w:r>
                    <w:rPr>
                      <w:rFonts w:hint="eastAsia" w:ascii="宋体" w:hAnsi="宋体" w:cs="宋体"/>
                      <w:color w:val="auto"/>
                      <w:kern w:val="0"/>
                      <w:sz w:val="18"/>
                      <w:szCs w:val="18"/>
                      <w:lang w:bidi="ar"/>
                    </w:rPr>
                    <w:t>废气收集和净化装置采取措施降低噪声和振动对环境的影响。</w:t>
                  </w:r>
                </w:p>
              </w:tc>
              <w:tc>
                <w:tcPr>
                  <w:tcW w:w="278" w:type="pct"/>
                  <w:tcBorders>
                    <w:tl2br w:val="nil"/>
                    <w:tr2bl w:val="nil"/>
                  </w:tcBorders>
                  <w:vAlign w:val="center"/>
                </w:tcPr>
                <w:p w14:paraId="5DDCF6A9">
                  <w:pPr>
                    <w:jc w:val="center"/>
                    <w:rPr>
                      <w:color w:val="auto"/>
                      <w:sz w:val="18"/>
                      <w:szCs w:val="18"/>
                    </w:rPr>
                  </w:pPr>
                  <w:r>
                    <w:rPr>
                      <w:color w:val="auto"/>
                      <w:sz w:val="18"/>
                      <w:szCs w:val="18"/>
                    </w:rPr>
                    <w:t>相符</w:t>
                  </w:r>
                </w:p>
              </w:tc>
            </w:tr>
            <w:tr w14:paraId="6442AD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81" w:type="pct"/>
                  <w:vMerge w:val="continue"/>
                  <w:tcBorders>
                    <w:tl2br w:val="nil"/>
                    <w:tr2bl w:val="nil"/>
                  </w:tcBorders>
                  <w:vAlign w:val="center"/>
                </w:tcPr>
                <w:p w14:paraId="05749828">
                  <w:pPr>
                    <w:jc w:val="center"/>
                    <w:rPr>
                      <w:color w:val="auto"/>
                      <w:sz w:val="18"/>
                      <w:szCs w:val="18"/>
                    </w:rPr>
                  </w:pPr>
                </w:p>
              </w:tc>
              <w:tc>
                <w:tcPr>
                  <w:tcW w:w="2402" w:type="pct"/>
                  <w:tcBorders>
                    <w:tl2br w:val="nil"/>
                    <w:tr2bl w:val="nil"/>
                  </w:tcBorders>
                  <w:vAlign w:val="center"/>
                </w:tcPr>
                <w:p w14:paraId="64FDE510">
                  <w:pPr>
                    <w:widowControl/>
                    <w:jc w:val="left"/>
                    <w:rPr>
                      <w:color w:val="auto"/>
                      <w:sz w:val="18"/>
                      <w:szCs w:val="18"/>
                    </w:rPr>
                  </w:pPr>
                  <w:r>
                    <w:rPr>
                      <w:rFonts w:hint="eastAsia" w:ascii="宋体" w:hAnsi="宋体" w:cs="宋体"/>
                      <w:color w:val="auto"/>
                      <w:kern w:val="0"/>
                      <w:sz w:val="18"/>
                      <w:szCs w:val="18"/>
                      <w:lang w:bidi="ar"/>
                    </w:rPr>
                    <w:t>废气净化装置产生的危险废，应按</w:t>
                  </w:r>
                  <w:r>
                    <w:rPr>
                      <w:color w:val="auto"/>
                      <w:kern w:val="0"/>
                      <w:sz w:val="18"/>
                      <w:szCs w:val="18"/>
                      <w:lang w:bidi="ar"/>
                    </w:rPr>
                    <w:t>GB18597</w:t>
                  </w:r>
                  <w:r>
                    <w:rPr>
                      <w:rFonts w:hint="eastAsia" w:ascii="宋体" w:hAnsi="宋体" w:cs="宋体"/>
                      <w:color w:val="auto"/>
                      <w:kern w:val="0"/>
                      <w:sz w:val="18"/>
                      <w:szCs w:val="18"/>
                      <w:lang w:bidi="ar"/>
                    </w:rPr>
                    <w:t>和</w:t>
                  </w:r>
                  <w:r>
                    <w:rPr>
                      <w:color w:val="auto"/>
                      <w:kern w:val="0"/>
                      <w:sz w:val="18"/>
                      <w:szCs w:val="18"/>
                      <w:lang w:bidi="ar"/>
                    </w:rPr>
                    <w:t>HJ2025</w:t>
                  </w:r>
                  <w:r>
                    <w:rPr>
                      <w:rFonts w:hint="eastAsia" w:ascii="宋体" w:hAnsi="宋体" w:cs="宋体"/>
                      <w:color w:val="auto"/>
                      <w:kern w:val="0"/>
                      <w:sz w:val="18"/>
                      <w:szCs w:val="18"/>
                      <w:lang w:bidi="ar"/>
                    </w:rPr>
                    <w:t>等危险废物贮存、转移、处置等相关要求进行环境管理。</w:t>
                  </w:r>
                </w:p>
              </w:tc>
              <w:tc>
                <w:tcPr>
                  <w:tcW w:w="1938" w:type="pct"/>
                  <w:tcBorders>
                    <w:tl2br w:val="nil"/>
                    <w:tr2bl w:val="nil"/>
                  </w:tcBorders>
                  <w:vAlign w:val="center"/>
                </w:tcPr>
                <w:p w14:paraId="7B49746D">
                  <w:pPr>
                    <w:rPr>
                      <w:color w:val="auto"/>
                      <w:sz w:val="18"/>
                      <w:szCs w:val="18"/>
                    </w:rPr>
                  </w:pPr>
                  <w:r>
                    <w:rPr>
                      <w:rFonts w:hint="eastAsia" w:ascii="宋体" w:hAnsi="宋体" w:cs="宋体"/>
                      <w:color w:val="auto"/>
                      <w:kern w:val="0"/>
                      <w:sz w:val="18"/>
                      <w:szCs w:val="18"/>
                      <w:lang w:bidi="ar"/>
                    </w:rPr>
                    <w:t>废气净化装置产生的危险废，按</w:t>
                  </w:r>
                  <w:r>
                    <w:rPr>
                      <w:color w:val="auto"/>
                      <w:kern w:val="0"/>
                      <w:sz w:val="18"/>
                      <w:szCs w:val="18"/>
                      <w:lang w:bidi="ar"/>
                    </w:rPr>
                    <w:t>GB 18597</w:t>
                  </w:r>
                  <w:r>
                    <w:rPr>
                      <w:rFonts w:hint="eastAsia" w:ascii="宋体" w:hAnsi="宋体" w:cs="宋体"/>
                      <w:color w:val="auto"/>
                      <w:kern w:val="0"/>
                      <w:sz w:val="18"/>
                      <w:szCs w:val="18"/>
                      <w:lang w:bidi="ar"/>
                    </w:rPr>
                    <w:t>和</w:t>
                  </w:r>
                  <w:r>
                    <w:rPr>
                      <w:color w:val="auto"/>
                      <w:kern w:val="0"/>
                      <w:sz w:val="18"/>
                      <w:szCs w:val="18"/>
                      <w:lang w:bidi="ar"/>
                    </w:rPr>
                    <w:t>HJ2025</w:t>
                  </w:r>
                  <w:r>
                    <w:rPr>
                      <w:rFonts w:hint="eastAsia" w:ascii="宋体" w:hAnsi="宋体" w:cs="宋体"/>
                      <w:color w:val="auto"/>
                      <w:kern w:val="0"/>
                      <w:sz w:val="18"/>
                      <w:szCs w:val="18"/>
                      <w:lang w:bidi="ar"/>
                    </w:rPr>
                    <w:t>等危险废物贮存、转移、处置等相关要求进行环境管理。</w:t>
                  </w:r>
                </w:p>
              </w:tc>
              <w:tc>
                <w:tcPr>
                  <w:tcW w:w="278" w:type="pct"/>
                  <w:tcBorders>
                    <w:tl2br w:val="nil"/>
                    <w:tr2bl w:val="nil"/>
                  </w:tcBorders>
                  <w:vAlign w:val="center"/>
                </w:tcPr>
                <w:p w14:paraId="4C0483D7">
                  <w:pPr>
                    <w:jc w:val="center"/>
                    <w:rPr>
                      <w:color w:val="auto"/>
                      <w:sz w:val="18"/>
                      <w:szCs w:val="18"/>
                    </w:rPr>
                  </w:pPr>
                  <w:r>
                    <w:rPr>
                      <w:color w:val="auto"/>
                      <w:sz w:val="18"/>
                      <w:szCs w:val="18"/>
                    </w:rPr>
                    <w:t>相符</w:t>
                  </w:r>
                </w:p>
              </w:tc>
            </w:tr>
            <w:tr w14:paraId="02469E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81" w:type="pct"/>
                  <w:vMerge w:val="continue"/>
                  <w:tcBorders>
                    <w:tl2br w:val="nil"/>
                    <w:tr2bl w:val="nil"/>
                  </w:tcBorders>
                  <w:vAlign w:val="center"/>
                </w:tcPr>
                <w:p w14:paraId="6D15D50C">
                  <w:pPr>
                    <w:jc w:val="center"/>
                    <w:rPr>
                      <w:color w:val="auto"/>
                      <w:sz w:val="18"/>
                      <w:szCs w:val="18"/>
                    </w:rPr>
                  </w:pPr>
                </w:p>
              </w:tc>
              <w:tc>
                <w:tcPr>
                  <w:tcW w:w="2402" w:type="pct"/>
                  <w:tcBorders>
                    <w:tl2br w:val="nil"/>
                    <w:tr2bl w:val="nil"/>
                  </w:tcBorders>
                  <w:vAlign w:val="center"/>
                </w:tcPr>
                <w:p w14:paraId="799B29AA">
                  <w:pPr>
                    <w:widowControl/>
                    <w:jc w:val="left"/>
                    <w:rPr>
                      <w:color w:val="auto"/>
                      <w:sz w:val="18"/>
                      <w:szCs w:val="18"/>
                    </w:rPr>
                  </w:pPr>
                  <w:r>
                    <w:rPr>
                      <w:rFonts w:hint="eastAsia" w:ascii="宋体" w:hAnsi="宋体" w:cs="宋体"/>
                      <w:color w:val="auto"/>
                      <w:kern w:val="0"/>
                      <w:sz w:val="18"/>
                      <w:szCs w:val="18"/>
                      <w:lang w:bidi="ar"/>
                    </w:rPr>
                    <w:t>实验室单位应将收集和净化装置的管理纳入日常管理中</w:t>
                  </w:r>
                  <w:r>
                    <w:rPr>
                      <w:rFonts w:hint="eastAsia"/>
                      <w:color w:val="auto"/>
                      <w:kern w:val="0"/>
                      <w:sz w:val="18"/>
                      <w:szCs w:val="18"/>
                      <w:lang w:bidi="ar"/>
                    </w:rPr>
                    <w:t>，</w:t>
                  </w:r>
                  <w:r>
                    <w:rPr>
                      <w:rFonts w:hint="eastAsia" w:ascii="宋体" w:hAnsi="宋体" w:cs="宋体"/>
                      <w:color w:val="auto"/>
                      <w:kern w:val="0"/>
                      <w:sz w:val="18"/>
                      <w:szCs w:val="18"/>
                      <w:lang w:bidi="ar"/>
                    </w:rPr>
                    <w:t>对管理和技术人员进行培训</w:t>
                  </w:r>
                  <w:r>
                    <w:rPr>
                      <w:rFonts w:hint="eastAsia"/>
                      <w:color w:val="auto"/>
                      <w:kern w:val="0"/>
                      <w:sz w:val="18"/>
                      <w:szCs w:val="18"/>
                      <w:lang w:bidi="ar"/>
                    </w:rPr>
                    <w:t>，</w:t>
                  </w:r>
                  <w:r>
                    <w:rPr>
                      <w:rFonts w:hint="eastAsia" w:ascii="宋体" w:hAnsi="宋体" w:cs="宋体"/>
                      <w:color w:val="auto"/>
                      <w:kern w:val="0"/>
                      <w:sz w:val="18"/>
                      <w:szCs w:val="18"/>
                      <w:lang w:bidi="ar"/>
                    </w:rPr>
                    <w:t>掌握必要的运行管理知识和应急情况下的处理措施。</w:t>
                  </w:r>
                </w:p>
              </w:tc>
              <w:tc>
                <w:tcPr>
                  <w:tcW w:w="1938" w:type="pct"/>
                  <w:tcBorders>
                    <w:tl2br w:val="nil"/>
                    <w:tr2bl w:val="nil"/>
                  </w:tcBorders>
                  <w:vAlign w:val="center"/>
                </w:tcPr>
                <w:p w14:paraId="509A45C9">
                  <w:pPr>
                    <w:rPr>
                      <w:color w:val="auto"/>
                      <w:sz w:val="18"/>
                      <w:szCs w:val="18"/>
                    </w:rPr>
                  </w:pPr>
                  <w:r>
                    <w:rPr>
                      <w:rFonts w:hint="eastAsia" w:ascii="宋体" w:hAnsi="宋体" w:cs="宋体"/>
                      <w:color w:val="auto"/>
                      <w:kern w:val="0"/>
                      <w:sz w:val="18"/>
                      <w:szCs w:val="18"/>
                      <w:lang w:bidi="ar"/>
                    </w:rPr>
                    <w:t>实验室将收集和净化装置的管理纳入日常管理中</w:t>
                  </w:r>
                  <w:r>
                    <w:rPr>
                      <w:rFonts w:hint="eastAsia"/>
                      <w:color w:val="auto"/>
                      <w:kern w:val="0"/>
                      <w:sz w:val="18"/>
                      <w:szCs w:val="18"/>
                      <w:lang w:bidi="ar"/>
                    </w:rPr>
                    <w:t>，</w:t>
                  </w:r>
                  <w:r>
                    <w:rPr>
                      <w:rFonts w:hint="eastAsia" w:ascii="宋体" w:hAnsi="宋体" w:cs="宋体"/>
                      <w:color w:val="auto"/>
                      <w:kern w:val="0"/>
                      <w:sz w:val="18"/>
                      <w:szCs w:val="18"/>
                      <w:lang w:bidi="ar"/>
                    </w:rPr>
                    <w:t>对管理和技术人员进行培训</w:t>
                  </w:r>
                  <w:r>
                    <w:rPr>
                      <w:rFonts w:hint="eastAsia"/>
                      <w:color w:val="auto"/>
                      <w:kern w:val="0"/>
                      <w:sz w:val="18"/>
                      <w:szCs w:val="18"/>
                      <w:lang w:bidi="ar"/>
                    </w:rPr>
                    <w:t>，</w:t>
                  </w:r>
                  <w:r>
                    <w:rPr>
                      <w:rFonts w:hint="eastAsia" w:ascii="宋体" w:hAnsi="宋体" w:cs="宋体"/>
                      <w:color w:val="auto"/>
                      <w:kern w:val="0"/>
                      <w:sz w:val="18"/>
                      <w:szCs w:val="18"/>
                      <w:lang w:bidi="ar"/>
                    </w:rPr>
                    <w:t>掌握必要的运行管理知识和应急情况下的处理措施。</w:t>
                  </w:r>
                </w:p>
              </w:tc>
              <w:tc>
                <w:tcPr>
                  <w:tcW w:w="278" w:type="pct"/>
                  <w:tcBorders>
                    <w:tl2br w:val="nil"/>
                    <w:tr2bl w:val="nil"/>
                  </w:tcBorders>
                  <w:vAlign w:val="center"/>
                </w:tcPr>
                <w:p w14:paraId="49740091">
                  <w:pPr>
                    <w:jc w:val="center"/>
                    <w:rPr>
                      <w:color w:val="auto"/>
                      <w:sz w:val="18"/>
                      <w:szCs w:val="18"/>
                    </w:rPr>
                  </w:pPr>
                  <w:r>
                    <w:rPr>
                      <w:color w:val="auto"/>
                      <w:sz w:val="18"/>
                      <w:szCs w:val="18"/>
                    </w:rPr>
                    <w:t>相符</w:t>
                  </w:r>
                </w:p>
              </w:tc>
            </w:tr>
            <w:tr w14:paraId="0CB78F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38" w:hRule="atLeast"/>
                <w:jc w:val="center"/>
              </w:trPr>
              <w:tc>
                <w:tcPr>
                  <w:tcW w:w="381" w:type="pct"/>
                  <w:vMerge w:val="continue"/>
                  <w:tcBorders>
                    <w:tl2br w:val="nil"/>
                    <w:tr2bl w:val="nil"/>
                  </w:tcBorders>
                  <w:vAlign w:val="center"/>
                </w:tcPr>
                <w:p w14:paraId="6A406C2A">
                  <w:pPr>
                    <w:jc w:val="center"/>
                    <w:rPr>
                      <w:color w:val="auto"/>
                      <w:sz w:val="18"/>
                      <w:szCs w:val="18"/>
                    </w:rPr>
                  </w:pPr>
                </w:p>
              </w:tc>
              <w:tc>
                <w:tcPr>
                  <w:tcW w:w="2402" w:type="pct"/>
                  <w:tcBorders>
                    <w:tl2br w:val="nil"/>
                    <w:tr2bl w:val="nil"/>
                  </w:tcBorders>
                  <w:vAlign w:val="center"/>
                </w:tcPr>
                <w:p w14:paraId="448273C2">
                  <w:pPr>
                    <w:widowControl/>
                    <w:jc w:val="left"/>
                    <w:rPr>
                      <w:color w:val="auto"/>
                    </w:rPr>
                  </w:pPr>
                  <w:r>
                    <w:rPr>
                      <w:rFonts w:hint="eastAsia" w:ascii="宋体" w:hAnsi="宋体" w:cs="宋体"/>
                      <w:color w:val="auto"/>
                      <w:kern w:val="0"/>
                      <w:sz w:val="18"/>
                      <w:szCs w:val="18"/>
                      <w:lang w:bidi="ar"/>
                    </w:rPr>
                    <w:t>实验室单位应建立收集和净化装置的运行</w:t>
                  </w:r>
                  <w:r>
                    <w:rPr>
                      <w:rFonts w:hint="eastAsia"/>
                      <w:color w:val="auto"/>
                      <w:kern w:val="0"/>
                      <w:sz w:val="18"/>
                      <w:szCs w:val="18"/>
                      <w:lang w:bidi="ar"/>
                    </w:rPr>
                    <w:t>，</w:t>
                  </w:r>
                  <w:r>
                    <w:rPr>
                      <w:rFonts w:hint="eastAsia" w:ascii="宋体" w:hAnsi="宋体" w:cs="宋体"/>
                      <w:color w:val="auto"/>
                      <w:kern w:val="0"/>
                      <w:sz w:val="18"/>
                      <w:szCs w:val="18"/>
                      <w:lang w:bidi="ar"/>
                    </w:rPr>
                    <w:t>维护和操作规程以及相关台账制度</w:t>
                  </w:r>
                  <w:r>
                    <w:rPr>
                      <w:rFonts w:hint="eastAsia"/>
                      <w:color w:val="auto"/>
                      <w:kern w:val="0"/>
                      <w:sz w:val="18"/>
                      <w:szCs w:val="18"/>
                      <w:lang w:bidi="ar"/>
                    </w:rPr>
                    <w:t>，</w:t>
                  </w:r>
                  <w:r>
                    <w:rPr>
                      <w:rFonts w:hint="eastAsia" w:ascii="宋体" w:hAnsi="宋体" w:cs="宋体"/>
                      <w:color w:val="auto"/>
                      <w:kern w:val="0"/>
                      <w:sz w:val="18"/>
                      <w:szCs w:val="18"/>
                      <w:lang w:bidi="ar"/>
                    </w:rPr>
                    <w:t>明确设施的检查周期</w:t>
                  </w:r>
                  <w:r>
                    <w:rPr>
                      <w:rFonts w:hint="eastAsia"/>
                      <w:color w:val="auto"/>
                      <w:kern w:val="0"/>
                      <w:sz w:val="18"/>
                      <w:szCs w:val="18"/>
                      <w:lang w:bidi="ar"/>
                    </w:rPr>
                    <w:t>，</w:t>
                  </w:r>
                  <w:r>
                    <w:rPr>
                      <w:rFonts w:hint="eastAsia" w:ascii="宋体" w:hAnsi="宋体" w:cs="宋体"/>
                      <w:color w:val="auto"/>
                      <w:kern w:val="0"/>
                      <w:sz w:val="18"/>
                      <w:szCs w:val="18"/>
                      <w:lang w:bidi="ar"/>
                    </w:rPr>
                    <w:t>相关台账主要记录内容</w:t>
                  </w:r>
                  <w:r>
                    <w:rPr>
                      <w:color w:val="auto"/>
                      <w:kern w:val="0"/>
                      <w:sz w:val="18"/>
                      <w:szCs w:val="18"/>
                      <w:lang w:bidi="ar"/>
                    </w:rPr>
                    <w:t>(</w:t>
                  </w:r>
                  <w:r>
                    <w:rPr>
                      <w:rFonts w:hint="eastAsia" w:ascii="宋体" w:hAnsi="宋体" w:cs="宋体"/>
                      <w:color w:val="auto"/>
                      <w:kern w:val="0"/>
                      <w:sz w:val="18"/>
                      <w:szCs w:val="18"/>
                      <w:lang w:bidi="ar"/>
                    </w:rPr>
                    <w:t xml:space="preserve">见附录 </w:t>
                  </w:r>
                  <w:r>
                    <w:rPr>
                      <w:color w:val="auto"/>
                      <w:kern w:val="0"/>
                      <w:sz w:val="18"/>
                      <w:szCs w:val="18"/>
                      <w:lang w:bidi="ar"/>
                    </w:rPr>
                    <w:t>C)</w:t>
                  </w:r>
                  <w:r>
                    <w:rPr>
                      <w:rFonts w:hint="eastAsia" w:ascii="宋体" w:hAnsi="宋体" w:cs="宋体"/>
                      <w:color w:val="auto"/>
                      <w:kern w:val="0"/>
                      <w:sz w:val="18"/>
                      <w:szCs w:val="18"/>
                      <w:lang w:bidi="ar"/>
                    </w:rPr>
                    <w:t>包括</w:t>
                  </w:r>
                  <w:r>
                    <w:rPr>
                      <w:rFonts w:hint="eastAsia"/>
                      <w:color w:val="auto"/>
                      <w:kern w:val="0"/>
                      <w:sz w:val="18"/>
                      <w:szCs w:val="18"/>
                      <w:lang w:bidi="ar"/>
                    </w:rPr>
                    <w:t>：</w:t>
                  </w:r>
                </w:p>
                <w:p w14:paraId="5B9FA48E">
                  <w:pPr>
                    <w:widowControl/>
                    <w:jc w:val="left"/>
                    <w:rPr>
                      <w:color w:val="auto"/>
                    </w:rPr>
                  </w:pPr>
                  <w:r>
                    <w:rPr>
                      <w:color w:val="auto"/>
                      <w:kern w:val="0"/>
                      <w:sz w:val="18"/>
                      <w:szCs w:val="18"/>
                      <w:lang w:bidi="ar"/>
                    </w:rPr>
                    <w:t>a)</w:t>
                  </w:r>
                  <w:r>
                    <w:rPr>
                      <w:rFonts w:hint="eastAsia" w:ascii="宋体" w:hAnsi="宋体" w:cs="宋体"/>
                      <w:color w:val="auto"/>
                      <w:kern w:val="0"/>
                      <w:sz w:val="18"/>
                      <w:szCs w:val="18"/>
                      <w:lang w:bidi="ar"/>
                    </w:rPr>
                    <w:t>收集和净化装置的启动、停止时间</w:t>
                  </w:r>
                  <w:r>
                    <w:rPr>
                      <w:rFonts w:hint="eastAsia"/>
                      <w:color w:val="auto"/>
                      <w:kern w:val="0"/>
                      <w:sz w:val="18"/>
                      <w:szCs w:val="18"/>
                      <w:lang w:bidi="ar"/>
                    </w:rPr>
                    <w:t>；</w:t>
                  </w:r>
                </w:p>
                <w:p w14:paraId="1678B594">
                  <w:pPr>
                    <w:widowControl/>
                    <w:jc w:val="left"/>
                    <w:rPr>
                      <w:color w:val="auto"/>
                    </w:rPr>
                  </w:pPr>
                  <w:r>
                    <w:rPr>
                      <w:color w:val="auto"/>
                      <w:kern w:val="0"/>
                      <w:sz w:val="18"/>
                      <w:szCs w:val="18"/>
                      <w:lang w:bidi="ar"/>
                    </w:rPr>
                    <w:t>b)</w:t>
                  </w:r>
                  <w:r>
                    <w:rPr>
                      <w:rFonts w:hint="eastAsia" w:ascii="宋体" w:hAnsi="宋体" w:cs="宋体"/>
                      <w:color w:val="auto"/>
                      <w:kern w:val="0"/>
                      <w:sz w:val="18"/>
                      <w:szCs w:val="18"/>
                      <w:lang w:bidi="ar"/>
                    </w:rPr>
                    <w:t>吸附剂和吸收液等更换时间</w:t>
                  </w:r>
                  <w:r>
                    <w:rPr>
                      <w:rFonts w:hint="eastAsia"/>
                      <w:color w:val="auto"/>
                      <w:kern w:val="0"/>
                      <w:sz w:val="18"/>
                      <w:szCs w:val="18"/>
                      <w:lang w:bidi="ar"/>
                    </w:rPr>
                    <w:t>；</w:t>
                  </w:r>
                  <w:r>
                    <w:rPr>
                      <w:color w:val="auto"/>
                      <w:kern w:val="0"/>
                      <w:sz w:val="18"/>
                      <w:szCs w:val="18"/>
                      <w:lang w:bidi="ar"/>
                    </w:rPr>
                    <w:t xml:space="preserve"> </w:t>
                  </w:r>
                </w:p>
                <w:p w14:paraId="2FDAA803">
                  <w:pPr>
                    <w:widowControl/>
                    <w:jc w:val="left"/>
                    <w:rPr>
                      <w:color w:val="auto"/>
                    </w:rPr>
                  </w:pPr>
                  <w:r>
                    <w:rPr>
                      <w:color w:val="auto"/>
                      <w:kern w:val="0"/>
                      <w:sz w:val="18"/>
                      <w:szCs w:val="18"/>
                      <w:lang w:bidi="ar"/>
                    </w:rPr>
                    <w:t>c)</w:t>
                  </w:r>
                  <w:r>
                    <w:rPr>
                      <w:rFonts w:hint="eastAsia" w:ascii="宋体" w:hAnsi="宋体" w:cs="宋体"/>
                      <w:color w:val="auto"/>
                      <w:kern w:val="0"/>
                      <w:sz w:val="18"/>
                      <w:szCs w:val="18"/>
                      <w:lang w:bidi="ar"/>
                    </w:rPr>
                    <w:t>净化装置运行工艺控制参数</w:t>
                  </w:r>
                  <w:r>
                    <w:rPr>
                      <w:rFonts w:hint="eastAsia"/>
                      <w:color w:val="auto"/>
                      <w:kern w:val="0"/>
                      <w:sz w:val="18"/>
                      <w:szCs w:val="18"/>
                      <w:lang w:bidi="ar"/>
                    </w:rPr>
                    <w:t>；</w:t>
                  </w:r>
                </w:p>
                <w:p w14:paraId="726C4C3C">
                  <w:pPr>
                    <w:widowControl/>
                    <w:jc w:val="left"/>
                    <w:rPr>
                      <w:color w:val="auto"/>
                    </w:rPr>
                  </w:pPr>
                  <w:r>
                    <w:rPr>
                      <w:color w:val="auto"/>
                      <w:kern w:val="0"/>
                      <w:sz w:val="18"/>
                      <w:szCs w:val="18"/>
                      <w:lang w:bidi="ar"/>
                    </w:rPr>
                    <w:t>d)</w:t>
                  </w:r>
                  <w:r>
                    <w:rPr>
                      <w:rFonts w:hint="eastAsia" w:ascii="宋体" w:hAnsi="宋体" w:cs="宋体"/>
                      <w:color w:val="auto"/>
                      <w:kern w:val="0"/>
                      <w:sz w:val="18"/>
                      <w:szCs w:val="18"/>
                      <w:lang w:bidi="ar"/>
                    </w:rPr>
                    <w:t>主要设备维护情况</w:t>
                  </w:r>
                  <w:r>
                    <w:rPr>
                      <w:rFonts w:hint="eastAsia"/>
                      <w:color w:val="auto"/>
                      <w:kern w:val="0"/>
                      <w:sz w:val="18"/>
                      <w:szCs w:val="18"/>
                      <w:lang w:bidi="ar"/>
                    </w:rPr>
                    <w:t>；</w:t>
                  </w:r>
                  <w:r>
                    <w:rPr>
                      <w:color w:val="auto"/>
                      <w:kern w:val="0"/>
                      <w:sz w:val="18"/>
                      <w:szCs w:val="18"/>
                      <w:lang w:bidi="ar"/>
                    </w:rPr>
                    <w:t xml:space="preserve"> </w:t>
                  </w:r>
                </w:p>
                <w:p w14:paraId="3FB58F23">
                  <w:pPr>
                    <w:widowControl/>
                    <w:jc w:val="left"/>
                    <w:rPr>
                      <w:color w:val="auto"/>
                      <w:sz w:val="18"/>
                      <w:szCs w:val="18"/>
                    </w:rPr>
                  </w:pPr>
                  <w:r>
                    <w:rPr>
                      <w:color w:val="auto"/>
                      <w:kern w:val="0"/>
                      <w:sz w:val="18"/>
                      <w:szCs w:val="18"/>
                      <w:lang w:bidi="ar"/>
                    </w:rPr>
                    <w:t>e)</w:t>
                  </w:r>
                  <w:r>
                    <w:rPr>
                      <w:rFonts w:hint="eastAsia" w:ascii="宋体" w:hAnsi="宋体" w:cs="宋体"/>
                      <w:color w:val="auto"/>
                      <w:kern w:val="0"/>
                      <w:sz w:val="18"/>
                      <w:szCs w:val="18"/>
                      <w:lang w:bidi="ar"/>
                    </w:rPr>
                    <w:t>运行故障及维修情况。</w:t>
                  </w:r>
                </w:p>
              </w:tc>
              <w:tc>
                <w:tcPr>
                  <w:tcW w:w="1938" w:type="pct"/>
                  <w:tcBorders>
                    <w:tl2br w:val="nil"/>
                    <w:tr2bl w:val="nil"/>
                  </w:tcBorders>
                  <w:vAlign w:val="center"/>
                </w:tcPr>
                <w:p w14:paraId="3340F693">
                  <w:pPr>
                    <w:widowControl/>
                    <w:jc w:val="left"/>
                    <w:rPr>
                      <w:color w:val="auto"/>
                    </w:rPr>
                  </w:pPr>
                  <w:r>
                    <w:rPr>
                      <w:rFonts w:hint="eastAsia" w:ascii="宋体" w:hAnsi="宋体" w:cs="宋体"/>
                      <w:color w:val="auto"/>
                      <w:kern w:val="0"/>
                      <w:sz w:val="18"/>
                      <w:szCs w:val="18"/>
                      <w:lang w:bidi="ar"/>
                    </w:rPr>
                    <w:t>实验室建立收集和净化装置的运行</w:t>
                  </w:r>
                  <w:r>
                    <w:rPr>
                      <w:rFonts w:hint="eastAsia"/>
                      <w:color w:val="auto"/>
                      <w:kern w:val="0"/>
                      <w:sz w:val="18"/>
                      <w:szCs w:val="18"/>
                      <w:lang w:bidi="ar"/>
                    </w:rPr>
                    <w:t>，</w:t>
                  </w:r>
                  <w:r>
                    <w:rPr>
                      <w:rFonts w:hint="eastAsia" w:ascii="宋体" w:hAnsi="宋体" w:cs="宋体"/>
                      <w:color w:val="auto"/>
                      <w:kern w:val="0"/>
                      <w:sz w:val="18"/>
                      <w:szCs w:val="18"/>
                      <w:lang w:bidi="ar"/>
                    </w:rPr>
                    <w:t>维护和操作规程以及相关台账制度</w:t>
                  </w:r>
                  <w:r>
                    <w:rPr>
                      <w:rFonts w:hint="eastAsia"/>
                      <w:color w:val="auto"/>
                      <w:kern w:val="0"/>
                      <w:sz w:val="18"/>
                      <w:szCs w:val="18"/>
                      <w:lang w:bidi="ar"/>
                    </w:rPr>
                    <w:t>，</w:t>
                  </w:r>
                  <w:r>
                    <w:rPr>
                      <w:rFonts w:hint="eastAsia" w:ascii="宋体" w:hAnsi="宋体" w:cs="宋体"/>
                      <w:color w:val="auto"/>
                      <w:kern w:val="0"/>
                      <w:sz w:val="18"/>
                      <w:szCs w:val="18"/>
                      <w:lang w:bidi="ar"/>
                    </w:rPr>
                    <w:t>明确设施的检查周期</w:t>
                  </w:r>
                  <w:r>
                    <w:rPr>
                      <w:rFonts w:hint="eastAsia"/>
                      <w:color w:val="auto"/>
                      <w:kern w:val="0"/>
                      <w:sz w:val="18"/>
                      <w:szCs w:val="18"/>
                      <w:lang w:bidi="ar"/>
                    </w:rPr>
                    <w:t>，</w:t>
                  </w:r>
                  <w:r>
                    <w:rPr>
                      <w:rFonts w:hint="eastAsia" w:ascii="宋体" w:hAnsi="宋体" w:cs="宋体"/>
                      <w:color w:val="auto"/>
                      <w:kern w:val="0"/>
                      <w:sz w:val="18"/>
                      <w:szCs w:val="18"/>
                      <w:lang w:bidi="ar"/>
                    </w:rPr>
                    <w:t>相关台账主要记录内容包括</w:t>
                  </w:r>
                  <w:r>
                    <w:rPr>
                      <w:rFonts w:hint="eastAsia"/>
                      <w:color w:val="auto"/>
                      <w:kern w:val="0"/>
                      <w:sz w:val="18"/>
                      <w:szCs w:val="18"/>
                      <w:lang w:bidi="ar"/>
                    </w:rPr>
                    <w:t>：</w:t>
                  </w:r>
                  <w:r>
                    <w:rPr>
                      <w:color w:val="auto"/>
                      <w:kern w:val="0"/>
                      <w:sz w:val="18"/>
                      <w:szCs w:val="18"/>
                      <w:lang w:bidi="ar"/>
                    </w:rPr>
                    <w:t xml:space="preserve"> </w:t>
                  </w:r>
                </w:p>
                <w:p w14:paraId="5E403C78">
                  <w:pPr>
                    <w:widowControl/>
                    <w:jc w:val="left"/>
                    <w:rPr>
                      <w:color w:val="auto"/>
                    </w:rPr>
                  </w:pPr>
                  <w:r>
                    <w:rPr>
                      <w:color w:val="auto"/>
                      <w:kern w:val="0"/>
                      <w:sz w:val="18"/>
                      <w:szCs w:val="18"/>
                      <w:lang w:bidi="ar"/>
                    </w:rPr>
                    <w:t>a)</w:t>
                  </w:r>
                  <w:r>
                    <w:rPr>
                      <w:rFonts w:hint="eastAsia" w:ascii="宋体" w:hAnsi="宋体" w:cs="宋体"/>
                      <w:color w:val="auto"/>
                      <w:kern w:val="0"/>
                      <w:sz w:val="18"/>
                      <w:szCs w:val="18"/>
                      <w:lang w:bidi="ar"/>
                    </w:rPr>
                    <w:t>收集和净化装置的启动、停止时间</w:t>
                  </w:r>
                  <w:r>
                    <w:rPr>
                      <w:rFonts w:hint="eastAsia"/>
                      <w:color w:val="auto"/>
                      <w:kern w:val="0"/>
                      <w:sz w:val="18"/>
                      <w:szCs w:val="18"/>
                      <w:lang w:bidi="ar"/>
                    </w:rPr>
                    <w:t>；</w:t>
                  </w:r>
                </w:p>
                <w:p w14:paraId="615CA3FB">
                  <w:pPr>
                    <w:widowControl/>
                    <w:jc w:val="left"/>
                    <w:rPr>
                      <w:color w:val="auto"/>
                    </w:rPr>
                  </w:pPr>
                  <w:r>
                    <w:rPr>
                      <w:color w:val="auto"/>
                      <w:kern w:val="0"/>
                      <w:sz w:val="18"/>
                      <w:szCs w:val="18"/>
                      <w:lang w:bidi="ar"/>
                    </w:rPr>
                    <w:t>b)</w:t>
                  </w:r>
                  <w:r>
                    <w:rPr>
                      <w:rFonts w:hint="eastAsia" w:ascii="宋体" w:hAnsi="宋体" w:cs="宋体"/>
                      <w:color w:val="auto"/>
                      <w:kern w:val="0"/>
                      <w:sz w:val="18"/>
                      <w:szCs w:val="18"/>
                      <w:lang w:bidi="ar"/>
                    </w:rPr>
                    <w:t>吸附剂和吸收液等更换时间</w:t>
                  </w:r>
                  <w:r>
                    <w:rPr>
                      <w:rFonts w:hint="eastAsia"/>
                      <w:color w:val="auto"/>
                      <w:kern w:val="0"/>
                      <w:sz w:val="18"/>
                      <w:szCs w:val="18"/>
                      <w:lang w:bidi="ar"/>
                    </w:rPr>
                    <w:t>；</w:t>
                  </w:r>
                  <w:r>
                    <w:rPr>
                      <w:color w:val="auto"/>
                      <w:kern w:val="0"/>
                      <w:sz w:val="18"/>
                      <w:szCs w:val="18"/>
                      <w:lang w:bidi="ar"/>
                    </w:rPr>
                    <w:t xml:space="preserve"> </w:t>
                  </w:r>
                </w:p>
                <w:p w14:paraId="3A0BAC9A">
                  <w:pPr>
                    <w:widowControl/>
                    <w:jc w:val="left"/>
                    <w:rPr>
                      <w:color w:val="auto"/>
                    </w:rPr>
                  </w:pPr>
                  <w:r>
                    <w:rPr>
                      <w:color w:val="auto"/>
                      <w:kern w:val="0"/>
                      <w:sz w:val="18"/>
                      <w:szCs w:val="18"/>
                      <w:lang w:bidi="ar"/>
                    </w:rPr>
                    <w:t>c)</w:t>
                  </w:r>
                  <w:r>
                    <w:rPr>
                      <w:rFonts w:hint="eastAsia" w:ascii="宋体" w:hAnsi="宋体" w:cs="宋体"/>
                      <w:color w:val="auto"/>
                      <w:kern w:val="0"/>
                      <w:sz w:val="18"/>
                      <w:szCs w:val="18"/>
                      <w:lang w:bidi="ar"/>
                    </w:rPr>
                    <w:t>净化装置运行工艺控制参数</w:t>
                  </w:r>
                  <w:r>
                    <w:rPr>
                      <w:rFonts w:hint="eastAsia"/>
                      <w:color w:val="auto"/>
                      <w:kern w:val="0"/>
                      <w:sz w:val="18"/>
                      <w:szCs w:val="18"/>
                      <w:lang w:bidi="ar"/>
                    </w:rPr>
                    <w:t>；</w:t>
                  </w:r>
                </w:p>
                <w:p w14:paraId="6CE9504E">
                  <w:pPr>
                    <w:widowControl/>
                    <w:jc w:val="left"/>
                    <w:rPr>
                      <w:color w:val="auto"/>
                    </w:rPr>
                  </w:pPr>
                  <w:r>
                    <w:rPr>
                      <w:color w:val="auto"/>
                      <w:kern w:val="0"/>
                      <w:sz w:val="18"/>
                      <w:szCs w:val="18"/>
                      <w:lang w:bidi="ar"/>
                    </w:rPr>
                    <w:t>d)</w:t>
                  </w:r>
                  <w:r>
                    <w:rPr>
                      <w:rFonts w:hint="eastAsia" w:ascii="宋体" w:hAnsi="宋体" w:cs="宋体"/>
                      <w:color w:val="auto"/>
                      <w:kern w:val="0"/>
                      <w:sz w:val="18"/>
                      <w:szCs w:val="18"/>
                      <w:lang w:bidi="ar"/>
                    </w:rPr>
                    <w:t>主要设备维护情况</w:t>
                  </w:r>
                  <w:r>
                    <w:rPr>
                      <w:rFonts w:hint="eastAsia"/>
                      <w:color w:val="auto"/>
                      <w:kern w:val="0"/>
                      <w:sz w:val="18"/>
                      <w:szCs w:val="18"/>
                      <w:lang w:bidi="ar"/>
                    </w:rPr>
                    <w:t>；</w:t>
                  </w:r>
                  <w:r>
                    <w:rPr>
                      <w:color w:val="auto"/>
                      <w:kern w:val="0"/>
                      <w:sz w:val="18"/>
                      <w:szCs w:val="18"/>
                      <w:lang w:bidi="ar"/>
                    </w:rPr>
                    <w:t xml:space="preserve"> </w:t>
                  </w:r>
                </w:p>
                <w:p w14:paraId="4DBAC1A9">
                  <w:pPr>
                    <w:rPr>
                      <w:color w:val="auto"/>
                      <w:sz w:val="18"/>
                      <w:szCs w:val="18"/>
                    </w:rPr>
                  </w:pPr>
                  <w:r>
                    <w:rPr>
                      <w:color w:val="auto"/>
                      <w:kern w:val="0"/>
                      <w:sz w:val="18"/>
                      <w:szCs w:val="18"/>
                      <w:lang w:bidi="ar"/>
                    </w:rPr>
                    <w:t>e)</w:t>
                  </w:r>
                  <w:r>
                    <w:rPr>
                      <w:rFonts w:hint="eastAsia" w:ascii="宋体" w:hAnsi="宋体" w:cs="宋体"/>
                      <w:color w:val="auto"/>
                      <w:kern w:val="0"/>
                      <w:sz w:val="18"/>
                      <w:szCs w:val="18"/>
                      <w:lang w:bidi="ar"/>
                    </w:rPr>
                    <w:t>运行故障及维修情况。</w:t>
                  </w:r>
                </w:p>
              </w:tc>
              <w:tc>
                <w:tcPr>
                  <w:tcW w:w="278" w:type="pct"/>
                  <w:tcBorders>
                    <w:tl2br w:val="nil"/>
                    <w:tr2bl w:val="nil"/>
                  </w:tcBorders>
                  <w:vAlign w:val="center"/>
                </w:tcPr>
                <w:p w14:paraId="10A45E05">
                  <w:pPr>
                    <w:jc w:val="center"/>
                    <w:rPr>
                      <w:color w:val="auto"/>
                      <w:sz w:val="18"/>
                      <w:szCs w:val="18"/>
                    </w:rPr>
                  </w:pPr>
                  <w:r>
                    <w:rPr>
                      <w:color w:val="auto"/>
                      <w:sz w:val="18"/>
                      <w:szCs w:val="18"/>
                    </w:rPr>
                    <w:t>相符</w:t>
                  </w:r>
                </w:p>
              </w:tc>
            </w:tr>
            <w:tr w14:paraId="16C130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81" w:type="pct"/>
                  <w:vMerge w:val="continue"/>
                  <w:tcBorders>
                    <w:tl2br w:val="nil"/>
                    <w:tr2bl w:val="nil"/>
                  </w:tcBorders>
                  <w:vAlign w:val="center"/>
                </w:tcPr>
                <w:p w14:paraId="7902551D">
                  <w:pPr>
                    <w:jc w:val="center"/>
                    <w:rPr>
                      <w:color w:val="auto"/>
                      <w:sz w:val="18"/>
                      <w:szCs w:val="18"/>
                    </w:rPr>
                  </w:pPr>
                </w:p>
              </w:tc>
              <w:tc>
                <w:tcPr>
                  <w:tcW w:w="2402" w:type="pct"/>
                  <w:tcBorders>
                    <w:tl2br w:val="nil"/>
                    <w:tr2bl w:val="nil"/>
                  </w:tcBorders>
                  <w:vAlign w:val="center"/>
                </w:tcPr>
                <w:p w14:paraId="6988444D">
                  <w:pPr>
                    <w:widowControl/>
                    <w:jc w:val="left"/>
                    <w:rPr>
                      <w:color w:val="auto"/>
                      <w:sz w:val="18"/>
                      <w:szCs w:val="18"/>
                    </w:rPr>
                  </w:pPr>
                  <w:r>
                    <w:rPr>
                      <w:rFonts w:hint="eastAsia" w:ascii="宋体" w:hAnsi="宋体" w:cs="宋体"/>
                      <w:color w:val="auto"/>
                      <w:kern w:val="0"/>
                      <w:sz w:val="18"/>
                      <w:szCs w:val="18"/>
                      <w:lang w:bidi="ar"/>
                    </w:rPr>
                    <w:t>实验室单位应保证实验室废气收集和净化装置正常运行</w:t>
                  </w:r>
                  <w:r>
                    <w:rPr>
                      <w:rFonts w:hint="eastAsia"/>
                      <w:color w:val="auto"/>
                      <w:kern w:val="0"/>
                      <w:sz w:val="18"/>
                      <w:szCs w:val="18"/>
                      <w:lang w:bidi="ar"/>
                    </w:rPr>
                    <w:t>，</w:t>
                  </w:r>
                  <w:r>
                    <w:rPr>
                      <w:rFonts w:hint="eastAsia" w:ascii="宋体" w:hAnsi="宋体" w:cs="宋体"/>
                      <w:color w:val="auto"/>
                      <w:kern w:val="0"/>
                      <w:sz w:val="18"/>
                      <w:szCs w:val="18"/>
                      <w:lang w:bidi="ar"/>
                    </w:rPr>
                    <w:t>在条件许可的情况下可委托第三方进行专业化运维。</w:t>
                  </w:r>
                </w:p>
              </w:tc>
              <w:tc>
                <w:tcPr>
                  <w:tcW w:w="1938" w:type="pct"/>
                  <w:tcBorders>
                    <w:tl2br w:val="nil"/>
                    <w:tr2bl w:val="nil"/>
                  </w:tcBorders>
                  <w:vAlign w:val="center"/>
                </w:tcPr>
                <w:p w14:paraId="2BB12719">
                  <w:pPr>
                    <w:rPr>
                      <w:color w:val="auto"/>
                      <w:sz w:val="18"/>
                      <w:szCs w:val="18"/>
                    </w:rPr>
                  </w:pPr>
                  <w:r>
                    <w:rPr>
                      <w:rFonts w:hint="eastAsia" w:ascii="宋体" w:hAnsi="宋体" w:cs="宋体"/>
                      <w:color w:val="auto"/>
                      <w:kern w:val="0"/>
                      <w:sz w:val="18"/>
                      <w:szCs w:val="18"/>
                      <w:lang w:bidi="ar"/>
                    </w:rPr>
                    <w:t>实验室保证实验室废气收集和净化装置正常运行。</w:t>
                  </w:r>
                </w:p>
              </w:tc>
              <w:tc>
                <w:tcPr>
                  <w:tcW w:w="278" w:type="pct"/>
                  <w:tcBorders>
                    <w:tl2br w:val="nil"/>
                    <w:tr2bl w:val="nil"/>
                  </w:tcBorders>
                  <w:vAlign w:val="center"/>
                </w:tcPr>
                <w:p w14:paraId="4635BDDA">
                  <w:pPr>
                    <w:jc w:val="center"/>
                    <w:rPr>
                      <w:color w:val="auto"/>
                      <w:sz w:val="18"/>
                      <w:szCs w:val="18"/>
                    </w:rPr>
                  </w:pPr>
                  <w:r>
                    <w:rPr>
                      <w:color w:val="auto"/>
                      <w:sz w:val="18"/>
                      <w:szCs w:val="18"/>
                    </w:rPr>
                    <w:t>相符</w:t>
                  </w:r>
                </w:p>
              </w:tc>
            </w:tr>
          </w:tbl>
          <w:p w14:paraId="0C7D1C08">
            <w:pPr>
              <w:widowControl/>
              <w:spacing w:line="360" w:lineRule="auto"/>
              <w:ind w:firstLine="420" w:firstLineChars="200"/>
              <w:jc w:val="left"/>
              <w:rPr>
                <w:color w:val="auto"/>
                <w:szCs w:val="21"/>
              </w:rPr>
            </w:pPr>
            <w:r>
              <w:rPr>
                <w:rFonts w:hint="eastAsia" w:ascii="宋体" w:hAnsi="宋体" w:cs="宋体"/>
                <w:color w:val="auto"/>
                <w:kern w:val="0"/>
                <w:szCs w:val="21"/>
                <w:lang w:bidi="ar"/>
              </w:rPr>
              <w:t>本项目符合《实验室废气污染控制技术规范》（</w:t>
            </w:r>
            <w:r>
              <w:rPr>
                <w:color w:val="auto"/>
                <w:kern w:val="0"/>
                <w:szCs w:val="21"/>
                <w:lang w:bidi="ar"/>
              </w:rPr>
              <w:t>DB32/T 4455-2023</w:t>
            </w:r>
            <w:r>
              <w:rPr>
                <w:rFonts w:hint="eastAsia" w:ascii="宋体" w:hAnsi="宋体" w:cs="宋体"/>
                <w:color w:val="auto"/>
                <w:kern w:val="0"/>
                <w:szCs w:val="21"/>
                <w:lang w:bidi="ar"/>
              </w:rPr>
              <w:t>）的要求。</w:t>
            </w:r>
          </w:p>
          <w:p w14:paraId="46610AF8">
            <w:pPr>
              <w:numPr>
                <w:ilvl w:val="0"/>
                <w:numId w:val="4"/>
              </w:numPr>
              <w:autoSpaceDE w:val="0"/>
              <w:autoSpaceDN w:val="0"/>
              <w:adjustRightInd w:val="0"/>
              <w:snapToGrid w:val="0"/>
              <w:spacing w:line="360" w:lineRule="auto"/>
              <w:ind w:firstLine="446" w:firstLineChars="200"/>
              <w:rPr>
                <w:rFonts w:hint="eastAsia"/>
                <w:b/>
                <w:bCs/>
                <w:color w:val="0000FF"/>
                <w:spacing w:val="6"/>
                <w:szCs w:val="21"/>
                <w:shd w:val="clear" w:color="auto" w:fill="FFFFFF"/>
              </w:rPr>
            </w:pPr>
            <w:r>
              <w:rPr>
                <w:rFonts w:hint="eastAsia"/>
                <w:b/>
                <w:bCs/>
                <w:color w:val="0000FF"/>
                <w:spacing w:val="6"/>
                <w:szCs w:val="21"/>
                <w:shd w:val="clear" w:color="auto" w:fill="FFFFFF"/>
              </w:rPr>
              <w:t>与《关于印发&lt;江苏省“两高”项目管理目录（202</w:t>
            </w:r>
            <w:r>
              <w:rPr>
                <w:rFonts w:hint="eastAsia"/>
                <w:b/>
                <w:bCs/>
                <w:color w:val="0000FF"/>
                <w:spacing w:val="6"/>
                <w:szCs w:val="21"/>
                <w:shd w:val="clear" w:color="auto" w:fill="FFFFFF"/>
                <w:lang w:val="en-US" w:eastAsia="zh-CN"/>
              </w:rPr>
              <w:t>5</w:t>
            </w:r>
            <w:r>
              <w:rPr>
                <w:rFonts w:hint="eastAsia"/>
                <w:b/>
                <w:bCs/>
                <w:color w:val="0000FF"/>
                <w:spacing w:val="6"/>
                <w:szCs w:val="21"/>
                <w:shd w:val="clear" w:color="auto" w:fill="FFFFFF"/>
              </w:rPr>
              <w:t>年版）&gt;的通知》（苏发改规发〔202</w:t>
            </w:r>
            <w:r>
              <w:rPr>
                <w:rFonts w:hint="eastAsia"/>
                <w:b/>
                <w:bCs/>
                <w:color w:val="0000FF"/>
                <w:spacing w:val="6"/>
                <w:szCs w:val="21"/>
                <w:shd w:val="clear" w:color="auto" w:fill="FFFFFF"/>
                <w:lang w:val="en-US" w:eastAsia="zh-CN"/>
              </w:rPr>
              <w:t>5</w:t>
            </w:r>
            <w:r>
              <w:rPr>
                <w:rFonts w:hint="eastAsia"/>
                <w:b/>
                <w:bCs/>
                <w:color w:val="0000FF"/>
                <w:spacing w:val="6"/>
                <w:szCs w:val="21"/>
                <w:shd w:val="clear" w:color="auto" w:fill="FFFFFF"/>
              </w:rPr>
              <w:t>〕4号）相符性分析</w:t>
            </w:r>
          </w:p>
          <w:p w14:paraId="3907D600">
            <w:pPr>
              <w:numPr>
                <w:ilvl w:val="0"/>
                <w:numId w:val="0"/>
              </w:numPr>
              <w:autoSpaceDE w:val="0"/>
              <w:autoSpaceDN w:val="0"/>
              <w:adjustRightInd w:val="0"/>
              <w:snapToGrid w:val="0"/>
              <w:spacing w:line="360" w:lineRule="auto"/>
              <w:ind w:firstLine="444" w:firstLineChars="200"/>
              <w:rPr>
                <w:rFonts w:hint="eastAsia"/>
                <w:b w:val="0"/>
                <w:bCs w:val="0"/>
                <w:color w:val="0000FF"/>
                <w:spacing w:val="6"/>
                <w:szCs w:val="21"/>
                <w:shd w:val="clear" w:color="auto" w:fill="FFFFFF"/>
              </w:rPr>
            </w:pPr>
            <w:r>
              <w:rPr>
                <w:rFonts w:hint="eastAsia"/>
                <w:b w:val="0"/>
                <w:bCs w:val="0"/>
                <w:color w:val="0000FF"/>
                <w:spacing w:val="6"/>
                <w:szCs w:val="21"/>
                <w:shd w:val="clear" w:color="auto" w:fill="FFFFFF"/>
              </w:rPr>
              <w:t>对照《关于印发&lt;江苏省“两高”项目管理目录（202</w:t>
            </w:r>
            <w:r>
              <w:rPr>
                <w:rFonts w:hint="eastAsia"/>
                <w:b w:val="0"/>
                <w:bCs w:val="0"/>
                <w:color w:val="0000FF"/>
                <w:spacing w:val="6"/>
                <w:szCs w:val="21"/>
                <w:shd w:val="clear" w:color="auto" w:fill="FFFFFF"/>
                <w:lang w:val="en-US" w:eastAsia="zh-CN"/>
              </w:rPr>
              <w:t>5</w:t>
            </w:r>
            <w:r>
              <w:rPr>
                <w:rFonts w:hint="eastAsia"/>
                <w:b w:val="0"/>
                <w:bCs w:val="0"/>
                <w:color w:val="0000FF"/>
                <w:spacing w:val="6"/>
                <w:szCs w:val="21"/>
                <w:shd w:val="clear" w:color="auto" w:fill="FFFFFF"/>
              </w:rPr>
              <w:t>年版）&gt;的通知》（苏发改规发〔202</w:t>
            </w:r>
            <w:r>
              <w:rPr>
                <w:rFonts w:hint="eastAsia"/>
                <w:b w:val="0"/>
                <w:bCs w:val="0"/>
                <w:color w:val="0000FF"/>
                <w:spacing w:val="6"/>
                <w:szCs w:val="21"/>
                <w:shd w:val="clear" w:color="auto" w:fill="FFFFFF"/>
                <w:lang w:val="en-US" w:eastAsia="zh-CN"/>
              </w:rPr>
              <w:t>5</w:t>
            </w:r>
            <w:r>
              <w:rPr>
                <w:rFonts w:hint="eastAsia"/>
                <w:b w:val="0"/>
                <w:bCs w:val="0"/>
                <w:color w:val="0000FF"/>
                <w:spacing w:val="6"/>
                <w:szCs w:val="21"/>
                <w:shd w:val="clear" w:color="auto" w:fill="FFFFFF"/>
              </w:rPr>
              <w:t>〕</w:t>
            </w:r>
            <w:r>
              <w:rPr>
                <w:rFonts w:hint="eastAsia"/>
                <w:b w:val="0"/>
                <w:bCs w:val="0"/>
                <w:color w:val="0000FF"/>
                <w:spacing w:val="6"/>
                <w:szCs w:val="21"/>
                <w:shd w:val="clear" w:color="auto" w:fill="FFFFFF"/>
                <w:lang w:val="en-US" w:eastAsia="zh-CN"/>
              </w:rPr>
              <w:t>4</w:t>
            </w:r>
            <w:r>
              <w:rPr>
                <w:rFonts w:hint="eastAsia"/>
                <w:b w:val="0"/>
                <w:bCs w:val="0"/>
                <w:color w:val="0000FF"/>
                <w:spacing w:val="6"/>
                <w:szCs w:val="21"/>
                <w:shd w:val="clear" w:color="auto" w:fill="FFFFFF"/>
              </w:rPr>
              <w:t>号），本项目为</w:t>
            </w:r>
            <w:r>
              <w:rPr>
                <w:rFonts w:hint="eastAsia"/>
                <w:color w:val="0000FF"/>
                <w:spacing w:val="6"/>
                <w:szCs w:val="21"/>
                <w:shd w:val="clear" w:color="auto" w:fill="FFFFFF"/>
              </w:rPr>
              <w:t>工程和技术研究和试验发展</w:t>
            </w:r>
            <w:r>
              <w:rPr>
                <w:color w:val="0000FF"/>
                <w:spacing w:val="6"/>
                <w:szCs w:val="21"/>
                <w:shd w:val="clear" w:color="auto" w:fill="FFFFFF"/>
              </w:rPr>
              <w:t>，</w:t>
            </w:r>
            <w:r>
              <w:rPr>
                <w:rFonts w:hint="eastAsia"/>
                <w:b w:val="0"/>
                <w:bCs w:val="0"/>
                <w:color w:val="0000FF"/>
                <w:spacing w:val="6"/>
                <w:szCs w:val="21"/>
                <w:shd w:val="clear" w:color="auto" w:fill="FFFFFF"/>
              </w:rPr>
              <w:t>行业类别为</w:t>
            </w:r>
            <w:r>
              <w:rPr>
                <w:rFonts w:hint="eastAsia"/>
                <w:color w:val="0000FF"/>
                <w:spacing w:val="6"/>
                <w:szCs w:val="21"/>
                <w:shd w:val="clear" w:color="auto" w:fill="FFFFFF"/>
              </w:rPr>
              <w:t>M7320</w:t>
            </w:r>
            <w:r>
              <w:rPr>
                <w:rFonts w:hint="eastAsia"/>
                <w:b w:val="0"/>
                <w:bCs w:val="0"/>
                <w:color w:val="0000FF"/>
                <w:spacing w:val="6"/>
                <w:szCs w:val="21"/>
                <w:shd w:val="clear" w:color="auto" w:fill="FFFFFF"/>
              </w:rPr>
              <w:t>，不属于两高项目。</w:t>
            </w:r>
          </w:p>
          <w:p w14:paraId="24F62E95">
            <w:pPr>
              <w:numPr>
                <w:ilvl w:val="0"/>
                <w:numId w:val="4"/>
              </w:numPr>
              <w:autoSpaceDE w:val="0"/>
              <w:autoSpaceDN w:val="0"/>
              <w:adjustRightInd w:val="0"/>
              <w:snapToGrid w:val="0"/>
              <w:spacing w:line="360" w:lineRule="auto"/>
              <w:ind w:left="0" w:leftChars="0" w:firstLine="446" w:firstLineChars="200"/>
              <w:rPr>
                <w:rFonts w:hint="eastAsia"/>
                <w:b/>
                <w:bCs/>
                <w:color w:val="0000FF"/>
                <w:spacing w:val="6"/>
                <w:szCs w:val="21"/>
                <w:shd w:val="clear" w:color="auto" w:fill="FFFFFF"/>
                <w:lang w:val="en-US" w:eastAsia="zh-CN"/>
              </w:rPr>
            </w:pPr>
            <w:r>
              <w:rPr>
                <w:rFonts w:hint="eastAsia"/>
                <w:b/>
                <w:bCs/>
                <w:color w:val="0000FF"/>
                <w:spacing w:val="6"/>
                <w:szCs w:val="21"/>
                <w:shd w:val="clear" w:color="auto" w:fill="FFFFFF"/>
                <w:lang w:val="en-US" w:eastAsia="zh-CN"/>
              </w:rPr>
              <w:t>与《江苏省工业废水与生活污水分质处理工作推进方案》（苏环办〔2023〕144 号）相符性分析</w:t>
            </w:r>
          </w:p>
          <w:p w14:paraId="4C1BE356">
            <w:pPr>
              <w:numPr>
                <w:ilvl w:val="0"/>
                <w:numId w:val="0"/>
              </w:numPr>
              <w:autoSpaceDE w:val="0"/>
              <w:autoSpaceDN w:val="0"/>
              <w:adjustRightInd w:val="0"/>
              <w:snapToGrid w:val="0"/>
              <w:spacing w:line="360" w:lineRule="auto"/>
              <w:ind w:firstLine="444" w:firstLineChars="200"/>
              <w:rPr>
                <w:rFonts w:hint="eastAsia"/>
                <w:b w:val="0"/>
                <w:bCs w:val="0"/>
                <w:color w:val="0000FF"/>
                <w:spacing w:val="6"/>
                <w:szCs w:val="21"/>
                <w:shd w:val="clear" w:color="auto" w:fill="FFFFFF"/>
                <w:lang w:val="en-US" w:eastAsia="zh-CN"/>
              </w:rPr>
            </w:pPr>
            <w:r>
              <w:rPr>
                <w:rFonts w:hint="eastAsia"/>
                <w:b w:val="0"/>
                <w:bCs w:val="0"/>
                <w:color w:val="0000FF"/>
                <w:spacing w:val="6"/>
                <w:szCs w:val="21"/>
                <w:shd w:val="clear" w:color="auto" w:fill="FFFFFF"/>
                <w:lang w:val="en-US" w:eastAsia="zh-CN"/>
              </w:rPr>
              <w:t>根据《江苏省工业废水与生活污水分质处理工作推进方案》（苏环办〔2023〕144 号）中“以习近平生态文明思想为指导，以持续改善水生态环境质量为核心，坚持精准、科学、依法治污，充分结合城镇污水处理提质增效、工业园区水污染整治专项行动等工作，全面推进江苏省城镇污水处理厂纳管工业废水分质处理，加快补齐工业废水集中收集处理短板，规范工业企业废水排放管理，建立健全科学高效、权责清晰、管理规范的工业废水排放监管体系，有效防控水环境风险，切实提升城镇污水处理厂处理效能和安全稳定运行保障水平，促进尾水和污泥资源化利用，为经济社会高质量发展提供有力支撑。”</w:t>
            </w:r>
          </w:p>
          <w:p w14:paraId="346A8BB2">
            <w:pPr>
              <w:numPr>
                <w:ilvl w:val="0"/>
                <w:numId w:val="0"/>
              </w:numPr>
              <w:autoSpaceDE w:val="0"/>
              <w:autoSpaceDN w:val="0"/>
              <w:adjustRightInd w:val="0"/>
              <w:snapToGrid w:val="0"/>
              <w:spacing w:line="360" w:lineRule="auto"/>
              <w:ind w:firstLine="444" w:firstLineChars="200"/>
              <w:rPr>
                <w:rFonts w:hint="eastAsia"/>
                <w:b w:val="0"/>
                <w:bCs w:val="0"/>
                <w:color w:val="0000FF"/>
                <w:spacing w:val="6"/>
                <w:szCs w:val="21"/>
                <w:shd w:val="clear" w:color="auto" w:fill="FFFFFF"/>
                <w:lang w:val="en-US" w:eastAsia="zh-CN"/>
              </w:rPr>
            </w:pPr>
            <w:r>
              <w:rPr>
                <w:rFonts w:hint="eastAsia"/>
                <w:b w:val="0"/>
                <w:bCs w:val="0"/>
                <w:color w:val="0000FF"/>
                <w:spacing w:val="6"/>
                <w:szCs w:val="21"/>
                <w:shd w:val="clear" w:color="auto" w:fill="FFFFFF"/>
                <w:lang w:val="en-US" w:eastAsia="zh-CN"/>
              </w:rPr>
              <w:t>本项目外排废水为生活污水和后道清洗废水，本项目生活污水经化粪池处理后、后道清洗废水经厂区污水处理设施预处理后接管至海安李堡滇池水务有限公司处理，后道清洗废水</w:t>
            </w:r>
            <w:r>
              <w:rPr>
                <w:rFonts w:hint="eastAsia"/>
                <w:b w:val="0"/>
                <w:bCs w:val="0"/>
                <w:color w:val="0000FF"/>
                <w:sz w:val="21"/>
                <w:szCs w:val="21"/>
              </w:rPr>
              <w:t>水质简单，经预处理后能够达到污水处理厂接管标准，</w:t>
            </w:r>
            <w:r>
              <w:rPr>
                <w:rFonts w:hint="eastAsia"/>
                <w:b w:val="0"/>
                <w:bCs w:val="0"/>
                <w:color w:val="0000FF"/>
                <w:spacing w:val="6"/>
                <w:szCs w:val="21"/>
                <w:shd w:val="clear" w:color="auto" w:fill="FFFFFF"/>
                <w:lang w:val="en-US" w:eastAsia="zh-CN"/>
              </w:rPr>
              <w:t>符合《江苏省工业废水与生活污水分质处理工作推进方案》中相关要求。</w:t>
            </w:r>
          </w:p>
          <w:p w14:paraId="4BF7CAA7">
            <w:pPr>
              <w:autoSpaceDE w:val="0"/>
              <w:autoSpaceDN w:val="0"/>
              <w:adjustRightInd w:val="0"/>
              <w:snapToGrid w:val="0"/>
              <w:spacing w:line="360" w:lineRule="auto"/>
              <w:ind w:firstLine="446" w:firstLineChars="200"/>
              <w:rPr>
                <w:rFonts w:hint="default"/>
                <w:b/>
                <w:bCs/>
                <w:color w:val="0000FF"/>
                <w:spacing w:val="6"/>
                <w:szCs w:val="21"/>
                <w:shd w:val="clear" w:color="auto" w:fill="FFFFFF"/>
                <w:lang w:val="en-US" w:eastAsia="zh-CN"/>
              </w:rPr>
            </w:pPr>
            <w:r>
              <w:rPr>
                <w:rFonts w:hint="eastAsia"/>
                <w:b/>
                <w:bCs/>
                <w:color w:val="0000FF"/>
                <w:spacing w:val="6"/>
                <w:szCs w:val="21"/>
                <w:shd w:val="clear" w:color="auto" w:fill="FFFFFF"/>
                <w:lang w:val="en-US" w:eastAsia="zh-CN"/>
              </w:rPr>
              <w:t>16.与《市政府关于印发南通市空气质量持续改善行动计划实施方案的通知》（通政发〔2024〕24 号）相符性分析</w:t>
            </w:r>
          </w:p>
          <w:p w14:paraId="7C3F7C47">
            <w:pPr>
              <w:autoSpaceDE w:val="0"/>
              <w:autoSpaceDN w:val="0"/>
              <w:adjustRightInd w:val="0"/>
              <w:snapToGrid w:val="0"/>
              <w:spacing w:line="360" w:lineRule="auto"/>
              <w:ind w:firstLine="444" w:firstLineChars="200"/>
              <w:rPr>
                <w:rFonts w:hint="eastAsia"/>
                <w:b w:val="0"/>
                <w:bCs w:val="0"/>
                <w:color w:val="0000FF"/>
                <w:spacing w:val="6"/>
                <w:szCs w:val="21"/>
                <w:shd w:val="clear" w:color="auto" w:fill="FFFFFF"/>
                <w:lang w:val="en-US" w:eastAsia="zh-CN"/>
              </w:rPr>
            </w:pPr>
            <w:r>
              <w:rPr>
                <w:rFonts w:hint="eastAsia"/>
                <w:b w:val="0"/>
                <w:bCs w:val="0"/>
                <w:color w:val="0000FF"/>
                <w:spacing w:val="6"/>
                <w:szCs w:val="21"/>
                <w:shd w:val="clear" w:color="auto" w:fill="FFFFFF"/>
                <w:lang w:val="en-US" w:eastAsia="zh-CN"/>
              </w:rPr>
              <w:t>根据《市政府关于印发南通市空气质量持续改善行动计划实施方案的通知》（通政发[2024]24 号），“（一）坚决遏制“两高一低”项目盲目上马。（二）加快退出重点行业落后产能。（三）推进园区、产业集群绿色低碳化改造与综合整治。（四）优化含VOCs原辅材料和产品结构。（五）严格合理控制煤炭消费总量。（六）推进燃煤锅炉关停整合和工业炉窑清洁能源替代。”</w:t>
            </w:r>
          </w:p>
          <w:p w14:paraId="55C9A674">
            <w:pPr>
              <w:numPr>
                <w:ilvl w:val="0"/>
                <w:numId w:val="0"/>
              </w:numPr>
              <w:autoSpaceDE w:val="0"/>
              <w:autoSpaceDN w:val="0"/>
              <w:adjustRightInd w:val="0"/>
              <w:snapToGrid w:val="0"/>
              <w:spacing w:line="360" w:lineRule="auto"/>
              <w:ind w:firstLine="444" w:firstLineChars="200"/>
              <w:rPr>
                <w:rFonts w:hint="default" w:eastAsia="宋体"/>
                <w:b w:val="0"/>
                <w:bCs w:val="0"/>
                <w:color w:val="0000FF"/>
                <w:spacing w:val="6"/>
                <w:szCs w:val="21"/>
                <w:shd w:val="clear" w:color="auto" w:fill="FFFFFF"/>
                <w:lang w:val="en-US" w:eastAsia="zh-CN"/>
              </w:rPr>
            </w:pPr>
            <w:r>
              <w:rPr>
                <w:rFonts w:hint="eastAsia"/>
                <w:b w:val="0"/>
                <w:bCs w:val="0"/>
                <w:color w:val="0000FF"/>
                <w:spacing w:val="6"/>
                <w:szCs w:val="21"/>
                <w:shd w:val="clear" w:color="auto" w:fill="FFFFFF"/>
              </w:rPr>
              <w:t>本项目为</w:t>
            </w:r>
            <w:r>
              <w:rPr>
                <w:rFonts w:hint="eastAsia"/>
                <w:color w:val="0000FF"/>
                <w:spacing w:val="6"/>
                <w:szCs w:val="21"/>
                <w:shd w:val="clear" w:color="auto" w:fill="FFFFFF"/>
              </w:rPr>
              <w:t>工程和技术研究和试验发展</w:t>
            </w:r>
            <w:r>
              <w:rPr>
                <w:color w:val="0000FF"/>
                <w:spacing w:val="6"/>
                <w:szCs w:val="21"/>
                <w:shd w:val="clear" w:color="auto" w:fill="FFFFFF"/>
              </w:rPr>
              <w:t>，</w:t>
            </w:r>
            <w:r>
              <w:rPr>
                <w:rFonts w:hint="eastAsia"/>
                <w:b w:val="0"/>
                <w:bCs w:val="0"/>
                <w:color w:val="0000FF"/>
                <w:spacing w:val="6"/>
                <w:szCs w:val="21"/>
                <w:shd w:val="clear" w:color="auto" w:fill="FFFFFF"/>
              </w:rPr>
              <w:t>行业类别为</w:t>
            </w:r>
            <w:r>
              <w:rPr>
                <w:rFonts w:hint="eastAsia"/>
                <w:color w:val="0000FF"/>
                <w:spacing w:val="6"/>
                <w:szCs w:val="21"/>
                <w:shd w:val="clear" w:color="auto" w:fill="FFFFFF"/>
              </w:rPr>
              <w:t>M7320</w:t>
            </w:r>
            <w:r>
              <w:rPr>
                <w:rFonts w:hint="eastAsia"/>
                <w:b w:val="0"/>
                <w:bCs w:val="0"/>
                <w:color w:val="0000FF"/>
                <w:spacing w:val="6"/>
                <w:szCs w:val="21"/>
                <w:shd w:val="clear" w:color="auto" w:fill="FFFFFF"/>
              </w:rPr>
              <w:t xml:space="preserve"> ，不属于两高项目。</w:t>
            </w:r>
            <w:r>
              <w:rPr>
                <w:rFonts w:hint="eastAsia"/>
                <w:b w:val="0"/>
                <w:bCs w:val="0"/>
                <w:color w:val="0000FF"/>
                <w:spacing w:val="6"/>
                <w:szCs w:val="21"/>
                <w:shd w:val="clear" w:color="auto" w:fill="FFFFFF"/>
                <w:lang w:val="en-US" w:eastAsia="zh-CN"/>
              </w:rPr>
              <w:t>本项目不涉及涂料、油墨、胶粘剂、清洗剂等，不使用锅炉、工业炉窑，符合《市政府关于印发南通市空气质量持续改善行动计划实施方案的通知》中相关要求。</w:t>
            </w:r>
          </w:p>
          <w:p w14:paraId="36A90EC9">
            <w:pPr>
              <w:autoSpaceDE w:val="0"/>
              <w:autoSpaceDN w:val="0"/>
              <w:adjustRightInd w:val="0"/>
              <w:snapToGrid w:val="0"/>
              <w:spacing w:line="360" w:lineRule="auto"/>
              <w:ind w:firstLine="446" w:firstLineChars="200"/>
              <w:rPr>
                <w:b/>
                <w:bCs/>
                <w:color w:val="auto"/>
                <w:spacing w:val="6"/>
                <w:szCs w:val="21"/>
                <w:shd w:val="clear" w:color="auto" w:fill="FFFFFF"/>
              </w:rPr>
            </w:pPr>
            <w:r>
              <w:rPr>
                <w:rFonts w:hint="eastAsia"/>
                <w:b/>
                <w:bCs/>
                <w:color w:val="auto"/>
                <w:spacing w:val="6"/>
                <w:szCs w:val="21"/>
                <w:shd w:val="clear" w:color="auto" w:fill="FFFFFF"/>
                <w:lang w:val="en-US" w:eastAsia="zh-CN"/>
              </w:rPr>
              <w:t>17.</w:t>
            </w:r>
            <w:r>
              <w:rPr>
                <w:b/>
                <w:bCs/>
                <w:color w:val="auto"/>
                <w:spacing w:val="6"/>
                <w:szCs w:val="21"/>
                <w:shd w:val="clear" w:color="auto" w:fill="FFFFFF"/>
              </w:rPr>
              <w:t>与挥发性有机物相关文件相符性分析</w:t>
            </w:r>
          </w:p>
          <w:p w14:paraId="6CEF6641">
            <w:pPr>
              <w:autoSpaceDE w:val="0"/>
              <w:autoSpaceDN w:val="0"/>
              <w:adjustRightInd w:val="0"/>
              <w:snapToGrid w:val="0"/>
              <w:jc w:val="center"/>
              <w:rPr>
                <w:b/>
                <w:bCs/>
                <w:color w:val="auto"/>
                <w:spacing w:val="6"/>
                <w:szCs w:val="21"/>
                <w:shd w:val="clear" w:color="auto" w:fill="FFFFFF"/>
              </w:rPr>
            </w:pPr>
            <w:r>
              <w:rPr>
                <w:b/>
                <w:bCs/>
                <w:color w:val="auto"/>
                <w:spacing w:val="6"/>
                <w:szCs w:val="21"/>
                <w:shd w:val="clear" w:color="auto" w:fill="FFFFFF"/>
              </w:rPr>
              <w:t>表1-</w:t>
            </w:r>
            <w:r>
              <w:rPr>
                <w:rFonts w:hint="eastAsia"/>
                <w:b/>
                <w:bCs/>
                <w:color w:val="auto"/>
                <w:spacing w:val="6"/>
                <w:szCs w:val="21"/>
                <w:shd w:val="clear" w:color="auto" w:fill="FFFFFF"/>
              </w:rPr>
              <w:t>10</w:t>
            </w:r>
            <w:r>
              <w:rPr>
                <w:b/>
                <w:bCs/>
                <w:color w:val="auto"/>
                <w:spacing w:val="6"/>
                <w:szCs w:val="21"/>
                <w:shd w:val="clear" w:color="auto" w:fill="FFFFFF"/>
              </w:rPr>
              <w:t xml:space="preserve"> 与挥发性有机物相关文件相符性的相符性分析</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515"/>
              <w:gridCol w:w="1447"/>
              <w:gridCol w:w="3231"/>
              <w:gridCol w:w="1949"/>
              <w:gridCol w:w="679"/>
            </w:tblGrid>
            <w:tr w14:paraId="466E33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96" w:hRule="atLeast"/>
                <w:jc w:val="center"/>
              </w:trPr>
              <w:tc>
                <w:tcPr>
                  <w:tcW w:w="329" w:type="pct"/>
                  <w:vAlign w:val="center"/>
                </w:tcPr>
                <w:p w14:paraId="3732C021">
                  <w:pPr>
                    <w:pStyle w:val="5"/>
                    <w:adjustRightInd w:val="0"/>
                    <w:snapToGrid w:val="0"/>
                    <w:ind w:firstLine="0" w:firstLineChars="0"/>
                    <w:jc w:val="center"/>
                    <w:rPr>
                      <w:b/>
                      <w:bCs/>
                      <w:color w:val="auto"/>
                      <w:sz w:val="18"/>
                      <w:szCs w:val="18"/>
                    </w:rPr>
                  </w:pPr>
                  <w:r>
                    <w:rPr>
                      <w:b/>
                      <w:bCs/>
                      <w:color w:val="auto"/>
                      <w:sz w:val="18"/>
                      <w:szCs w:val="18"/>
                    </w:rPr>
                    <w:t>序号</w:t>
                  </w:r>
                </w:p>
              </w:tc>
              <w:tc>
                <w:tcPr>
                  <w:tcW w:w="925" w:type="pct"/>
                  <w:vAlign w:val="center"/>
                </w:tcPr>
                <w:p w14:paraId="310176D9">
                  <w:pPr>
                    <w:pStyle w:val="5"/>
                    <w:adjustRightInd w:val="0"/>
                    <w:snapToGrid w:val="0"/>
                    <w:ind w:firstLine="0" w:firstLineChars="0"/>
                    <w:jc w:val="center"/>
                    <w:rPr>
                      <w:b/>
                      <w:bCs/>
                      <w:color w:val="auto"/>
                      <w:sz w:val="18"/>
                      <w:szCs w:val="18"/>
                    </w:rPr>
                  </w:pPr>
                  <w:r>
                    <w:rPr>
                      <w:b/>
                      <w:bCs/>
                      <w:color w:val="auto"/>
                      <w:sz w:val="18"/>
                      <w:szCs w:val="18"/>
                    </w:rPr>
                    <w:t>与挥发性有机物相关文件</w:t>
                  </w:r>
                </w:p>
              </w:tc>
              <w:tc>
                <w:tcPr>
                  <w:tcW w:w="2065" w:type="pct"/>
                  <w:vAlign w:val="center"/>
                </w:tcPr>
                <w:p w14:paraId="203939E7">
                  <w:pPr>
                    <w:pStyle w:val="5"/>
                    <w:adjustRightInd w:val="0"/>
                    <w:snapToGrid w:val="0"/>
                    <w:ind w:firstLine="0" w:firstLineChars="0"/>
                    <w:jc w:val="center"/>
                    <w:rPr>
                      <w:b/>
                      <w:bCs/>
                      <w:color w:val="auto"/>
                      <w:sz w:val="18"/>
                      <w:szCs w:val="18"/>
                    </w:rPr>
                  </w:pPr>
                  <w:r>
                    <w:rPr>
                      <w:b/>
                      <w:bCs/>
                      <w:color w:val="auto"/>
                      <w:sz w:val="18"/>
                      <w:szCs w:val="18"/>
                    </w:rPr>
                    <w:t>要求</w:t>
                  </w:r>
                </w:p>
              </w:tc>
              <w:tc>
                <w:tcPr>
                  <w:tcW w:w="1246" w:type="pct"/>
                  <w:vAlign w:val="center"/>
                </w:tcPr>
                <w:p w14:paraId="4E6F08F1">
                  <w:pPr>
                    <w:pStyle w:val="5"/>
                    <w:adjustRightInd w:val="0"/>
                    <w:snapToGrid w:val="0"/>
                    <w:ind w:firstLine="0" w:firstLineChars="0"/>
                    <w:jc w:val="center"/>
                    <w:rPr>
                      <w:b/>
                      <w:bCs/>
                      <w:color w:val="auto"/>
                      <w:sz w:val="18"/>
                      <w:szCs w:val="18"/>
                    </w:rPr>
                  </w:pPr>
                  <w:r>
                    <w:rPr>
                      <w:b/>
                      <w:bCs/>
                      <w:color w:val="auto"/>
                      <w:sz w:val="18"/>
                      <w:szCs w:val="18"/>
                    </w:rPr>
                    <w:t>本项目情况</w:t>
                  </w:r>
                </w:p>
              </w:tc>
              <w:tc>
                <w:tcPr>
                  <w:tcW w:w="434" w:type="pct"/>
                  <w:vAlign w:val="center"/>
                </w:tcPr>
                <w:p w14:paraId="14B6DDF8">
                  <w:pPr>
                    <w:pStyle w:val="5"/>
                    <w:adjustRightInd w:val="0"/>
                    <w:snapToGrid w:val="0"/>
                    <w:ind w:firstLine="0" w:firstLineChars="0"/>
                    <w:jc w:val="center"/>
                    <w:rPr>
                      <w:b/>
                      <w:bCs/>
                      <w:color w:val="auto"/>
                      <w:sz w:val="18"/>
                      <w:szCs w:val="18"/>
                    </w:rPr>
                  </w:pPr>
                  <w:r>
                    <w:rPr>
                      <w:b/>
                      <w:bCs/>
                      <w:color w:val="auto"/>
                      <w:sz w:val="18"/>
                      <w:szCs w:val="18"/>
                    </w:rPr>
                    <w:t>相符性</w:t>
                  </w:r>
                </w:p>
              </w:tc>
            </w:tr>
            <w:tr w14:paraId="386894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117" w:hRule="atLeast"/>
                <w:jc w:val="center"/>
              </w:trPr>
              <w:tc>
                <w:tcPr>
                  <w:tcW w:w="329" w:type="pct"/>
                  <w:vAlign w:val="center"/>
                </w:tcPr>
                <w:p w14:paraId="0CB8EA78">
                  <w:pPr>
                    <w:pStyle w:val="5"/>
                    <w:adjustRightInd w:val="0"/>
                    <w:snapToGrid w:val="0"/>
                    <w:ind w:firstLine="0" w:firstLineChars="0"/>
                    <w:jc w:val="center"/>
                    <w:rPr>
                      <w:color w:val="auto"/>
                      <w:sz w:val="18"/>
                      <w:szCs w:val="18"/>
                    </w:rPr>
                  </w:pPr>
                  <w:r>
                    <w:rPr>
                      <w:color w:val="auto"/>
                      <w:sz w:val="18"/>
                      <w:szCs w:val="18"/>
                    </w:rPr>
                    <w:t>1</w:t>
                  </w:r>
                </w:p>
              </w:tc>
              <w:tc>
                <w:tcPr>
                  <w:tcW w:w="925" w:type="pct"/>
                  <w:vAlign w:val="center"/>
                </w:tcPr>
                <w:p w14:paraId="2D07C4B4">
                  <w:pPr>
                    <w:pStyle w:val="5"/>
                    <w:adjustRightInd w:val="0"/>
                    <w:snapToGrid w:val="0"/>
                    <w:ind w:firstLine="0" w:firstLineChars="0"/>
                    <w:jc w:val="center"/>
                    <w:rPr>
                      <w:color w:val="auto"/>
                      <w:sz w:val="18"/>
                      <w:szCs w:val="18"/>
                    </w:rPr>
                  </w:pPr>
                  <w:r>
                    <w:rPr>
                      <w:color w:val="auto"/>
                      <w:sz w:val="18"/>
                      <w:szCs w:val="18"/>
                    </w:rPr>
                    <w:t>《南通市2021年深入打好污染防治攻坚战工作计划》（通政办发〔2021〕16号）</w:t>
                  </w:r>
                </w:p>
              </w:tc>
              <w:tc>
                <w:tcPr>
                  <w:tcW w:w="2065" w:type="pct"/>
                  <w:vAlign w:val="center"/>
                </w:tcPr>
                <w:p w14:paraId="1E11EF54">
                  <w:pPr>
                    <w:pStyle w:val="5"/>
                    <w:adjustRightInd w:val="0"/>
                    <w:snapToGrid w:val="0"/>
                    <w:ind w:firstLine="0" w:firstLineChars="0"/>
                    <w:jc w:val="center"/>
                    <w:rPr>
                      <w:color w:val="auto"/>
                      <w:sz w:val="18"/>
                      <w:szCs w:val="18"/>
                    </w:rPr>
                  </w:pPr>
                  <w:r>
                    <w:rPr>
                      <w:color w:val="auto"/>
                      <w:sz w:val="18"/>
                      <w:szCs w:val="18"/>
                    </w:rPr>
                    <w:t>12.严格执行产品有害物质含量限值强制性标准。全面执行各类涂料、胶黏剂、清洗剂等产品有害物质含量限值相关强制性国家标准，开展相关强制性质量标准实施情况监督抽查。13.大力推进源头替代。以减少苯、甲苯、二甲苯等溶剂和助剂的使用为重点，推进低VOCs含量、低反应活性原辅材料和产品的替代。禁止建设生产和使用高VOCs含量的溶剂型涂料、油墨、胶黏剂等项目。</w:t>
                  </w:r>
                </w:p>
              </w:tc>
              <w:tc>
                <w:tcPr>
                  <w:tcW w:w="1246" w:type="pct"/>
                  <w:vMerge w:val="restart"/>
                  <w:vAlign w:val="center"/>
                </w:tcPr>
                <w:p w14:paraId="31173D5D">
                  <w:pPr>
                    <w:pStyle w:val="5"/>
                    <w:adjustRightInd w:val="0"/>
                    <w:snapToGrid w:val="0"/>
                    <w:ind w:firstLine="0" w:firstLineChars="0"/>
                    <w:jc w:val="center"/>
                    <w:rPr>
                      <w:color w:val="auto"/>
                      <w:sz w:val="18"/>
                      <w:szCs w:val="18"/>
                    </w:rPr>
                  </w:pPr>
                  <w:r>
                    <w:rPr>
                      <w:color w:val="auto"/>
                      <w:sz w:val="18"/>
                      <w:szCs w:val="18"/>
                    </w:rPr>
                    <w:t>本项目不属于重点行业，</w:t>
                  </w:r>
                </w:p>
                <w:p w14:paraId="6399D613">
                  <w:pPr>
                    <w:pStyle w:val="5"/>
                    <w:adjustRightInd w:val="0"/>
                    <w:snapToGrid w:val="0"/>
                    <w:ind w:firstLine="0" w:firstLineChars="0"/>
                    <w:jc w:val="center"/>
                    <w:rPr>
                      <w:color w:val="auto"/>
                      <w:sz w:val="18"/>
                      <w:szCs w:val="18"/>
                    </w:rPr>
                  </w:pPr>
                  <w:r>
                    <w:rPr>
                      <w:rFonts w:hint="eastAsia"/>
                      <w:color w:val="auto"/>
                      <w:sz w:val="18"/>
                      <w:szCs w:val="18"/>
                    </w:rPr>
                    <w:t>实验研发和检测工序产生的废气</w:t>
                  </w:r>
                  <w:r>
                    <w:rPr>
                      <w:color w:val="auto"/>
                      <w:sz w:val="18"/>
                      <w:szCs w:val="18"/>
                    </w:rPr>
                    <w:t>收集后采用</w:t>
                  </w:r>
                  <w:r>
                    <w:rPr>
                      <w:rFonts w:hint="eastAsia"/>
                      <w:color w:val="auto"/>
                      <w:sz w:val="18"/>
                      <w:szCs w:val="18"/>
                    </w:rPr>
                    <w:t>水喷淋+除雾器+二级活性炭吸附装置</w:t>
                  </w:r>
                  <w:r>
                    <w:rPr>
                      <w:color w:val="auto"/>
                      <w:sz w:val="18"/>
                      <w:szCs w:val="18"/>
                    </w:rPr>
                    <w:t>处理有机废气。</w:t>
                  </w:r>
                  <w:r>
                    <w:rPr>
                      <w:rFonts w:hint="eastAsia"/>
                      <w:color w:val="auto"/>
                      <w:sz w:val="18"/>
                      <w:szCs w:val="18"/>
                    </w:rPr>
                    <w:t>危废库贮存废气</w:t>
                  </w:r>
                  <w:r>
                    <w:rPr>
                      <w:color w:val="auto"/>
                      <w:sz w:val="18"/>
                      <w:szCs w:val="18"/>
                    </w:rPr>
                    <w:t>收集后</w:t>
                  </w:r>
                  <w:r>
                    <w:rPr>
                      <w:rFonts w:hint="eastAsia"/>
                      <w:color w:val="auto"/>
                      <w:sz w:val="18"/>
                      <w:szCs w:val="18"/>
                    </w:rPr>
                    <w:t>采用活性炭吸附装置</w:t>
                  </w:r>
                  <w:r>
                    <w:rPr>
                      <w:color w:val="auto"/>
                      <w:sz w:val="18"/>
                      <w:szCs w:val="18"/>
                    </w:rPr>
                    <w:t>处理有机废气。</w:t>
                  </w:r>
                </w:p>
              </w:tc>
              <w:tc>
                <w:tcPr>
                  <w:tcW w:w="434" w:type="pct"/>
                  <w:vAlign w:val="center"/>
                </w:tcPr>
                <w:p w14:paraId="1FB68713">
                  <w:pPr>
                    <w:pStyle w:val="5"/>
                    <w:adjustRightInd w:val="0"/>
                    <w:snapToGrid w:val="0"/>
                    <w:ind w:firstLine="0" w:firstLineChars="0"/>
                    <w:jc w:val="center"/>
                    <w:rPr>
                      <w:color w:val="auto"/>
                      <w:sz w:val="18"/>
                      <w:szCs w:val="18"/>
                    </w:rPr>
                  </w:pPr>
                  <w:r>
                    <w:rPr>
                      <w:color w:val="auto"/>
                      <w:sz w:val="18"/>
                      <w:szCs w:val="18"/>
                    </w:rPr>
                    <w:t>相符</w:t>
                  </w:r>
                </w:p>
              </w:tc>
            </w:tr>
            <w:tr w14:paraId="6DF15A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686" w:hRule="atLeast"/>
                <w:jc w:val="center"/>
              </w:trPr>
              <w:tc>
                <w:tcPr>
                  <w:tcW w:w="329" w:type="pct"/>
                  <w:vAlign w:val="center"/>
                </w:tcPr>
                <w:p w14:paraId="1F089B79">
                  <w:pPr>
                    <w:pStyle w:val="5"/>
                    <w:adjustRightInd w:val="0"/>
                    <w:snapToGrid w:val="0"/>
                    <w:ind w:firstLine="0" w:firstLineChars="0"/>
                    <w:jc w:val="center"/>
                    <w:rPr>
                      <w:color w:val="auto"/>
                      <w:sz w:val="18"/>
                      <w:szCs w:val="18"/>
                    </w:rPr>
                  </w:pPr>
                  <w:r>
                    <w:rPr>
                      <w:color w:val="auto"/>
                      <w:sz w:val="18"/>
                      <w:szCs w:val="18"/>
                    </w:rPr>
                    <w:t>2</w:t>
                  </w:r>
                </w:p>
              </w:tc>
              <w:tc>
                <w:tcPr>
                  <w:tcW w:w="925" w:type="pct"/>
                  <w:vAlign w:val="center"/>
                </w:tcPr>
                <w:p w14:paraId="28413BBD">
                  <w:pPr>
                    <w:pStyle w:val="5"/>
                    <w:adjustRightInd w:val="0"/>
                    <w:snapToGrid w:val="0"/>
                    <w:ind w:firstLine="0" w:firstLineChars="0"/>
                    <w:jc w:val="center"/>
                    <w:rPr>
                      <w:color w:val="auto"/>
                      <w:sz w:val="18"/>
                      <w:szCs w:val="18"/>
                    </w:rPr>
                  </w:pPr>
                  <w:r>
                    <w:rPr>
                      <w:color w:val="auto"/>
                      <w:kern w:val="0"/>
                      <w:sz w:val="18"/>
                      <w:szCs w:val="18"/>
                    </w:rPr>
                    <w:t>《江苏省挥发性有机物清洁原料替代工作方案》的通知（苏大气办〔2021〕2号）</w:t>
                  </w:r>
                </w:p>
              </w:tc>
              <w:tc>
                <w:tcPr>
                  <w:tcW w:w="2065" w:type="pct"/>
                  <w:vAlign w:val="center"/>
                </w:tcPr>
                <w:p w14:paraId="699D7FC6">
                  <w:pPr>
                    <w:pStyle w:val="5"/>
                    <w:adjustRightInd w:val="0"/>
                    <w:snapToGrid w:val="0"/>
                    <w:ind w:firstLine="0" w:firstLineChars="0"/>
                    <w:jc w:val="center"/>
                    <w:rPr>
                      <w:color w:val="auto"/>
                      <w:sz w:val="18"/>
                      <w:szCs w:val="18"/>
                    </w:rPr>
                  </w:pPr>
                  <w:r>
                    <w:rPr>
                      <w:color w:val="auto"/>
                      <w:kern w:val="0"/>
                      <w:sz w:val="18"/>
                      <w:szCs w:val="18"/>
                    </w:rPr>
                    <w:t>（二）严格准入条件。禁止建设生产和使用高VOCs含量的涂料、油墨、胶黏剂等项目。2021年起，全省工业涂装、包装印刷、纺织、木材加工等行业以及涂料、油墨等企业的新（改、扩）建项目需满足低（无）VOCs含量限值要求。省内市场上流通的水性涂料等低挥发性有机物含量涂料产品，</w:t>
                  </w:r>
                  <w:r>
                    <w:rPr>
                      <w:color w:val="auto"/>
                      <w:sz w:val="18"/>
                      <w:szCs w:val="18"/>
                      <w:shd w:val="clear" w:color="auto" w:fill="FFFFFF"/>
                    </w:rPr>
                    <w:t>执行国家《低挥发性有机化合物含量涂料产品技术要求》（GB/T 38597-2020）。</w:t>
                  </w:r>
                </w:p>
              </w:tc>
              <w:tc>
                <w:tcPr>
                  <w:tcW w:w="1246" w:type="pct"/>
                  <w:vMerge w:val="continue"/>
                  <w:vAlign w:val="center"/>
                </w:tcPr>
                <w:p w14:paraId="5A3BBF05">
                  <w:pPr>
                    <w:pStyle w:val="5"/>
                    <w:adjustRightInd w:val="0"/>
                    <w:snapToGrid w:val="0"/>
                    <w:ind w:firstLine="0" w:firstLineChars="0"/>
                    <w:jc w:val="center"/>
                    <w:rPr>
                      <w:color w:val="auto"/>
                      <w:sz w:val="18"/>
                      <w:szCs w:val="18"/>
                    </w:rPr>
                  </w:pPr>
                </w:p>
              </w:tc>
              <w:tc>
                <w:tcPr>
                  <w:tcW w:w="434" w:type="pct"/>
                  <w:vAlign w:val="center"/>
                </w:tcPr>
                <w:p w14:paraId="411C18D4">
                  <w:pPr>
                    <w:pStyle w:val="5"/>
                    <w:adjustRightInd w:val="0"/>
                    <w:snapToGrid w:val="0"/>
                    <w:ind w:firstLine="0" w:firstLineChars="0"/>
                    <w:jc w:val="center"/>
                    <w:rPr>
                      <w:color w:val="auto"/>
                      <w:sz w:val="18"/>
                      <w:szCs w:val="18"/>
                    </w:rPr>
                  </w:pPr>
                  <w:r>
                    <w:rPr>
                      <w:color w:val="auto"/>
                      <w:sz w:val="18"/>
                      <w:szCs w:val="18"/>
                    </w:rPr>
                    <w:t>相符</w:t>
                  </w:r>
                </w:p>
              </w:tc>
            </w:tr>
            <w:tr w14:paraId="55DD71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416" w:hRule="atLeast"/>
                <w:jc w:val="center"/>
              </w:trPr>
              <w:tc>
                <w:tcPr>
                  <w:tcW w:w="329" w:type="pct"/>
                  <w:vAlign w:val="center"/>
                </w:tcPr>
                <w:p w14:paraId="5F197BAB">
                  <w:pPr>
                    <w:pStyle w:val="5"/>
                    <w:adjustRightInd w:val="0"/>
                    <w:snapToGrid w:val="0"/>
                    <w:ind w:firstLine="0" w:firstLineChars="0"/>
                    <w:jc w:val="center"/>
                    <w:rPr>
                      <w:color w:val="auto"/>
                      <w:sz w:val="18"/>
                      <w:szCs w:val="18"/>
                    </w:rPr>
                  </w:pPr>
                  <w:r>
                    <w:rPr>
                      <w:color w:val="auto"/>
                      <w:sz w:val="18"/>
                      <w:szCs w:val="18"/>
                    </w:rPr>
                    <w:t>3</w:t>
                  </w:r>
                </w:p>
              </w:tc>
              <w:tc>
                <w:tcPr>
                  <w:tcW w:w="925" w:type="pct"/>
                  <w:vAlign w:val="center"/>
                </w:tcPr>
                <w:p w14:paraId="6FAA3732">
                  <w:pPr>
                    <w:pStyle w:val="5"/>
                    <w:adjustRightInd w:val="0"/>
                    <w:snapToGrid w:val="0"/>
                    <w:ind w:firstLine="0" w:firstLineChars="0"/>
                    <w:jc w:val="center"/>
                    <w:rPr>
                      <w:color w:val="auto"/>
                      <w:sz w:val="18"/>
                      <w:szCs w:val="18"/>
                    </w:rPr>
                  </w:pPr>
                  <w:r>
                    <w:rPr>
                      <w:color w:val="auto"/>
                      <w:kern w:val="0"/>
                      <w:sz w:val="18"/>
                      <w:szCs w:val="18"/>
                    </w:rPr>
                    <w:t>《臭氧污染防治攻坚行动方案》（环大气</w:t>
                  </w:r>
                  <w:r>
                    <w:rPr>
                      <w:rFonts w:hint="eastAsia"/>
                      <w:color w:val="auto"/>
                      <w:kern w:val="0"/>
                      <w:sz w:val="18"/>
                      <w:szCs w:val="18"/>
                    </w:rPr>
                    <w:t>〔2022〕68号</w:t>
                  </w:r>
                  <w:r>
                    <w:rPr>
                      <w:color w:val="auto"/>
                      <w:kern w:val="0"/>
                      <w:sz w:val="18"/>
                      <w:szCs w:val="18"/>
                    </w:rPr>
                    <w:t>）</w:t>
                  </w:r>
                </w:p>
              </w:tc>
              <w:tc>
                <w:tcPr>
                  <w:tcW w:w="2065" w:type="pct"/>
                  <w:vAlign w:val="center"/>
                </w:tcPr>
                <w:p w14:paraId="70145E77">
                  <w:pPr>
                    <w:pStyle w:val="5"/>
                    <w:adjustRightInd w:val="0"/>
                    <w:snapToGrid w:val="0"/>
                    <w:ind w:firstLine="0" w:firstLineChars="0"/>
                    <w:jc w:val="center"/>
                    <w:rPr>
                      <w:color w:val="auto"/>
                      <w:sz w:val="18"/>
                      <w:szCs w:val="18"/>
                    </w:rPr>
                  </w:pPr>
                  <w:r>
                    <w:rPr>
                      <w:color w:val="auto"/>
                      <w:sz w:val="18"/>
                      <w:szCs w:val="18"/>
                    </w:rPr>
                    <w:t>加快实施低 VOCs 含量原辅材料替代。各地对溶剂型涂料、油墨、胶粘剂、清洗剂使用企业制定低 VOCs 含量原辅材料替代计划。全面推进汽车整车制造底漆、中涂、色漆使用低 VOCs 含量涂料；在木质家具、汽车零部件、工程机械、钢结构、船舶制造技术成熟的工艺环节，大力推广使用低 VOCs 含量涂料，重点区域、中央企业加大使用比例。在房屋建筑和市政工程中，全面推广使用低 VOCs 含量涂料和胶粘剂；</w:t>
                  </w:r>
                </w:p>
              </w:tc>
              <w:tc>
                <w:tcPr>
                  <w:tcW w:w="1246" w:type="pct"/>
                  <w:vMerge w:val="continue"/>
                  <w:vAlign w:val="center"/>
                </w:tcPr>
                <w:p w14:paraId="5878EB3F">
                  <w:pPr>
                    <w:pStyle w:val="5"/>
                    <w:adjustRightInd w:val="0"/>
                    <w:snapToGrid w:val="0"/>
                    <w:ind w:firstLine="0" w:firstLineChars="0"/>
                    <w:jc w:val="center"/>
                    <w:rPr>
                      <w:color w:val="auto"/>
                      <w:sz w:val="18"/>
                      <w:szCs w:val="18"/>
                    </w:rPr>
                  </w:pPr>
                </w:p>
              </w:tc>
              <w:tc>
                <w:tcPr>
                  <w:tcW w:w="434" w:type="pct"/>
                  <w:vAlign w:val="center"/>
                </w:tcPr>
                <w:p w14:paraId="31E5BF02">
                  <w:pPr>
                    <w:pStyle w:val="5"/>
                    <w:adjustRightInd w:val="0"/>
                    <w:snapToGrid w:val="0"/>
                    <w:ind w:firstLine="0" w:firstLineChars="0"/>
                    <w:jc w:val="center"/>
                    <w:rPr>
                      <w:color w:val="auto"/>
                      <w:sz w:val="18"/>
                      <w:szCs w:val="18"/>
                    </w:rPr>
                  </w:pPr>
                  <w:r>
                    <w:rPr>
                      <w:color w:val="auto"/>
                      <w:sz w:val="18"/>
                      <w:szCs w:val="18"/>
                    </w:rPr>
                    <w:t>相符</w:t>
                  </w:r>
                </w:p>
              </w:tc>
            </w:tr>
            <w:tr w14:paraId="3F4491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416" w:hRule="atLeast"/>
                <w:jc w:val="center"/>
              </w:trPr>
              <w:tc>
                <w:tcPr>
                  <w:tcW w:w="329" w:type="pct"/>
                  <w:vAlign w:val="center"/>
                </w:tcPr>
                <w:p w14:paraId="2B589ADD">
                  <w:pPr>
                    <w:pStyle w:val="5"/>
                    <w:adjustRightInd w:val="0"/>
                    <w:snapToGrid w:val="0"/>
                    <w:ind w:firstLine="0" w:firstLineChars="0"/>
                    <w:jc w:val="center"/>
                    <w:rPr>
                      <w:color w:val="auto"/>
                      <w:sz w:val="18"/>
                      <w:szCs w:val="18"/>
                    </w:rPr>
                  </w:pPr>
                  <w:r>
                    <w:rPr>
                      <w:rFonts w:hint="eastAsia"/>
                      <w:color w:val="auto"/>
                      <w:sz w:val="18"/>
                      <w:szCs w:val="18"/>
                    </w:rPr>
                    <w:t>4</w:t>
                  </w:r>
                </w:p>
              </w:tc>
              <w:tc>
                <w:tcPr>
                  <w:tcW w:w="925" w:type="pct"/>
                  <w:vAlign w:val="center"/>
                </w:tcPr>
                <w:p w14:paraId="0139D5D3">
                  <w:pPr>
                    <w:pStyle w:val="5"/>
                    <w:adjustRightInd w:val="0"/>
                    <w:snapToGrid w:val="0"/>
                    <w:ind w:firstLine="0" w:firstLineChars="0"/>
                    <w:jc w:val="center"/>
                    <w:rPr>
                      <w:color w:val="auto"/>
                      <w:kern w:val="0"/>
                      <w:sz w:val="18"/>
                      <w:szCs w:val="18"/>
                    </w:rPr>
                  </w:pPr>
                  <w:r>
                    <w:rPr>
                      <w:rFonts w:hint="eastAsia"/>
                      <w:color w:val="auto"/>
                      <w:kern w:val="0"/>
                      <w:sz w:val="18"/>
                      <w:szCs w:val="18"/>
                    </w:rPr>
                    <w:t>市政府办公室关于印发海安市</w:t>
                  </w:r>
                  <w:r>
                    <w:rPr>
                      <w:color w:val="auto"/>
                      <w:kern w:val="0"/>
                      <w:sz w:val="18"/>
                      <w:szCs w:val="18"/>
                    </w:rPr>
                    <w:t>“</w:t>
                  </w:r>
                  <w:r>
                    <w:rPr>
                      <w:rFonts w:hint="eastAsia"/>
                      <w:color w:val="auto"/>
                      <w:kern w:val="0"/>
                      <w:sz w:val="18"/>
                      <w:szCs w:val="18"/>
                    </w:rPr>
                    <w:t>十四五</w:t>
                  </w:r>
                  <w:r>
                    <w:rPr>
                      <w:color w:val="auto"/>
                      <w:kern w:val="0"/>
                      <w:sz w:val="18"/>
                      <w:szCs w:val="18"/>
                    </w:rPr>
                    <w:t>”</w:t>
                  </w:r>
                  <w:r>
                    <w:rPr>
                      <w:rFonts w:hint="eastAsia"/>
                      <w:color w:val="auto"/>
                      <w:kern w:val="0"/>
                      <w:sz w:val="18"/>
                      <w:szCs w:val="18"/>
                    </w:rPr>
                    <w:t>生态建设与环境保护规划（</w:t>
                  </w:r>
                  <w:r>
                    <w:rPr>
                      <w:color w:val="auto"/>
                      <w:kern w:val="0"/>
                      <w:sz w:val="18"/>
                      <w:szCs w:val="18"/>
                    </w:rPr>
                    <w:t xml:space="preserve">2021-2025 </w:t>
                  </w:r>
                  <w:r>
                    <w:rPr>
                      <w:rFonts w:hint="eastAsia"/>
                      <w:color w:val="auto"/>
                      <w:kern w:val="0"/>
                      <w:sz w:val="18"/>
                      <w:szCs w:val="18"/>
                    </w:rPr>
                    <w:t>年）的通知</w:t>
                  </w:r>
                </w:p>
              </w:tc>
              <w:tc>
                <w:tcPr>
                  <w:tcW w:w="2065" w:type="pct"/>
                  <w:vAlign w:val="center"/>
                </w:tcPr>
                <w:p w14:paraId="22CCA259">
                  <w:pPr>
                    <w:pStyle w:val="5"/>
                    <w:adjustRightInd w:val="0"/>
                    <w:snapToGrid w:val="0"/>
                    <w:ind w:firstLine="0" w:firstLineChars="0"/>
                    <w:jc w:val="center"/>
                    <w:rPr>
                      <w:color w:val="auto"/>
                      <w:sz w:val="18"/>
                      <w:szCs w:val="18"/>
                    </w:rPr>
                  </w:pPr>
                  <w:r>
                    <w:rPr>
                      <w:rFonts w:hint="eastAsia"/>
                      <w:color w:val="auto"/>
                      <w:sz w:val="18"/>
                      <w:szCs w:val="18"/>
                    </w:rPr>
                    <w:t>加大</w:t>
                  </w:r>
                  <w:r>
                    <w:rPr>
                      <w:color w:val="auto"/>
                      <w:sz w:val="18"/>
                      <w:szCs w:val="18"/>
                    </w:rPr>
                    <w:t>VOCs</w:t>
                  </w:r>
                  <w:r>
                    <w:rPr>
                      <w:rFonts w:hint="eastAsia"/>
                      <w:color w:val="auto"/>
                      <w:sz w:val="18"/>
                      <w:szCs w:val="18"/>
                    </w:rPr>
                    <w:t xml:space="preserve">治理力度。大力推进源头替代，以减少苯、甲苯、二甲苯等溶剂和助剂的使用为重点，推进低 </w:t>
                  </w:r>
                  <w:r>
                    <w:rPr>
                      <w:color w:val="auto"/>
                      <w:sz w:val="18"/>
                      <w:szCs w:val="18"/>
                    </w:rPr>
                    <w:t xml:space="preserve">VOCs </w:t>
                  </w:r>
                  <w:r>
                    <w:rPr>
                      <w:rFonts w:hint="eastAsia"/>
                      <w:color w:val="auto"/>
                      <w:sz w:val="18"/>
                      <w:szCs w:val="18"/>
                    </w:rPr>
                    <w:t>含量、低反应活性原辅材料和产品的替代，实现南通晓星变压器有限公司、凯琦森家具海安有限公司等2</w:t>
                  </w:r>
                  <w:r>
                    <w:rPr>
                      <w:color w:val="auto"/>
                      <w:sz w:val="18"/>
                      <w:szCs w:val="18"/>
                    </w:rPr>
                    <w:t>0</w:t>
                  </w:r>
                  <w:r>
                    <w:rPr>
                      <w:rFonts w:hint="eastAsia"/>
                      <w:color w:val="auto"/>
                      <w:sz w:val="18"/>
                      <w:szCs w:val="18"/>
                    </w:rPr>
                    <w:t>个企业低</w:t>
                  </w:r>
                  <w:r>
                    <w:rPr>
                      <w:color w:val="auto"/>
                      <w:sz w:val="18"/>
                      <w:szCs w:val="18"/>
                    </w:rPr>
                    <w:t>VOCs</w:t>
                  </w:r>
                  <w:r>
                    <w:rPr>
                      <w:rFonts w:hint="eastAsia"/>
                      <w:color w:val="auto"/>
                      <w:sz w:val="18"/>
                      <w:szCs w:val="18"/>
                    </w:rPr>
                    <w:t>清洁原料替代。深化重点行业</w:t>
                  </w:r>
                  <w:r>
                    <w:rPr>
                      <w:color w:val="auto"/>
                      <w:sz w:val="18"/>
                      <w:szCs w:val="18"/>
                    </w:rPr>
                    <w:t>VOCs</w:t>
                  </w:r>
                  <w:r>
                    <w:rPr>
                      <w:rFonts w:hint="eastAsia"/>
                      <w:color w:val="auto"/>
                      <w:sz w:val="18"/>
                      <w:szCs w:val="18"/>
                    </w:rPr>
                    <w:t>深度治理，推进大气</w:t>
                  </w:r>
                  <w:r>
                    <w:rPr>
                      <w:color w:val="auto"/>
                      <w:sz w:val="18"/>
                      <w:szCs w:val="18"/>
                    </w:rPr>
                    <w:t>“</w:t>
                  </w:r>
                  <w:r>
                    <w:rPr>
                      <w:rFonts w:hint="eastAsia"/>
                      <w:color w:val="auto"/>
                      <w:sz w:val="18"/>
                      <w:szCs w:val="18"/>
                    </w:rPr>
                    <w:t>绿岛</w:t>
                  </w:r>
                  <w:r>
                    <w:rPr>
                      <w:color w:val="auto"/>
                      <w:sz w:val="18"/>
                      <w:szCs w:val="18"/>
                    </w:rPr>
                    <w:t>”</w:t>
                  </w:r>
                  <w:r>
                    <w:rPr>
                      <w:rFonts w:hint="eastAsia"/>
                      <w:color w:val="auto"/>
                      <w:sz w:val="18"/>
                      <w:szCs w:val="18"/>
                    </w:rPr>
                    <w:t>废活性炭集中脱附中心建设，开展家具、机械制造等工业涂装行业</w:t>
                  </w:r>
                  <w:r>
                    <w:rPr>
                      <w:color w:val="auto"/>
                      <w:sz w:val="18"/>
                      <w:szCs w:val="18"/>
                    </w:rPr>
                    <w:t xml:space="preserve">VOCs </w:t>
                  </w:r>
                  <w:r>
                    <w:rPr>
                      <w:rFonts w:hint="eastAsia"/>
                      <w:color w:val="auto"/>
                      <w:sz w:val="18"/>
                      <w:szCs w:val="18"/>
                    </w:rPr>
                    <w:t>专项整治，开展恒泽安装工程股份有限公司、南通盛品钢结构有限公司等</w:t>
                  </w:r>
                  <w:r>
                    <w:rPr>
                      <w:color w:val="auto"/>
                      <w:sz w:val="18"/>
                      <w:szCs w:val="18"/>
                    </w:rPr>
                    <w:t>14</w:t>
                  </w:r>
                  <w:r>
                    <w:rPr>
                      <w:rFonts w:hint="eastAsia"/>
                      <w:color w:val="auto"/>
                      <w:sz w:val="18"/>
                      <w:szCs w:val="18"/>
                    </w:rPr>
                    <w:t>个工业企业</w:t>
                  </w:r>
                  <w:r>
                    <w:rPr>
                      <w:color w:val="auto"/>
                      <w:sz w:val="18"/>
                      <w:szCs w:val="18"/>
                    </w:rPr>
                    <w:t>VOCs</w:t>
                  </w:r>
                  <w:r>
                    <w:rPr>
                      <w:rFonts w:hint="eastAsia"/>
                      <w:color w:val="auto"/>
                      <w:sz w:val="18"/>
                      <w:szCs w:val="18"/>
                    </w:rPr>
                    <w:t>深度治理。</w:t>
                  </w:r>
                </w:p>
              </w:tc>
              <w:tc>
                <w:tcPr>
                  <w:tcW w:w="1246" w:type="pct"/>
                  <w:vMerge w:val="continue"/>
                  <w:vAlign w:val="center"/>
                </w:tcPr>
                <w:p w14:paraId="1F7CE7A2">
                  <w:pPr>
                    <w:pStyle w:val="5"/>
                    <w:adjustRightInd w:val="0"/>
                    <w:snapToGrid w:val="0"/>
                    <w:ind w:firstLine="0" w:firstLineChars="0"/>
                    <w:jc w:val="center"/>
                    <w:rPr>
                      <w:color w:val="auto"/>
                      <w:sz w:val="18"/>
                      <w:szCs w:val="18"/>
                    </w:rPr>
                  </w:pPr>
                </w:p>
              </w:tc>
              <w:tc>
                <w:tcPr>
                  <w:tcW w:w="434" w:type="pct"/>
                  <w:vAlign w:val="center"/>
                </w:tcPr>
                <w:p w14:paraId="15CEF2C8">
                  <w:pPr>
                    <w:pStyle w:val="5"/>
                    <w:adjustRightInd w:val="0"/>
                    <w:snapToGrid w:val="0"/>
                    <w:ind w:firstLine="0" w:firstLineChars="0"/>
                    <w:jc w:val="center"/>
                    <w:rPr>
                      <w:color w:val="auto"/>
                      <w:sz w:val="18"/>
                      <w:szCs w:val="18"/>
                    </w:rPr>
                  </w:pPr>
                  <w:r>
                    <w:rPr>
                      <w:color w:val="auto"/>
                      <w:sz w:val="18"/>
                      <w:szCs w:val="18"/>
                    </w:rPr>
                    <w:t>相符</w:t>
                  </w:r>
                </w:p>
              </w:tc>
            </w:tr>
          </w:tbl>
          <w:p w14:paraId="44A0DF33">
            <w:pPr>
              <w:pStyle w:val="4"/>
              <w:rPr>
                <w:color w:val="auto"/>
              </w:rPr>
            </w:pPr>
          </w:p>
        </w:tc>
      </w:tr>
    </w:tbl>
    <w:p w14:paraId="06CAC6F3">
      <w:pPr>
        <w:spacing w:line="360" w:lineRule="auto"/>
        <w:outlineLvl w:val="0"/>
        <w:rPr>
          <w:rFonts w:eastAsia="黑体"/>
          <w:sz w:val="30"/>
        </w:rPr>
        <w:sectPr>
          <w:footerReference r:id="rId5" w:type="default"/>
          <w:pgSz w:w="11906" w:h="16838"/>
          <w:pgMar w:top="1417" w:right="1531" w:bottom="1417" w:left="1531" w:header="851" w:footer="1077" w:gutter="0"/>
          <w:pgBorders>
            <w:top w:val="none" w:sz="0" w:space="0"/>
            <w:left w:val="none" w:sz="0" w:space="0"/>
            <w:bottom w:val="none" w:sz="0" w:space="0"/>
            <w:right w:val="none" w:sz="0" w:space="0"/>
          </w:pgBorders>
          <w:pgNumType w:start="1"/>
          <w:cols w:space="720" w:num="1"/>
          <w:docGrid w:linePitch="312" w:charSpace="0"/>
        </w:sectPr>
      </w:pPr>
      <w:bookmarkStart w:id="6" w:name="PageNo100170016"/>
    </w:p>
    <w:bookmarkEnd w:id="6"/>
    <w:p w14:paraId="2C3F126C">
      <w:pPr>
        <w:pStyle w:val="18"/>
        <w:jc w:val="center"/>
        <w:outlineLvl w:val="0"/>
        <w:rPr>
          <w:rFonts w:ascii="Times New Roman" w:hAnsi="Times New Roman" w:eastAsia="黑体"/>
          <w:snapToGrid w:val="0"/>
          <w:sz w:val="30"/>
          <w:szCs w:val="30"/>
        </w:rPr>
      </w:pPr>
      <w:bookmarkStart w:id="7" w:name="PageNo100180017"/>
      <w:r>
        <w:rPr>
          <w:rFonts w:ascii="Times New Roman" w:hAnsi="Times New Roman" w:eastAsia="黑体"/>
          <w:snapToGrid w:val="0"/>
          <w:sz w:val="30"/>
          <w:szCs w:val="30"/>
        </w:rPr>
        <w:t>二</w:t>
      </w:r>
      <w:bookmarkEnd w:id="7"/>
      <w:r>
        <w:rPr>
          <w:rFonts w:ascii="Times New Roman" w:hAnsi="Times New Roman" w:eastAsia="黑体"/>
          <w:snapToGrid w:val="0"/>
          <w:sz w:val="30"/>
          <w:szCs w:val="30"/>
        </w:rPr>
        <w:t>、建设项目工程分析</w:t>
      </w:r>
    </w:p>
    <w:tbl>
      <w:tblPr>
        <w:tblStyle w:val="23"/>
        <w:tblW w:w="940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54"/>
        <w:gridCol w:w="8751"/>
      </w:tblGrid>
      <w:tr w14:paraId="60F455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9" w:hRule="atLeast"/>
          <w:jc w:val="center"/>
        </w:trPr>
        <w:tc>
          <w:tcPr>
            <w:tcW w:w="654" w:type="dxa"/>
            <w:tcBorders>
              <w:bottom w:val="single" w:color="000000" w:sz="4" w:space="0"/>
            </w:tcBorders>
            <w:vAlign w:val="center"/>
          </w:tcPr>
          <w:p w14:paraId="0AB29147">
            <w:pPr>
              <w:pStyle w:val="18"/>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建设内容</w:t>
            </w:r>
          </w:p>
        </w:tc>
        <w:tc>
          <w:tcPr>
            <w:tcW w:w="8751" w:type="dxa"/>
            <w:tcBorders>
              <w:bottom w:val="single" w:color="000000" w:sz="4" w:space="0"/>
            </w:tcBorders>
            <w:vAlign w:val="center"/>
          </w:tcPr>
          <w:p w14:paraId="7F7C14AD">
            <w:pPr>
              <w:numPr>
                <w:ilvl w:val="0"/>
                <w:numId w:val="5"/>
              </w:numPr>
              <w:adjustRightInd w:val="0"/>
              <w:snapToGrid w:val="0"/>
              <w:spacing w:line="360" w:lineRule="auto"/>
              <w:ind w:firstLine="446" w:firstLineChars="200"/>
              <w:rPr>
                <w:b/>
                <w:bCs/>
                <w:color w:val="auto"/>
                <w:spacing w:val="6"/>
                <w:szCs w:val="21"/>
                <w:shd w:val="clear" w:color="auto" w:fill="FFFFFF"/>
              </w:rPr>
            </w:pPr>
            <w:r>
              <w:rPr>
                <w:rFonts w:hint="eastAsia"/>
                <w:b/>
                <w:bCs/>
                <w:color w:val="auto"/>
                <w:spacing w:val="6"/>
                <w:szCs w:val="21"/>
                <w:shd w:val="clear" w:color="auto" w:fill="FFFFFF"/>
              </w:rPr>
              <w:t>项目概况</w:t>
            </w:r>
          </w:p>
          <w:p w14:paraId="5632206A">
            <w:pPr>
              <w:adjustRightInd w:val="0"/>
              <w:snapToGrid w:val="0"/>
              <w:spacing w:line="360" w:lineRule="auto"/>
              <w:ind w:firstLine="420" w:firstLineChars="200"/>
              <w:rPr>
                <w:color w:val="auto"/>
              </w:rPr>
            </w:pPr>
            <w:r>
              <w:rPr>
                <w:rFonts w:hint="eastAsia"/>
                <w:color w:val="auto"/>
              </w:rPr>
              <w:t>江苏法恩生物科技有限公司成立于</w:t>
            </w:r>
            <w:r>
              <w:rPr>
                <w:color w:val="auto"/>
              </w:rPr>
              <w:t>202</w:t>
            </w:r>
            <w:r>
              <w:rPr>
                <w:rFonts w:hint="eastAsia"/>
                <w:color w:val="auto"/>
              </w:rPr>
              <w:t>4年10月22日，地址位于江苏省海安市李堡镇富庄村7组（江海路23号），为满足生产企业标准物质质检、第三方环境检测企业对标准物质的要求，企业拟投资</w:t>
            </w:r>
            <w:r>
              <w:rPr>
                <w:color w:val="auto"/>
              </w:rPr>
              <w:t>1000</w:t>
            </w:r>
            <w:r>
              <w:rPr>
                <w:rFonts w:hint="eastAsia"/>
                <w:color w:val="auto"/>
              </w:rPr>
              <w:t>万元，租赁南通市金宏电化设备有限公司闲置厂房，总建筑面积2000平方米并进行适应性装修改造，购置高效液相色谱</w:t>
            </w:r>
            <w:r>
              <w:rPr>
                <w:rFonts w:hint="eastAsia" w:ascii="宋体" w:hAnsi="宋体"/>
                <w:color w:val="auto"/>
                <w:kern w:val="0"/>
                <w:szCs w:val="21"/>
              </w:rPr>
              <w:t>联</w:t>
            </w:r>
            <w:r>
              <w:rPr>
                <w:rFonts w:hint="eastAsia"/>
                <w:color w:val="auto"/>
              </w:rPr>
              <w:t>用质谱仪、单四级杆气相色谱-质谱联用仪、高效液相色谱仪、超高效液相色谱仪等主辅研发和检测设备共计</w:t>
            </w:r>
            <w:r>
              <w:rPr>
                <w:rFonts w:hint="eastAsia"/>
                <w:color w:val="auto"/>
                <w:lang w:val="en-US" w:eastAsia="zh-CN"/>
              </w:rPr>
              <w:t>43</w:t>
            </w:r>
            <w:r>
              <w:rPr>
                <w:rFonts w:hint="eastAsia"/>
                <w:color w:val="auto"/>
              </w:rPr>
              <w:t xml:space="preserve">台（套），主要从事无机标准物质和有机标准物质的研发。 </w:t>
            </w:r>
          </w:p>
          <w:p w14:paraId="5C126E2E">
            <w:pPr>
              <w:adjustRightInd w:val="0"/>
              <w:snapToGrid w:val="0"/>
              <w:spacing w:line="360" w:lineRule="auto"/>
              <w:ind w:firstLine="420" w:firstLineChars="200"/>
              <w:rPr>
                <w:color w:val="auto"/>
              </w:rPr>
            </w:pPr>
            <w:r>
              <w:rPr>
                <w:rFonts w:hint="eastAsia"/>
                <w:color w:val="0000FF"/>
              </w:rPr>
              <w:t>本项目对标准物质的研发是在客户提出要求的基础上，采用各类有机、无机的化学试剂进行溶液配制，辅以实验室检测，达到客户要求的标准物质即为研发样品。本项目研发的样品提供给</w:t>
            </w:r>
            <w:r>
              <w:rPr>
                <w:rFonts w:hint="eastAsia"/>
                <w:color w:val="0000FF"/>
                <w:lang w:val="en-US" w:eastAsia="zh-CN"/>
              </w:rPr>
              <w:t>机械、食品</w:t>
            </w:r>
            <w:r>
              <w:rPr>
                <w:rFonts w:hint="eastAsia"/>
                <w:color w:val="0000FF"/>
              </w:rPr>
              <w:t>和第三方环境检测企业，用于企业产品研发和检测服务质量控制的标杆。</w:t>
            </w:r>
            <w:r>
              <w:rPr>
                <w:rFonts w:hint="eastAsia"/>
                <w:color w:val="auto"/>
              </w:rPr>
              <w:t xml:space="preserve"> </w:t>
            </w:r>
          </w:p>
          <w:p w14:paraId="4A19B539">
            <w:pPr>
              <w:adjustRightInd w:val="0"/>
              <w:snapToGrid w:val="0"/>
              <w:spacing w:line="360" w:lineRule="auto"/>
              <w:ind w:firstLine="420" w:firstLineChars="200"/>
              <w:rPr>
                <w:color w:val="auto"/>
              </w:rPr>
            </w:pPr>
            <w:r>
              <w:rPr>
                <w:rFonts w:hint="eastAsia"/>
                <w:color w:val="auto"/>
              </w:rPr>
              <w:t>项目已于</w:t>
            </w:r>
            <w:r>
              <w:rPr>
                <w:color w:val="auto"/>
              </w:rPr>
              <w:t>202</w:t>
            </w:r>
            <w:r>
              <w:rPr>
                <w:rFonts w:hint="eastAsia"/>
                <w:color w:val="auto"/>
              </w:rPr>
              <w:t>5年7月9日取得海安市数据局的项目备案证（海安数据备</w:t>
            </w:r>
            <w:r>
              <w:rPr>
                <w:color w:val="auto"/>
              </w:rPr>
              <w:t>[202</w:t>
            </w:r>
            <w:r>
              <w:rPr>
                <w:rFonts w:hint="eastAsia"/>
                <w:color w:val="auto"/>
              </w:rPr>
              <w:t>5</w:t>
            </w:r>
            <w:r>
              <w:rPr>
                <w:color w:val="auto"/>
              </w:rPr>
              <w:t>]</w:t>
            </w:r>
            <w:r>
              <w:rPr>
                <w:rFonts w:hint="eastAsia"/>
                <w:color w:val="auto"/>
              </w:rPr>
              <w:t xml:space="preserve">1815号），项目代码为2507-320685-89-01-290880。 </w:t>
            </w:r>
          </w:p>
          <w:p w14:paraId="574A35BB">
            <w:pPr>
              <w:adjustRightInd w:val="0"/>
              <w:snapToGrid w:val="0"/>
              <w:spacing w:line="360" w:lineRule="auto"/>
              <w:ind w:firstLine="420" w:firstLineChars="200"/>
              <w:rPr>
                <w:color w:val="auto"/>
              </w:rPr>
            </w:pPr>
            <w:r>
              <w:rPr>
                <w:rFonts w:hint="eastAsia"/>
                <w:color w:val="auto"/>
              </w:rPr>
              <w:t>根据《中华人民共和国环境保护法》、《中华人民共和国环境影响评价法》和《建设项目环境影响评价分类管理名录》等有关规定，本项目为“四十五、研究和试验发展”中“</w:t>
            </w:r>
            <w:r>
              <w:rPr>
                <w:color w:val="auto"/>
              </w:rPr>
              <w:t>98</w:t>
            </w:r>
            <w:r>
              <w:rPr>
                <w:rFonts w:hint="eastAsia"/>
                <w:color w:val="auto"/>
              </w:rPr>
              <w:t>专业实验室、研发（试验）基地其他（不产生实验废气、废水、危险废物的除外）”。项目须编制环境影响报告表，江苏法恩生物科技有限公司委托我公司开展该项目环境影响评价工作。我公司接受委托后，认真研究了项目有关材料，并组织技术人员进行实地踏勘，初步调研，收集和核实了有关材料。在此基础上，按照国家对建设项目环境影响评价的有关规定和有关环保政策、技术规范，编制完成了本环境影响报告表，作为建设项目主管部门决策依据之一。</w:t>
            </w:r>
            <w:r>
              <w:rPr>
                <w:rFonts w:hint="eastAsia"/>
                <w:color w:val="auto"/>
                <w:spacing w:val="6"/>
                <w:szCs w:val="21"/>
                <w:shd w:val="clear" w:color="auto" w:fill="FFFFFF"/>
              </w:rPr>
              <w:t>预留车间目前闲置，本次不进行评价。预留车间启用时需另行评价。</w:t>
            </w:r>
          </w:p>
          <w:p w14:paraId="54FC2199">
            <w:pPr>
              <w:adjustRightInd w:val="0"/>
              <w:snapToGrid w:val="0"/>
              <w:spacing w:line="360" w:lineRule="auto"/>
              <w:ind w:firstLine="446" w:firstLineChars="200"/>
              <w:rPr>
                <w:b/>
                <w:bCs/>
                <w:color w:val="auto"/>
                <w:spacing w:val="6"/>
                <w:szCs w:val="21"/>
                <w:shd w:val="clear" w:color="auto" w:fill="FFFFFF"/>
              </w:rPr>
            </w:pPr>
            <w:r>
              <w:rPr>
                <w:rFonts w:hint="eastAsia"/>
                <w:b/>
                <w:bCs/>
                <w:color w:val="auto"/>
                <w:spacing w:val="6"/>
                <w:szCs w:val="21"/>
                <w:shd w:val="clear" w:color="auto" w:fill="FFFFFF"/>
              </w:rPr>
              <w:t>2.</w:t>
            </w:r>
            <w:r>
              <w:rPr>
                <w:b/>
                <w:bCs/>
                <w:color w:val="auto"/>
                <w:spacing w:val="6"/>
                <w:szCs w:val="21"/>
                <w:shd w:val="clear" w:color="auto" w:fill="FFFFFF"/>
              </w:rPr>
              <w:t>主要产品及产能情况</w:t>
            </w:r>
          </w:p>
          <w:p w14:paraId="67A1BC2D">
            <w:pPr>
              <w:adjustRightInd w:val="0"/>
              <w:snapToGrid w:val="0"/>
              <w:jc w:val="center"/>
              <w:rPr>
                <w:b/>
                <w:bCs/>
                <w:color w:val="auto"/>
                <w:spacing w:val="6"/>
                <w:szCs w:val="21"/>
                <w:shd w:val="clear" w:color="auto" w:fill="FFFFFF"/>
              </w:rPr>
            </w:pPr>
            <w:r>
              <w:rPr>
                <w:b/>
                <w:bCs/>
                <w:color w:val="auto"/>
                <w:spacing w:val="6"/>
                <w:szCs w:val="21"/>
                <w:shd w:val="clear" w:color="auto" w:fill="FFFFFF"/>
              </w:rPr>
              <w:t>表2-1 建设项目产品方案一览表</w:t>
            </w:r>
          </w:p>
          <w:tbl>
            <w:tblPr>
              <w:tblStyle w:val="23"/>
              <w:tblW w:w="485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056"/>
              <w:gridCol w:w="1174"/>
              <w:gridCol w:w="1959"/>
              <w:gridCol w:w="1473"/>
              <w:gridCol w:w="1596"/>
            </w:tblGrid>
            <w:tr w14:paraId="2836CA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5" w:hRule="atLeast"/>
                <w:jc w:val="center"/>
              </w:trPr>
              <w:tc>
                <w:tcPr>
                  <w:tcW w:w="1244" w:type="pct"/>
                  <w:vAlign w:val="center"/>
                </w:tcPr>
                <w:p w14:paraId="42BD0322">
                  <w:pPr>
                    <w:jc w:val="center"/>
                    <w:rPr>
                      <w:b/>
                      <w:bCs/>
                      <w:color w:val="auto"/>
                      <w:sz w:val="18"/>
                      <w:szCs w:val="18"/>
                    </w:rPr>
                  </w:pPr>
                  <w:r>
                    <w:rPr>
                      <w:b/>
                      <w:bCs/>
                      <w:color w:val="auto"/>
                      <w:sz w:val="18"/>
                      <w:szCs w:val="18"/>
                    </w:rPr>
                    <w:t>生产线名称</w:t>
                  </w:r>
                </w:p>
              </w:tc>
              <w:tc>
                <w:tcPr>
                  <w:tcW w:w="710" w:type="pct"/>
                  <w:vAlign w:val="center"/>
                </w:tcPr>
                <w:p w14:paraId="682E01B2">
                  <w:pPr>
                    <w:jc w:val="center"/>
                    <w:rPr>
                      <w:b/>
                      <w:bCs/>
                      <w:color w:val="auto"/>
                      <w:sz w:val="18"/>
                      <w:szCs w:val="18"/>
                    </w:rPr>
                  </w:pPr>
                  <w:r>
                    <w:rPr>
                      <w:b/>
                      <w:bCs/>
                      <w:color w:val="auto"/>
                      <w:sz w:val="18"/>
                      <w:szCs w:val="18"/>
                    </w:rPr>
                    <w:t>生产线编号</w:t>
                  </w:r>
                </w:p>
              </w:tc>
              <w:tc>
                <w:tcPr>
                  <w:tcW w:w="1186" w:type="pct"/>
                  <w:vAlign w:val="center"/>
                </w:tcPr>
                <w:p w14:paraId="4803FB68">
                  <w:pPr>
                    <w:jc w:val="center"/>
                    <w:rPr>
                      <w:b/>
                      <w:bCs/>
                      <w:color w:val="auto"/>
                      <w:sz w:val="18"/>
                      <w:szCs w:val="18"/>
                    </w:rPr>
                  </w:pPr>
                  <w:r>
                    <w:rPr>
                      <w:b/>
                      <w:bCs/>
                      <w:color w:val="auto"/>
                      <w:sz w:val="18"/>
                      <w:szCs w:val="18"/>
                    </w:rPr>
                    <w:t>产品名称</w:t>
                  </w:r>
                </w:p>
              </w:tc>
              <w:tc>
                <w:tcPr>
                  <w:tcW w:w="891" w:type="pct"/>
                  <w:vAlign w:val="center"/>
                </w:tcPr>
                <w:p w14:paraId="6BD55D47">
                  <w:pPr>
                    <w:jc w:val="center"/>
                    <w:rPr>
                      <w:b/>
                      <w:bCs/>
                      <w:color w:val="auto"/>
                      <w:sz w:val="18"/>
                      <w:szCs w:val="18"/>
                    </w:rPr>
                  </w:pPr>
                  <w:r>
                    <w:rPr>
                      <w:b/>
                      <w:bCs/>
                      <w:color w:val="auto"/>
                      <w:sz w:val="18"/>
                      <w:szCs w:val="18"/>
                    </w:rPr>
                    <w:t>生产能力</w:t>
                  </w:r>
                </w:p>
              </w:tc>
              <w:tc>
                <w:tcPr>
                  <w:tcW w:w="966" w:type="pct"/>
                  <w:vAlign w:val="center"/>
                </w:tcPr>
                <w:p w14:paraId="7E268E87">
                  <w:pPr>
                    <w:jc w:val="center"/>
                    <w:rPr>
                      <w:b/>
                      <w:bCs/>
                      <w:color w:val="auto"/>
                      <w:sz w:val="18"/>
                      <w:szCs w:val="18"/>
                    </w:rPr>
                  </w:pPr>
                  <w:r>
                    <w:rPr>
                      <w:b/>
                      <w:bCs/>
                      <w:color w:val="auto"/>
                      <w:sz w:val="18"/>
                      <w:szCs w:val="18"/>
                    </w:rPr>
                    <w:t>设计年生产时间</w:t>
                  </w:r>
                </w:p>
              </w:tc>
            </w:tr>
            <w:tr w14:paraId="583F92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5" w:hRule="atLeast"/>
                <w:jc w:val="center"/>
              </w:trPr>
              <w:tc>
                <w:tcPr>
                  <w:tcW w:w="1244" w:type="pct"/>
                  <w:vAlign w:val="center"/>
                </w:tcPr>
                <w:p w14:paraId="5911DAB3">
                  <w:pPr>
                    <w:snapToGrid w:val="0"/>
                    <w:jc w:val="center"/>
                    <w:rPr>
                      <w:color w:val="auto"/>
                      <w:sz w:val="18"/>
                      <w:szCs w:val="18"/>
                    </w:rPr>
                  </w:pPr>
                  <w:r>
                    <w:rPr>
                      <w:rFonts w:hint="eastAsia"/>
                      <w:color w:val="auto"/>
                      <w:sz w:val="18"/>
                      <w:szCs w:val="18"/>
                    </w:rPr>
                    <w:t>标准物质研发生产线</w:t>
                  </w:r>
                </w:p>
              </w:tc>
              <w:tc>
                <w:tcPr>
                  <w:tcW w:w="710" w:type="pct"/>
                  <w:vAlign w:val="center"/>
                </w:tcPr>
                <w:p w14:paraId="1CFFF160">
                  <w:pPr>
                    <w:snapToGrid w:val="0"/>
                    <w:jc w:val="center"/>
                    <w:rPr>
                      <w:color w:val="auto"/>
                      <w:sz w:val="18"/>
                      <w:szCs w:val="18"/>
                    </w:rPr>
                  </w:pPr>
                  <w:r>
                    <w:rPr>
                      <w:rFonts w:hint="eastAsia"/>
                      <w:color w:val="auto"/>
                      <w:sz w:val="18"/>
                      <w:szCs w:val="18"/>
                    </w:rPr>
                    <w:t>1#</w:t>
                  </w:r>
                </w:p>
              </w:tc>
              <w:tc>
                <w:tcPr>
                  <w:tcW w:w="1186" w:type="pct"/>
                  <w:vAlign w:val="center"/>
                </w:tcPr>
                <w:p w14:paraId="21DBBC61">
                  <w:pPr>
                    <w:snapToGrid w:val="0"/>
                    <w:jc w:val="center"/>
                    <w:rPr>
                      <w:rFonts w:hint="default" w:eastAsia="宋体"/>
                      <w:color w:val="auto"/>
                      <w:sz w:val="18"/>
                      <w:szCs w:val="18"/>
                      <w:lang w:val="en-US" w:eastAsia="zh-CN"/>
                    </w:rPr>
                  </w:pPr>
                  <w:r>
                    <w:rPr>
                      <w:rFonts w:hint="eastAsia"/>
                      <w:color w:val="auto"/>
                      <w:sz w:val="18"/>
                      <w:szCs w:val="18"/>
                    </w:rPr>
                    <w:t>标准物质样品</w:t>
                  </w:r>
                  <w:r>
                    <w:rPr>
                      <w:rFonts w:hint="eastAsia"/>
                      <w:color w:val="auto"/>
                      <w:sz w:val="18"/>
                      <w:szCs w:val="18"/>
                      <w:lang w:val="en-US" w:eastAsia="zh-CN"/>
                    </w:rPr>
                    <w:t>研发服务</w:t>
                  </w:r>
                </w:p>
              </w:tc>
              <w:tc>
                <w:tcPr>
                  <w:tcW w:w="891" w:type="pct"/>
                  <w:vAlign w:val="center"/>
                </w:tcPr>
                <w:p w14:paraId="14E56806">
                  <w:pPr>
                    <w:snapToGrid w:val="0"/>
                    <w:jc w:val="center"/>
                    <w:rPr>
                      <w:rFonts w:hint="default" w:eastAsia="宋体"/>
                      <w:color w:val="auto"/>
                      <w:sz w:val="18"/>
                      <w:szCs w:val="18"/>
                      <w:lang w:val="en-US" w:eastAsia="zh-CN"/>
                    </w:rPr>
                  </w:pPr>
                  <w:r>
                    <w:rPr>
                      <w:rFonts w:hint="eastAsia"/>
                      <w:color w:val="0000FF"/>
                      <w:sz w:val="18"/>
                      <w:szCs w:val="18"/>
                      <w:lang w:val="en-US" w:eastAsia="zh-CN"/>
                    </w:rPr>
                    <w:t>年服务300</w:t>
                  </w:r>
                  <w:r>
                    <w:rPr>
                      <w:rFonts w:hint="eastAsia"/>
                      <w:color w:val="0000FF"/>
                      <w:sz w:val="18"/>
                      <w:szCs w:val="18"/>
                    </w:rPr>
                    <w:t>次</w:t>
                  </w:r>
                </w:p>
              </w:tc>
              <w:tc>
                <w:tcPr>
                  <w:tcW w:w="966" w:type="pct"/>
                  <w:vAlign w:val="center"/>
                </w:tcPr>
                <w:p w14:paraId="5176DE6B">
                  <w:pPr>
                    <w:snapToGrid w:val="0"/>
                    <w:jc w:val="center"/>
                    <w:rPr>
                      <w:color w:val="auto"/>
                      <w:sz w:val="18"/>
                      <w:szCs w:val="18"/>
                    </w:rPr>
                  </w:pPr>
                  <w:r>
                    <w:rPr>
                      <w:rFonts w:hint="eastAsia"/>
                      <w:color w:val="auto"/>
                      <w:sz w:val="18"/>
                      <w:szCs w:val="18"/>
                    </w:rPr>
                    <w:t>2000h</w:t>
                  </w:r>
                </w:p>
              </w:tc>
            </w:tr>
          </w:tbl>
          <w:p w14:paraId="7AAF14EF">
            <w:pPr>
              <w:pStyle w:val="106"/>
              <w:adjustRightInd w:val="0"/>
              <w:snapToGrid w:val="0"/>
              <w:spacing w:line="360" w:lineRule="auto"/>
              <w:rPr>
                <w:rFonts w:ascii="Times New Roman" w:hAnsi="Times New Roman"/>
                <w:color w:val="auto"/>
                <w:szCs w:val="21"/>
              </w:rPr>
            </w:pPr>
            <w:r>
              <w:rPr>
                <w:rFonts w:hint="eastAsia"/>
                <w:color w:val="auto"/>
              </w:rPr>
              <w:t>江苏法恩生物科技有限公司标准物质研发中心主要针对</w:t>
            </w:r>
            <w:r>
              <w:rPr>
                <w:rFonts w:hint="eastAsia"/>
                <w:color w:val="auto"/>
                <w:lang w:val="en-US" w:eastAsia="zh-CN"/>
              </w:rPr>
              <w:t>机械、食品</w:t>
            </w:r>
            <w:r>
              <w:rPr>
                <w:rFonts w:hint="eastAsia"/>
                <w:color w:val="auto"/>
              </w:rPr>
              <w:t>和第三方环境检测企业等领域。</w:t>
            </w:r>
          </w:p>
          <w:p w14:paraId="6DD0F61A">
            <w:pPr>
              <w:adjustRightInd w:val="0"/>
              <w:snapToGrid w:val="0"/>
              <w:spacing w:line="360" w:lineRule="auto"/>
              <w:ind w:firstLine="446" w:firstLineChars="200"/>
              <w:rPr>
                <w:b/>
                <w:bCs/>
                <w:color w:val="auto"/>
                <w:spacing w:val="6"/>
                <w:szCs w:val="21"/>
                <w:shd w:val="clear" w:color="auto" w:fill="FFFFFF"/>
              </w:rPr>
            </w:pPr>
            <w:r>
              <w:rPr>
                <w:rFonts w:hint="eastAsia"/>
                <w:b/>
                <w:bCs/>
                <w:color w:val="auto"/>
                <w:spacing w:val="6"/>
                <w:szCs w:val="21"/>
                <w:shd w:val="clear" w:color="auto" w:fill="FFFFFF"/>
              </w:rPr>
              <w:t>3</w:t>
            </w:r>
            <w:r>
              <w:rPr>
                <w:b/>
                <w:bCs/>
                <w:color w:val="auto"/>
                <w:spacing w:val="6"/>
                <w:szCs w:val="21"/>
                <w:shd w:val="clear" w:color="auto" w:fill="FFFFFF"/>
              </w:rPr>
              <w:t>.主要生产单元及生产设施一览表</w:t>
            </w:r>
          </w:p>
          <w:p w14:paraId="7F117F37">
            <w:pPr>
              <w:adjustRightInd w:val="0"/>
              <w:snapToGrid w:val="0"/>
              <w:jc w:val="center"/>
              <w:rPr>
                <w:color w:val="auto"/>
                <w:spacing w:val="6"/>
                <w:szCs w:val="21"/>
                <w:shd w:val="clear" w:color="auto" w:fill="FFFFFF"/>
              </w:rPr>
            </w:pPr>
            <w:r>
              <w:rPr>
                <w:b/>
                <w:bCs/>
                <w:color w:val="auto"/>
                <w:spacing w:val="6"/>
                <w:szCs w:val="21"/>
                <w:shd w:val="clear" w:color="auto" w:fill="FFFFFF"/>
              </w:rPr>
              <w:t>表2-</w:t>
            </w:r>
            <w:r>
              <w:rPr>
                <w:rFonts w:hint="eastAsia"/>
                <w:b/>
                <w:bCs/>
                <w:color w:val="auto"/>
                <w:spacing w:val="6"/>
                <w:szCs w:val="21"/>
                <w:shd w:val="clear" w:color="auto" w:fill="FFFFFF"/>
              </w:rPr>
              <w:t>2</w:t>
            </w:r>
            <w:r>
              <w:rPr>
                <w:b/>
                <w:bCs/>
                <w:color w:val="auto"/>
                <w:spacing w:val="6"/>
                <w:szCs w:val="21"/>
                <w:shd w:val="clear" w:color="auto" w:fill="FFFFFF"/>
              </w:rPr>
              <w:t xml:space="preserve"> 主要生产单元及生产设施一览表</w:t>
            </w:r>
          </w:p>
          <w:tbl>
            <w:tblPr>
              <w:tblStyle w:val="23"/>
              <w:tblW w:w="831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229"/>
              <w:gridCol w:w="1602"/>
              <w:gridCol w:w="2132"/>
              <w:gridCol w:w="1693"/>
              <w:gridCol w:w="1658"/>
            </w:tblGrid>
            <w:tr w14:paraId="3620F5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08" w:hRule="atLeast"/>
                <w:tblHeader/>
                <w:jc w:val="center"/>
              </w:trPr>
              <w:tc>
                <w:tcPr>
                  <w:tcW w:w="1229" w:type="dxa"/>
                  <w:vAlign w:val="center"/>
                </w:tcPr>
                <w:p w14:paraId="5D4A4DED">
                  <w:pPr>
                    <w:adjustRightInd w:val="0"/>
                    <w:snapToGrid w:val="0"/>
                    <w:jc w:val="center"/>
                    <w:rPr>
                      <w:b/>
                      <w:bCs/>
                      <w:color w:val="auto"/>
                      <w:sz w:val="18"/>
                      <w:szCs w:val="18"/>
                    </w:rPr>
                  </w:pPr>
                  <w:r>
                    <w:rPr>
                      <w:b/>
                      <w:bCs/>
                      <w:color w:val="auto"/>
                      <w:sz w:val="18"/>
                      <w:szCs w:val="18"/>
                    </w:rPr>
                    <w:t>主要生产单元</w:t>
                  </w:r>
                </w:p>
              </w:tc>
              <w:tc>
                <w:tcPr>
                  <w:tcW w:w="1602" w:type="dxa"/>
                  <w:vAlign w:val="center"/>
                </w:tcPr>
                <w:p w14:paraId="069C5B23">
                  <w:pPr>
                    <w:adjustRightInd w:val="0"/>
                    <w:snapToGrid w:val="0"/>
                    <w:jc w:val="center"/>
                    <w:rPr>
                      <w:b/>
                      <w:bCs/>
                      <w:color w:val="auto"/>
                      <w:sz w:val="18"/>
                      <w:szCs w:val="18"/>
                    </w:rPr>
                  </w:pPr>
                  <w:r>
                    <w:rPr>
                      <w:b/>
                      <w:bCs/>
                      <w:color w:val="auto"/>
                      <w:sz w:val="18"/>
                      <w:szCs w:val="18"/>
                    </w:rPr>
                    <w:t>主要工艺</w:t>
                  </w:r>
                </w:p>
              </w:tc>
              <w:tc>
                <w:tcPr>
                  <w:tcW w:w="2132" w:type="dxa"/>
                  <w:vAlign w:val="center"/>
                </w:tcPr>
                <w:p w14:paraId="3760FF9E">
                  <w:pPr>
                    <w:adjustRightInd w:val="0"/>
                    <w:snapToGrid w:val="0"/>
                    <w:jc w:val="center"/>
                    <w:rPr>
                      <w:b/>
                      <w:bCs/>
                      <w:color w:val="auto"/>
                      <w:sz w:val="18"/>
                      <w:szCs w:val="18"/>
                    </w:rPr>
                  </w:pPr>
                  <w:r>
                    <w:rPr>
                      <w:b/>
                      <w:bCs/>
                      <w:color w:val="auto"/>
                      <w:sz w:val="18"/>
                      <w:szCs w:val="18"/>
                    </w:rPr>
                    <w:t>生产设施</w:t>
                  </w:r>
                </w:p>
              </w:tc>
              <w:tc>
                <w:tcPr>
                  <w:tcW w:w="1693" w:type="dxa"/>
                  <w:vAlign w:val="center"/>
                </w:tcPr>
                <w:p w14:paraId="1F3B2931">
                  <w:pPr>
                    <w:adjustRightInd w:val="0"/>
                    <w:snapToGrid w:val="0"/>
                    <w:jc w:val="center"/>
                    <w:rPr>
                      <w:b/>
                      <w:bCs/>
                      <w:color w:val="auto"/>
                      <w:sz w:val="18"/>
                      <w:szCs w:val="18"/>
                    </w:rPr>
                  </w:pPr>
                  <w:r>
                    <w:rPr>
                      <w:b/>
                      <w:bCs/>
                      <w:color w:val="auto"/>
                      <w:sz w:val="18"/>
                      <w:szCs w:val="18"/>
                    </w:rPr>
                    <w:t>设施参数</w:t>
                  </w:r>
                </w:p>
              </w:tc>
              <w:tc>
                <w:tcPr>
                  <w:tcW w:w="1658" w:type="dxa"/>
                  <w:vAlign w:val="center"/>
                </w:tcPr>
                <w:p w14:paraId="3BA7F9A5">
                  <w:pPr>
                    <w:adjustRightInd w:val="0"/>
                    <w:snapToGrid w:val="0"/>
                    <w:jc w:val="center"/>
                    <w:rPr>
                      <w:b/>
                      <w:bCs/>
                      <w:color w:val="auto"/>
                      <w:sz w:val="18"/>
                      <w:szCs w:val="18"/>
                    </w:rPr>
                  </w:pPr>
                  <w:r>
                    <w:rPr>
                      <w:b/>
                      <w:bCs/>
                      <w:color w:val="auto"/>
                      <w:sz w:val="18"/>
                      <w:szCs w:val="18"/>
                    </w:rPr>
                    <w:t>数量（台套）</w:t>
                  </w:r>
                </w:p>
              </w:tc>
            </w:tr>
            <w:tr w14:paraId="191E3A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1" w:hRule="atLeast"/>
                <w:tblHeader/>
                <w:jc w:val="center"/>
              </w:trPr>
              <w:tc>
                <w:tcPr>
                  <w:tcW w:w="1229" w:type="dxa"/>
                  <w:vMerge w:val="restart"/>
                  <w:vAlign w:val="center"/>
                </w:tcPr>
                <w:p w14:paraId="296F53F4">
                  <w:pPr>
                    <w:jc w:val="center"/>
                    <w:rPr>
                      <w:color w:val="auto"/>
                    </w:rPr>
                  </w:pPr>
                  <w:r>
                    <w:rPr>
                      <w:rFonts w:hint="eastAsia"/>
                      <w:color w:val="auto"/>
                      <w:sz w:val="18"/>
                      <w:szCs w:val="18"/>
                    </w:rPr>
                    <w:t>标准物质研发生产线</w:t>
                  </w:r>
                </w:p>
                <w:p w14:paraId="2EF48E56">
                  <w:pPr>
                    <w:rPr>
                      <w:color w:val="auto"/>
                    </w:rPr>
                  </w:pPr>
                </w:p>
                <w:p w14:paraId="770532C9">
                  <w:pPr>
                    <w:rPr>
                      <w:color w:val="auto"/>
                    </w:rPr>
                  </w:pPr>
                </w:p>
                <w:p w14:paraId="1D7A360B">
                  <w:pPr>
                    <w:rPr>
                      <w:color w:val="auto"/>
                    </w:rPr>
                  </w:pPr>
                </w:p>
              </w:tc>
              <w:tc>
                <w:tcPr>
                  <w:tcW w:w="1602" w:type="dxa"/>
                  <w:vMerge w:val="restart"/>
                  <w:vAlign w:val="center"/>
                </w:tcPr>
                <w:p w14:paraId="7478028F">
                  <w:pPr>
                    <w:jc w:val="center"/>
                    <w:rPr>
                      <w:snapToGrid w:val="0"/>
                      <w:color w:val="auto"/>
                      <w:sz w:val="18"/>
                      <w:szCs w:val="18"/>
                    </w:rPr>
                  </w:pPr>
                  <w:r>
                    <w:rPr>
                      <w:rFonts w:hint="eastAsia"/>
                      <w:snapToGrid w:val="0"/>
                      <w:color w:val="auto"/>
                      <w:sz w:val="18"/>
                      <w:szCs w:val="18"/>
                    </w:rPr>
                    <w:t>均匀性初检、稳定性评估</w:t>
                  </w:r>
                </w:p>
              </w:tc>
              <w:tc>
                <w:tcPr>
                  <w:tcW w:w="2132" w:type="dxa"/>
                  <w:vAlign w:val="center"/>
                </w:tcPr>
                <w:p w14:paraId="3B071B7D">
                  <w:pPr>
                    <w:jc w:val="center"/>
                    <w:rPr>
                      <w:snapToGrid w:val="0"/>
                      <w:color w:val="auto"/>
                      <w:sz w:val="18"/>
                      <w:szCs w:val="18"/>
                    </w:rPr>
                  </w:pPr>
                  <w:r>
                    <w:rPr>
                      <w:rFonts w:hint="eastAsia"/>
                      <w:snapToGrid w:val="0"/>
                      <w:color w:val="auto"/>
                      <w:sz w:val="18"/>
                      <w:szCs w:val="18"/>
                    </w:rPr>
                    <w:t>高效液相色谱联用质谱仪</w:t>
                  </w:r>
                </w:p>
              </w:tc>
              <w:tc>
                <w:tcPr>
                  <w:tcW w:w="1693" w:type="dxa"/>
                  <w:vAlign w:val="center"/>
                </w:tcPr>
                <w:p w14:paraId="1AB667D9">
                  <w:pPr>
                    <w:jc w:val="center"/>
                    <w:rPr>
                      <w:snapToGrid w:val="0"/>
                      <w:color w:val="auto"/>
                      <w:sz w:val="18"/>
                      <w:szCs w:val="18"/>
                    </w:rPr>
                  </w:pPr>
                  <w:r>
                    <w:rPr>
                      <w:rFonts w:hint="eastAsia"/>
                      <w:snapToGrid w:val="0"/>
                      <w:color w:val="auto"/>
                      <w:sz w:val="18"/>
                      <w:szCs w:val="18"/>
                    </w:rPr>
                    <w:t>LC-MS(LC1100/G</w:t>
                  </w:r>
                </w:p>
                <w:p w14:paraId="62BAB6B6">
                  <w:pPr>
                    <w:jc w:val="center"/>
                    <w:rPr>
                      <w:snapToGrid w:val="0"/>
                      <w:color w:val="auto"/>
                      <w:sz w:val="18"/>
                      <w:szCs w:val="18"/>
                    </w:rPr>
                  </w:pPr>
                  <w:r>
                    <w:rPr>
                      <w:rFonts w:hint="eastAsia"/>
                      <w:snapToGrid w:val="0"/>
                      <w:color w:val="auto"/>
                      <w:sz w:val="18"/>
                      <w:szCs w:val="18"/>
                    </w:rPr>
                    <w:t>1946D)</w:t>
                  </w:r>
                </w:p>
              </w:tc>
              <w:tc>
                <w:tcPr>
                  <w:tcW w:w="1658" w:type="dxa"/>
                  <w:vAlign w:val="center"/>
                </w:tcPr>
                <w:p w14:paraId="30005DE1">
                  <w:pPr>
                    <w:jc w:val="center"/>
                    <w:rPr>
                      <w:snapToGrid w:val="0"/>
                      <w:color w:val="auto"/>
                      <w:sz w:val="18"/>
                      <w:szCs w:val="18"/>
                    </w:rPr>
                  </w:pPr>
                  <w:r>
                    <w:rPr>
                      <w:rFonts w:hint="eastAsia"/>
                      <w:snapToGrid w:val="0"/>
                      <w:color w:val="auto"/>
                      <w:sz w:val="18"/>
                      <w:szCs w:val="18"/>
                    </w:rPr>
                    <w:t>1</w:t>
                  </w:r>
                </w:p>
              </w:tc>
            </w:tr>
            <w:tr w14:paraId="7E62DA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1229" w:type="dxa"/>
                  <w:vMerge w:val="continue"/>
                  <w:vAlign w:val="center"/>
                </w:tcPr>
                <w:p w14:paraId="37BA48A9">
                  <w:pPr>
                    <w:pStyle w:val="4"/>
                    <w:spacing w:before="0" w:after="0" w:line="240" w:lineRule="auto"/>
                    <w:jc w:val="center"/>
                    <w:rPr>
                      <w:color w:val="auto"/>
                    </w:rPr>
                  </w:pPr>
                </w:p>
              </w:tc>
              <w:tc>
                <w:tcPr>
                  <w:tcW w:w="1602" w:type="dxa"/>
                  <w:vMerge w:val="continue"/>
                  <w:vAlign w:val="center"/>
                </w:tcPr>
                <w:p w14:paraId="00824FC5">
                  <w:pPr>
                    <w:jc w:val="center"/>
                    <w:rPr>
                      <w:snapToGrid w:val="0"/>
                      <w:color w:val="auto"/>
                      <w:sz w:val="18"/>
                      <w:szCs w:val="18"/>
                    </w:rPr>
                  </w:pPr>
                </w:p>
              </w:tc>
              <w:tc>
                <w:tcPr>
                  <w:tcW w:w="2132" w:type="dxa"/>
                  <w:vAlign w:val="center"/>
                </w:tcPr>
                <w:p w14:paraId="223AD9E9">
                  <w:pPr>
                    <w:jc w:val="center"/>
                    <w:rPr>
                      <w:snapToGrid w:val="0"/>
                      <w:color w:val="auto"/>
                      <w:sz w:val="18"/>
                      <w:szCs w:val="18"/>
                    </w:rPr>
                  </w:pPr>
                  <w:r>
                    <w:rPr>
                      <w:rFonts w:hint="eastAsia"/>
                      <w:snapToGrid w:val="0"/>
                      <w:color w:val="auto"/>
                      <w:sz w:val="18"/>
                      <w:szCs w:val="18"/>
                    </w:rPr>
                    <w:t>单四级杆气相色谱-质谱联用仪</w:t>
                  </w:r>
                </w:p>
              </w:tc>
              <w:tc>
                <w:tcPr>
                  <w:tcW w:w="1693" w:type="dxa"/>
                  <w:vAlign w:val="center"/>
                </w:tcPr>
                <w:p w14:paraId="46C692F7">
                  <w:pPr>
                    <w:jc w:val="center"/>
                    <w:rPr>
                      <w:snapToGrid w:val="0"/>
                      <w:color w:val="auto"/>
                      <w:sz w:val="18"/>
                      <w:szCs w:val="18"/>
                    </w:rPr>
                  </w:pPr>
                  <w:r>
                    <w:rPr>
                      <w:rFonts w:hint="eastAsia"/>
                      <w:snapToGrid w:val="0"/>
                      <w:color w:val="auto"/>
                      <w:sz w:val="18"/>
                      <w:szCs w:val="18"/>
                    </w:rPr>
                    <w:t>/</w:t>
                  </w:r>
                </w:p>
              </w:tc>
              <w:tc>
                <w:tcPr>
                  <w:tcW w:w="1658" w:type="dxa"/>
                  <w:vAlign w:val="center"/>
                </w:tcPr>
                <w:p w14:paraId="4B00F279">
                  <w:pPr>
                    <w:jc w:val="center"/>
                    <w:rPr>
                      <w:snapToGrid w:val="0"/>
                      <w:color w:val="auto"/>
                      <w:sz w:val="18"/>
                      <w:szCs w:val="18"/>
                    </w:rPr>
                  </w:pPr>
                  <w:r>
                    <w:rPr>
                      <w:rFonts w:hint="eastAsia"/>
                      <w:snapToGrid w:val="0"/>
                      <w:color w:val="auto"/>
                      <w:sz w:val="18"/>
                      <w:szCs w:val="18"/>
                    </w:rPr>
                    <w:t>1</w:t>
                  </w:r>
                </w:p>
              </w:tc>
            </w:tr>
            <w:tr w14:paraId="210D3A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1229" w:type="dxa"/>
                  <w:vMerge w:val="continue"/>
                  <w:vAlign w:val="center"/>
                </w:tcPr>
                <w:p w14:paraId="3175C789">
                  <w:pPr>
                    <w:rPr>
                      <w:color w:val="auto"/>
                    </w:rPr>
                  </w:pPr>
                </w:p>
              </w:tc>
              <w:tc>
                <w:tcPr>
                  <w:tcW w:w="1602" w:type="dxa"/>
                  <w:vMerge w:val="continue"/>
                  <w:vAlign w:val="center"/>
                </w:tcPr>
                <w:p w14:paraId="0E749BFA">
                  <w:pPr>
                    <w:jc w:val="center"/>
                    <w:rPr>
                      <w:snapToGrid w:val="0"/>
                      <w:color w:val="auto"/>
                      <w:sz w:val="18"/>
                      <w:szCs w:val="18"/>
                    </w:rPr>
                  </w:pPr>
                </w:p>
              </w:tc>
              <w:tc>
                <w:tcPr>
                  <w:tcW w:w="2132" w:type="dxa"/>
                  <w:vAlign w:val="center"/>
                </w:tcPr>
                <w:p w14:paraId="2A908B0E">
                  <w:pPr>
                    <w:jc w:val="center"/>
                    <w:rPr>
                      <w:snapToGrid w:val="0"/>
                      <w:color w:val="auto"/>
                      <w:sz w:val="18"/>
                      <w:szCs w:val="18"/>
                    </w:rPr>
                  </w:pPr>
                  <w:r>
                    <w:rPr>
                      <w:rFonts w:hint="eastAsia"/>
                      <w:snapToGrid w:val="0"/>
                      <w:color w:val="auto"/>
                      <w:sz w:val="18"/>
                      <w:szCs w:val="18"/>
                    </w:rPr>
                    <w:t>高效液相色谱仪</w:t>
                  </w:r>
                </w:p>
              </w:tc>
              <w:tc>
                <w:tcPr>
                  <w:tcW w:w="1693" w:type="dxa"/>
                  <w:vAlign w:val="center"/>
                </w:tcPr>
                <w:p w14:paraId="06336BA3">
                  <w:pPr>
                    <w:jc w:val="center"/>
                    <w:rPr>
                      <w:snapToGrid w:val="0"/>
                      <w:color w:val="auto"/>
                      <w:sz w:val="18"/>
                      <w:szCs w:val="18"/>
                    </w:rPr>
                  </w:pPr>
                  <w:r>
                    <w:rPr>
                      <w:rFonts w:hint="eastAsia"/>
                      <w:snapToGrid w:val="0"/>
                      <w:color w:val="auto"/>
                      <w:sz w:val="18"/>
                      <w:szCs w:val="18"/>
                    </w:rPr>
                    <w:t>安捷伦</w:t>
                  </w:r>
                </w:p>
              </w:tc>
              <w:tc>
                <w:tcPr>
                  <w:tcW w:w="1658" w:type="dxa"/>
                  <w:vAlign w:val="center"/>
                </w:tcPr>
                <w:p w14:paraId="7DB4EDA1">
                  <w:pPr>
                    <w:jc w:val="center"/>
                    <w:rPr>
                      <w:snapToGrid w:val="0"/>
                      <w:color w:val="auto"/>
                      <w:sz w:val="18"/>
                      <w:szCs w:val="18"/>
                    </w:rPr>
                  </w:pPr>
                  <w:r>
                    <w:rPr>
                      <w:rFonts w:hint="eastAsia"/>
                      <w:snapToGrid w:val="0"/>
                      <w:color w:val="auto"/>
                      <w:sz w:val="18"/>
                      <w:szCs w:val="18"/>
                    </w:rPr>
                    <w:t>4</w:t>
                  </w:r>
                </w:p>
              </w:tc>
            </w:tr>
            <w:tr w14:paraId="54D53E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1229" w:type="dxa"/>
                  <w:vMerge w:val="continue"/>
                  <w:vAlign w:val="center"/>
                </w:tcPr>
                <w:p w14:paraId="137C4C46">
                  <w:pPr>
                    <w:rPr>
                      <w:color w:val="auto"/>
                    </w:rPr>
                  </w:pPr>
                </w:p>
              </w:tc>
              <w:tc>
                <w:tcPr>
                  <w:tcW w:w="1602" w:type="dxa"/>
                  <w:vMerge w:val="continue"/>
                  <w:vAlign w:val="center"/>
                </w:tcPr>
                <w:p w14:paraId="2286E110">
                  <w:pPr>
                    <w:jc w:val="center"/>
                    <w:rPr>
                      <w:snapToGrid w:val="0"/>
                      <w:color w:val="auto"/>
                      <w:sz w:val="18"/>
                      <w:szCs w:val="18"/>
                    </w:rPr>
                  </w:pPr>
                </w:p>
              </w:tc>
              <w:tc>
                <w:tcPr>
                  <w:tcW w:w="2132" w:type="dxa"/>
                  <w:vAlign w:val="center"/>
                </w:tcPr>
                <w:p w14:paraId="2B74EF2A">
                  <w:pPr>
                    <w:jc w:val="center"/>
                    <w:rPr>
                      <w:snapToGrid w:val="0"/>
                      <w:color w:val="auto"/>
                      <w:sz w:val="18"/>
                      <w:szCs w:val="18"/>
                    </w:rPr>
                  </w:pPr>
                  <w:r>
                    <w:rPr>
                      <w:rFonts w:hint="eastAsia"/>
                      <w:snapToGrid w:val="0"/>
                      <w:color w:val="auto"/>
                      <w:sz w:val="18"/>
                      <w:szCs w:val="18"/>
                    </w:rPr>
                    <w:t>超高效液相色谱仪</w:t>
                  </w:r>
                </w:p>
              </w:tc>
              <w:tc>
                <w:tcPr>
                  <w:tcW w:w="1693" w:type="dxa"/>
                  <w:vAlign w:val="center"/>
                </w:tcPr>
                <w:p w14:paraId="4007FB9E">
                  <w:pPr>
                    <w:jc w:val="center"/>
                    <w:rPr>
                      <w:snapToGrid w:val="0"/>
                      <w:color w:val="auto"/>
                      <w:sz w:val="18"/>
                      <w:szCs w:val="18"/>
                    </w:rPr>
                  </w:pPr>
                  <w:r>
                    <w:rPr>
                      <w:rFonts w:hint="eastAsia"/>
                      <w:snapToGrid w:val="0"/>
                      <w:color w:val="auto"/>
                      <w:sz w:val="18"/>
                      <w:szCs w:val="18"/>
                    </w:rPr>
                    <w:t>/</w:t>
                  </w:r>
                </w:p>
              </w:tc>
              <w:tc>
                <w:tcPr>
                  <w:tcW w:w="1658" w:type="dxa"/>
                  <w:vAlign w:val="center"/>
                </w:tcPr>
                <w:p w14:paraId="0D4CC2AE">
                  <w:pPr>
                    <w:jc w:val="center"/>
                    <w:rPr>
                      <w:snapToGrid w:val="0"/>
                      <w:color w:val="auto"/>
                      <w:sz w:val="18"/>
                      <w:szCs w:val="18"/>
                    </w:rPr>
                  </w:pPr>
                  <w:r>
                    <w:rPr>
                      <w:rFonts w:hint="eastAsia"/>
                      <w:snapToGrid w:val="0"/>
                      <w:color w:val="auto"/>
                      <w:sz w:val="18"/>
                      <w:szCs w:val="18"/>
                    </w:rPr>
                    <w:t>1</w:t>
                  </w:r>
                </w:p>
              </w:tc>
            </w:tr>
            <w:tr w14:paraId="2D2214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1229" w:type="dxa"/>
                  <w:vMerge w:val="continue"/>
                  <w:vAlign w:val="center"/>
                </w:tcPr>
                <w:p w14:paraId="13C6559F">
                  <w:pPr>
                    <w:rPr>
                      <w:color w:val="auto"/>
                    </w:rPr>
                  </w:pPr>
                </w:p>
              </w:tc>
              <w:tc>
                <w:tcPr>
                  <w:tcW w:w="1602" w:type="dxa"/>
                  <w:vMerge w:val="continue"/>
                  <w:vAlign w:val="center"/>
                </w:tcPr>
                <w:p w14:paraId="3ACF7474">
                  <w:pPr>
                    <w:jc w:val="center"/>
                    <w:rPr>
                      <w:snapToGrid w:val="0"/>
                      <w:color w:val="auto"/>
                      <w:sz w:val="18"/>
                      <w:szCs w:val="18"/>
                    </w:rPr>
                  </w:pPr>
                </w:p>
              </w:tc>
              <w:tc>
                <w:tcPr>
                  <w:tcW w:w="2132" w:type="dxa"/>
                  <w:vAlign w:val="center"/>
                </w:tcPr>
                <w:p w14:paraId="43B348C1">
                  <w:pPr>
                    <w:jc w:val="center"/>
                    <w:rPr>
                      <w:snapToGrid w:val="0"/>
                      <w:color w:val="auto"/>
                      <w:sz w:val="18"/>
                      <w:szCs w:val="18"/>
                    </w:rPr>
                  </w:pPr>
                  <w:r>
                    <w:rPr>
                      <w:rFonts w:hint="eastAsia"/>
                      <w:snapToGrid w:val="0"/>
                      <w:color w:val="auto"/>
                      <w:sz w:val="18"/>
                      <w:szCs w:val="18"/>
                    </w:rPr>
                    <w:t>低温恒温反应浴</w:t>
                  </w:r>
                </w:p>
              </w:tc>
              <w:tc>
                <w:tcPr>
                  <w:tcW w:w="1693" w:type="dxa"/>
                  <w:vAlign w:val="center"/>
                </w:tcPr>
                <w:p w14:paraId="4FFAD9F2">
                  <w:pPr>
                    <w:jc w:val="center"/>
                    <w:rPr>
                      <w:snapToGrid w:val="0"/>
                      <w:color w:val="auto"/>
                      <w:sz w:val="18"/>
                      <w:szCs w:val="18"/>
                    </w:rPr>
                  </w:pPr>
                  <w:r>
                    <w:rPr>
                      <w:rFonts w:hint="eastAsia"/>
                      <w:snapToGrid w:val="0"/>
                      <w:color w:val="auto"/>
                      <w:sz w:val="18"/>
                      <w:szCs w:val="18"/>
                    </w:rPr>
                    <w:t>/</w:t>
                  </w:r>
                </w:p>
              </w:tc>
              <w:tc>
                <w:tcPr>
                  <w:tcW w:w="1658" w:type="dxa"/>
                  <w:vAlign w:val="center"/>
                </w:tcPr>
                <w:p w14:paraId="6587FDD7">
                  <w:pPr>
                    <w:jc w:val="center"/>
                    <w:rPr>
                      <w:snapToGrid w:val="0"/>
                      <w:color w:val="auto"/>
                      <w:sz w:val="18"/>
                      <w:szCs w:val="18"/>
                    </w:rPr>
                  </w:pPr>
                  <w:r>
                    <w:rPr>
                      <w:rFonts w:hint="eastAsia"/>
                      <w:snapToGrid w:val="0"/>
                      <w:color w:val="auto"/>
                      <w:sz w:val="18"/>
                      <w:szCs w:val="18"/>
                    </w:rPr>
                    <w:t>1</w:t>
                  </w:r>
                </w:p>
              </w:tc>
            </w:tr>
            <w:tr w14:paraId="50909E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1229" w:type="dxa"/>
                  <w:vMerge w:val="continue"/>
                  <w:vAlign w:val="center"/>
                </w:tcPr>
                <w:p w14:paraId="0F7EDB3B">
                  <w:pPr>
                    <w:rPr>
                      <w:color w:val="auto"/>
                    </w:rPr>
                  </w:pPr>
                </w:p>
              </w:tc>
              <w:tc>
                <w:tcPr>
                  <w:tcW w:w="1602" w:type="dxa"/>
                  <w:vMerge w:val="restart"/>
                  <w:vAlign w:val="center"/>
                </w:tcPr>
                <w:p w14:paraId="10AD1F62">
                  <w:pPr>
                    <w:jc w:val="center"/>
                    <w:rPr>
                      <w:snapToGrid w:val="0"/>
                      <w:color w:val="auto"/>
                      <w:sz w:val="18"/>
                      <w:szCs w:val="18"/>
                    </w:rPr>
                  </w:pPr>
                  <w:r>
                    <w:rPr>
                      <w:rFonts w:hint="eastAsia"/>
                      <w:snapToGrid w:val="0"/>
                      <w:color w:val="auto"/>
                      <w:sz w:val="18"/>
                      <w:szCs w:val="18"/>
                    </w:rPr>
                    <w:t>均质</w:t>
                  </w:r>
                </w:p>
              </w:tc>
              <w:tc>
                <w:tcPr>
                  <w:tcW w:w="2132" w:type="dxa"/>
                  <w:vAlign w:val="center"/>
                </w:tcPr>
                <w:p w14:paraId="5C99A7E0">
                  <w:pPr>
                    <w:jc w:val="center"/>
                    <w:rPr>
                      <w:snapToGrid w:val="0"/>
                      <w:color w:val="auto"/>
                      <w:sz w:val="18"/>
                      <w:szCs w:val="18"/>
                    </w:rPr>
                  </w:pPr>
                  <w:r>
                    <w:rPr>
                      <w:rFonts w:hint="eastAsia"/>
                      <w:snapToGrid w:val="0"/>
                      <w:color w:val="auto"/>
                      <w:sz w:val="18"/>
                      <w:szCs w:val="18"/>
                    </w:rPr>
                    <w:t>电子天平</w:t>
                  </w:r>
                </w:p>
              </w:tc>
              <w:tc>
                <w:tcPr>
                  <w:tcW w:w="1693" w:type="dxa"/>
                  <w:vAlign w:val="center"/>
                </w:tcPr>
                <w:p w14:paraId="0DCA1BD6">
                  <w:pPr>
                    <w:jc w:val="center"/>
                    <w:rPr>
                      <w:snapToGrid w:val="0"/>
                      <w:color w:val="auto"/>
                      <w:sz w:val="18"/>
                      <w:szCs w:val="18"/>
                    </w:rPr>
                  </w:pPr>
                  <w:r>
                    <w:rPr>
                      <w:rFonts w:hint="eastAsia"/>
                      <w:snapToGrid w:val="0"/>
                      <w:color w:val="auto"/>
                      <w:sz w:val="18"/>
                      <w:szCs w:val="18"/>
                    </w:rPr>
                    <w:t>万分之一</w:t>
                  </w:r>
                </w:p>
              </w:tc>
              <w:tc>
                <w:tcPr>
                  <w:tcW w:w="1658" w:type="dxa"/>
                  <w:vAlign w:val="center"/>
                </w:tcPr>
                <w:p w14:paraId="1D9AA3F5">
                  <w:pPr>
                    <w:jc w:val="center"/>
                    <w:rPr>
                      <w:snapToGrid w:val="0"/>
                      <w:color w:val="auto"/>
                      <w:sz w:val="18"/>
                      <w:szCs w:val="18"/>
                    </w:rPr>
                  </w:pPr>
                  <w:r>
                    <w:rPr>
                      <w:rFonts w:hint="eastAsia"/>
                      <w:snapToGrid w:val="0"/>
                      <w:color w:val="auto"/>
                      <w:sz w:val="18"/>
                      <w:szCs w:val="18"/>
                    </w:rPr>
                    <w:t>8</w:t>
                  </w:r>
                </w:p>
              </w:tc>
            </w:tr>
            <w:tr w14:paraId="223777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1229" w:type="dxa"/>
                  <w:vMerge w:val="continue"/>
                  <w:vAlign w:val="center"/>
                </w:tcPr>
                <w:p w14:paraId="572B21E1">
                  <w:pPr>
                    <w:rPr>
                      <w:color w:val="auto"/>
                    </w:rPr>
                  </w:pPr>
                </w:p>
              </w:tc>
              <w:tc>
                <w:tcPr>
                  <w:tcW w:w="1602" w:type="dxa"/>
                  <w:vMerge w:val="continue"/>
                  <w:vAlign w:val="center"/>
                </w:tcPr>
                <w:p w14:paraId="2CBFAB47">
                  <w:pPr>
                    <w:jc w:val="center"/>
                    <w:rPr>
                      <w:snapToGrid w:val="0"/>
                      <w:color w:val="auto"/>
                      <w:sz w:val="18"/>
                      <w:szCs w:val="18"/>
                    </w:rPr>
                  </w:pPr>
                </w:p>
              </w:tc>
              <w:tc>
                <w:tcPr>
                  <w:tcW w:w="2132" w:type="dxa"/>
                  <w:vAlign w:val="center"/>
                </w:tcPr>
                <w:p w14:paraId="501A83E8">
                  <w:pPr>
                    <w:jc w:val="center"/>
                    <w:rPr>
                      <w:snapToGrid w:val="0"/>
                      <w:color w:val="auto"/>
                      <w:sz w:val="18"/>
                      <w:szCs w:val="18"/>
                    </w:rPr>
                  </w:pPr>
                  <w:r>
                    <w:rPr>
                      <w:rFonts w:hint="eastAsia"/>
                      <w:snapToGrid w:val="0"/>
                      <w:color w:val="auto"/>
                      <w:sz w:val="18"/>
                      <w:szCs w:val="18"/>
                    </w:rPr>
                    <w:t>电子天平</w:t>
                  </w:r>
                </w:p>
              </w:tc>
              <w:tc>
                <w:tcPr>
                  <w:tcW w:w="1693" w:type="dxa"/>
                  <w:vAlign w:val="center"/>
                </w:tcPr>
                <w:p w14:paraId="24432F34">
                  <w:pPr>
                    <w:jc w:val="center"/>
                    <w:rPr>
                      <w:snapToGrid w:val="0"/>
                      <w:color w:val="auto"/>
                      <w:sz w:val="18"/>
                      <w:szCs w:val="18"/>
                    </w:rPr>
                  </w:pPr>
                  <w:r>
                    <w:rPr>
                      <w:rFonts w:hint="eastAsia"/>
                      <w:snapToGrid w:val="0"/>
                      <w:color w:val="auto"/>
                      <w:sz w:val="18"/>
                      <w:szCs w:val="18"/>
                    </w:rPr>
                    <w:t>十万分之一</w:t>
                  </w:r>
                </w:p>
              </w:tc>
              <w:tc>
                <w:tcPr>
                  <w:tcW w:w="1658" w:type="dxa"/>
                  <w:vAlign w:val="center"/>
                </w:tcPr>
                <w:p w14:paraId="4076A227">
                  <w:pPr>
                    <w:jc w:val="center"/>
                    <w:rPr>
                      <w:snapToGrid w:val="0"/>
                      <w:color w:val="auto"/>
                      <w:sz w:val="18"/>
                      <w:szCs w:val="18"/>
                    </w:rPr>
                  </w:pPr>
                  <w:r>
                    <w:rPr>
                      <w:rFonts w:hint="eastAsia"/>
                      <w:snapToGrid w:val="0"/>
                      <w:color w:val="auto"/>
                      <w:sz w:val="18"/>
                      <w:szCs w:val="18"/>
                    </w:rPr>
                    <w:t>1</w:t>
                  </w:r>
                </w:p>
              </w:tc>
            </w:tr>
            <w:tr w14:paraId="25432A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1229" w:type="dxa"/>
                  <w:vMerge w:val="continue"/>
                  <w:vAlign w:val="center"/>
                </w:tcPr>
                <w:p w14:paraId="44FDBD30">
                  <w:pPr>
                    <w:rPr>
                      <w:color w:val="auto"/>
                    </w:rPr>
                  </w:pPr>
                </w:p>
              </w:tc>
              <w:tc>
                <w:tcPr>
                  <w:tcW w:w="1602" w:type="dxa"/>
                  <w:vMerge w:val="continue"/>
                  <w:vAlign w:val="center"/>
                </w:tcPr>
                <w:p w14:paraId="554FAFDB">
                  <w:pPr>
                    <w:jc w:val="center"/>
                    <w:rPr>
                      <w:snapToGrid w:val="0"/>
                      <w:color w:val="auto"/>
                      <w:sz w:val="18"/>
                      <w:szCs w:val="18"/>
                    </w:rPr>
                  </w:pPr>
                </w:p>
              </w:tc>
              <w:tc>
                <w:tcPr>
                  <w:tcW w:w="2132" w:type="dxa"/>
                  <w:vAlign w:val="center"/>
                </w:tcPr>
                <w:p w14:paraId="6D1A4118">
                  <w:pPr>
                    <w:jc w:val="center"/>
                    <w:rPr>
                      <w:snapToGrid w:val="0"/>
                      <w:color w:val="auto"/>
                      <w:sz w:val="18"/>
                      <w:szCs w:val="18"/>
                    </w:rPr>
                  </w:pPr>
                  <w:r>
                    <w:rPr>
                      <w:rFonts w:hint="eastAsia"/>
                      <w:snapToGrid w:val="0"/>
                      <w:color w:val="auto"/>
                      <w:sz w:val="18"/>
                      <w:szCs w:val="18"/>
                    </w:rPr>
                    <w:t>电子天平</w:t>
                  </w:r>
                </w:p>
              </w:tc>
              <w:tc>
                <w:tcPr>
                  <w:tcW w:w="1693" w:type="dxa"/>
                  <w:vAlign w:val="center"/>
                </w:tcPr>
                <w:p w14:paraId="23401C13">
                  <w:pPr>
                    <w:jc w:val="center"/>
                    <w:rPr>
                      <w:snapToGrid w:val="0"/>
                      <w:color w:val="auto"/>
                      <w:sz w:val="18"/>
                      <w:szCs w:val="18"/>
                    </w:rPr>
                  </w:pPr>
                  <w:r>
                    <w:rPr>
                      <w:rFonts w:hint="eastAsia"/>
                      <w:snapToGrid w:val="0"/>
                      <w:color w:val="auto"/>
                      <w:sz w:val="18"/>
                      <w:szCs w:val="18"/>
                    </w:rPr>
                    <w:t>百万分之一</w:t>
                  </w:r>
                </w:p>
              </w:tc>
              <w:tc>
                <w:tcPr>
                  <w:tcW w:w="1658" w:type="dxa"/>
                  <w:vAlign w:val="center"/>
                </w:tcPr>
                <w:p w14:paraId="6D81BD2C">
                  <w:pPr>
                    <w:jc w:val="center"/>
                    <w:rPr>
                      <w:snapToGrid w:val="0"/>
                      <w:color w:val="auto"/>
                      <w:sz w:val="18"/>
                      <w:szCs w:val="18"/>
                    </w:rPr>
                  </w:pPr>
                  <w:r>
                    <w:rPr>
                      <w:rFonts w:hint="eastAsia"/>
                      <w:snapToGrid w:val="0"/>
                      <w:color w:val="auto"/>
                      <w:sz w:val="18"/>
                      <w:szCs w:val="18"/>
                    </w:rPr>
                    <w:t>1</w:t>
                  </w:r>
                </w:p>
              </w:tc>
            </w:tr>
            <w:tr w14:paraId="6BB1FD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1229" w:type="dxa"/>
                  <w:vMerge w:val="continue"/>
                  <w:vAlign w:val="center"/>
                </w:tcPr>
                <w:p w14:paraId="1CC76730">
                  <w:pPr>
                    <w:rPr>
                      <w:color w:val="auto"/>
                    </w:rPr>
                  </w:pPr>
                </w:p>
              </w:tc>
              <w:tc>
                <w:tcPr>
                  <w:tcW w:w="1602" w:type="dxa"/>
                  <w:vMerge w:val="restart"/>
                  <w:vAlign w:val="center"/>
                </w:tcPr>
                <w:p w14:paraId="28CE6A37">
                  <w:pPr>
                    <w:jc w:val="center"/>
                    <w:rPr>
                      <w:snapToGrid w:val="0"/>
                      <w:color w:val="auto"/>
                      <w:sz w:val="18"/>
                      <w:szCs w:val="18"/>
                    </w:rPr>
                  </w:pPr>
                  <w:r>
                    <w:rPr>
                      <w:rFonts w:hint="eastAsia"/>
                      <w:snapToGrid w:val="0"/>
                      <w:color w:val="auto"/>
                      <w:sz w:val="18"/>
                      <w:szCs w:val="18"/>
                    </w:rPr>
                    <w:t>均匀性初检、稳定性评估</w:t>
                  </w:r>
                </w:p>
              </w:tc>
              <w:tc>
                <w:tcPr>
                  <w:tcW w:w="2132" w:type="dxa"/>
                  <w:vAlign w:val="center"/>
                </w:tcPr>
                <w:p w14:paraId="11CD884A">
                  <w:pPr>
                    <w:jc w:val="center"/>
                    <w:rPr>
                      <w:snapToGrid w:val="0"/>
                      <w:color w:val="auto"/>
                      <w:sz w:val="18"/>
                      <w:szCs w:val="18"/>
                    </w:rPr>
                  </w:pPr>
                  <w:r>
                    <w:rPr>
                      <w:rFonts w:hint="eastAsia"/>
                      <w:snapToGrid w:val="0"/>
                      <w:color w:val="auto"/>
                      <w:sz w:val="18"/>
                      <w:szCs w:val="18"/>
                    </w:rPr>
                    <w:t>酸度计</w:t>
                  </w:r>
                </w:p>
              </w:tc>
              <w:tc>
                <w:tcPr>
                  <w:tcW w:w="1693" w:type="dxa"/>
                  <w:vAlign w:val="center"/>
                </w:tcPr>
                <w:p w14:paraId="14F23D3A">
                  <w:pPr>
                    <w:jc w:val="center"/>
                    <w:rPr>
                      <w:snapToGrid w:val="0"/>
                      <w:color w:val="auto"/>
                      <w:sz w:val="18"/>
                      <w:szCs w:val="18"/>
                    </w:rPr>
                  </w:pPr>
                  <w:r>
                    <w:rPr>
                      <w:rFonts w:hint="eastAsia"/>
                      <w:snapToGrid w:val="0"/>
                      <w:color w:val="auto"/>
                      <w:sz w:val="18"/>
                      <w:szCs w:val="18"/>
                    </w:rPr>
                    <w:t>PHS-3C 型</w:t>
                  </w:r>
                </w:p>
              </w:tc>
              <w:tc>
                <w:tcPr>
                  <w:tcW w:w="1658" w:type="dxa"/>
                  <w:vAlign w:val="center"/>
                </w:tcPr>
                <w:p w14:paraId="2C239258">
                  <w:pPr>
                    <w:jc w:val="center"/>
                    <w:rPr>
                      <w:snapToGrid w:val="0"/>
                      <w:color w:val="auto"/>
                      <w:sz w:val="18"/>
                      <w:szCs w:val="18"/>
                    </w:rPr>
                  </w:pPr>
                  <w:r>
                    <w:rPr>
                      <w:rFonts w:hint="eastAsia"/>
                      <w:snapToGrid w:val="0"/>
                      <w:color w:val="auto"/>
                      <w:sz w:val="18"/>
                      <w:szCs w:val="18"/>
                    </w:rPr>
                    <w:t>2</w:t>
                  </w:r>
                </w:p>
              </w:tc>
            </w:tr>
            <w:tr w14:paraId="2B40E5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1229" w:type="dxa"/>
                  <w:vMerge w:val="continue"/>
                  <w:vAlign w:val="center"/>
                </w:tcPr>
                <w:p w14:paraId="39209F70">
                  <w:pPr>
                    <w:rPr>
                      <w:color w:val="auto"/>
                    </w:rPr>
                  </w:pPr>
                </w:p>
              </w:tc>
              <w:tc>
                <w:tcPr>
                  <w:tcW w:w="1602" w:type="dxa"/>
                  <w:vMerge w:val="continue"/>
                  <w:vAlign w:val="center"/>
                </w:tcPr>
                <w:p w14:paraId="3391709E">
                  <w:pPr>
                    <w:jc w:val="center"/>
                    <w:rPr>
                      <w:snapToGrid w:val="0"/>
                      <w:color w:val="auto"/>
                      <w:sz w:val="18"/>
                      <w:szCs w:val="18"/>
                    </w:rPr>
                  </w:pPr>
                </w:p>
              </w:tc>
              <w:tc>
                <w:tcPr>
                  <w:tcW w:w="2132" w:type="dxa"/>
                  <w:vAlign w:val="center"/>
                </w:tcPr>
                <w:p w14:paraId="6D9A2A92">
                  <w:pPr>
                    <w:jc w:val="center"/>
                    <w:rPr>
                      <w:snapToGrid w:val="0"/>
                      <w:color w:val="auto"/>
                      <w:sz w:val="18"/>
                      <w:szCs w:val="18"/>
                    </w:rPr>
                  </w:pPr>
                  <w:r>
                    <w:rPr>
                      <w:rFonts w:hint="eastAsia"/>
                      <w:snapToGrid w:val="0"/>
                      <w:color w:val="auto"/>
                      <w:sz w:val="18"/>
                      <w:szCs w:val="18"/>
                    </w:rPr>
                    <w:t>箱式电阻炉</w:t>
                  </w:r>
                </w:p>
              </w:tc>
              <w:tc>
                <w:tcPr>
                  <w:tcW w:w="1693" w:type="dxa"/>
                  <w:vAlign w:val="center"/>
                </w:tcPr>
                <w:p w14:paraId="4E6026B0">
                  <w:pPr>
                    <w:jc w:val="center"/>
                    <w:rPr>
                      <w:snapToGrid w:val="0"/>
                      <w:color w:val="auto"/>
                      <w:sz w:val="18"/>
                      <w:szCs w:val="18"/>
                    </w:rPr>
                  </w:pPr>
                  <w:r>
                    <w:rPr>
                      <w:rFonts w:hint="eastAsia"/>
                      <w:snapToGrid w:val="0"/>
                      <w:color w:val="auto"/>
                      <w:sz w:val="18"/>
                      <w:szCs w:val="18"/>
                    </w:rPr>
                    <w:t>SX2-2.5-10N</w:t>
                  </w:r>
                </w:p>
              </w:tc>
              <w:tc>
                <w:tcPr>
                  <w:tcW w:w="1658" w:type="dxa"/>
                  <w:vAlign w:val="center"/>
                </w:tcPr>
                <w:p w14:paraId="59B90D52">
                  <w:pPr>
                    <w:jc w:val="center"/>
                    <w:rPr>
                      <w:snapToGrid w:val="0"/>
                      <w:color w:val="auto"/>
                      <w:sz w:val="18"/>
                      <w:szCs w:val="18"/>
                    </w:rPr>
                  </w:pPr>
                  <w:r>
                    <w:rPr>
                      <w:rFonts w:hint="eastAsia"/>
                      <w:snapToGrid w:val="0"/>
                      <w:color w:val="auto"/>
                      <w:sz w:val="18"/>
                      <w:szCs w:val="18"/>
                    </w:rPr>
                    <w:t>1</w:t>
                  </w:r>
                </w:p>
              </w:tc>
            </w:tr>
            <w:tr w14:paraId="4B24D6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1229" w:type="dxa"/>
                  <w:vMerge w:val="continue"/>
                  <w:vAlign w:val="center"/>
                </w:tcPr>
                <w:p w14:paraId="73AD2F07">
                  <w:pPr>
                    <w:rPr>
                      <w:color w:val="auto"/>
                    </w:rPr>
                  </w:pPr>
                </w:p>
              </w:tc>
              <w:tc>
                <w:tcPr>
                  <w:tcW w:w="1602" w:type="dxa"/>
                  <w:vMerge w:val="continue"/>
                  <w:vAlign w:val="center"/>
                </w:tcPr>
                <w:p w14:paraId="55F2097E">
                  <w:pPr>
                    <w:jc w:val="center"/>
                    <w:rPr>
                      <w:snapToGrid w:val="0"/>
                      <w:color w:val="auto"/>
                      <w:sz w:val="18"/>
                      <w:szCs w:val="18"/>
                    </w:rPr>
                  </w:pPr>
                </w:p>
              </w:tc>
              <w:tc>
                <w:tcPr>
                  <w:tcW w:w="2132" w:type="dxa"/>
                  <w:vAlign w:val="center"/>
                </w:tcPr>
                <w:p w14:paraId="4162FA9E">
                  <w:pPr>
                    <w:jc w:val="center"/>
                    <w:rPr>
                      <w:snapToGrid w:val="0"/>
                      <w:color w:val="auto"/>
                      <w:sz w:val="18"/>
                      <w:szCs w:val="18"/>
                    </w:rPr>
                  </w:pPr>
                  <w:r>
                    <w:rPr>
                      <w:rFonts w:hint="eastAsia"/>
                      <w:snapToGrid w:val="0"/>
                      <w:color w:val="auto"/>
                      <w:sz w:val="18"/>
                      <w:szCs w:val="18"/>
                    </w:rPr>
                    <w:t>紫外可见分光光度计</w:t>
                  </w:r>
                </w:p>
              </w:tc>
              <w:tc>
                <w:tcPr>
                  <w:tcW w:w="1693" w:type="dxa"/>
                  <w:vAlign w:val="center"/>
                </w:tcPr>
                <w:p w14:paraId="0D35630E">
                  <w:pPr>
                    <w:jc w:val="center"/>
                    <w:rPr>
                      <w:snapToGrid w:val="0"/>
                      <w:color w:val="auto"/>
                      <w:sz w:val="18"/>
                      <w:szCs w:val="18"/>
                    </w:rPr>
                  </w:pPr>
                  <w:r>
                    <w:rPr>
                      <w:rFonts w:hint="eastAsia"/>
                      <w:snapToGrid w:val="0"/>
                      <w:color w:val="auto"/>
                      <w:sz w:val="18"/>
                      <w:szCs w:val="18"/>
                    </w:rPr>
                    <w:t>759S</w:t>
                  </w:r>
                </w:p>
              </w:tc>
              <w:tc>
                <w:tcPr>
                  <w:tcW w:w="1658" w:type="dxa"/>
                  <w:vAlign w:val="center"/>
                </w:tcPr>
                <w:p w14:paraId="5425D9E4">
                  <w:pPr>
                    <w:jc w:val="center"/>
                    <w:rPr>
                      <w:snapToGrid w:val="0"/>
                      <w:color w:val="auto"/>
                      <w:sz w:val="18"/>
                      <w:szCs w:val="18"/>
                    </w:rPr>
                  </w:pPr>
                  <w:r>
                    <w:rPr>
                      <w:rFonts w:hint="eastAsia"/>
                      <w:snapToGrid w:val="0"/>
                      <w:color w:val="auto"/>
                      <w:sz w:val="18"/>
                      <w:szCs w:val="18"/>
                    </w:rPr>
                    <w:t>1</w:t>
                  </w:r>
                </w:p>
              </w:tc>
            </w:tr>
            <w:tr w14:paraId="20A1F3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229" w:type="dxa"/>
                  <w:vMerge w:val="continue"/>
                  <w:vAlign w:val="center"/>
                </w:tcPr>
                <w:p w14:paraId="5F43AC5A">
                  <w:pPr>
                    <w:rPr>
                      <w:color w:val="auto"/>
                    </w:rPr>
                  </w:pPr>
                </w:p>
              </w:tc>
              <w:tc>
                <w:tcPr>
                  <w:tcW w:w="1602" w:type="dxa"/>
                  <w:vMerge w:val="continue"/>
                  <w:vAlign w:val="center"/>
                </w:tcPr>
                <w:p w14:paraId="4237E9D6">
                  <w:pPr>
                    <w:jc w:val="center"/>
                    <w:rPr>
                      <w:snapToGrid w:val="0"/>
                      <w:color w:val="auto"/>
                      <w:sz w:val="18"/>
                      <w:szCs w:val="18"/>
                    </w:rPr>
                  </w:pPr>
                </w:p>
              </w:tc>
              <w:tc>
                <w:tcPr>
                  <w:tcW w:w="2132" w:type="dxa"/>
                  <w:vAlign w:val="center"/>
                </w:tcPr>
                <w:p w14:paraId="76129B38">
                  <w:pPr>
                    <w:jc w:val="center"/>
                    <w:rPr>
                      <w:snapToGrid w:val="0"/>
                      <w:color w:val="auto"/>
                      <w:sz w:val="18"/>
                      <w:szCs w:val="18"/>
                    </w:rPr>
                  </w:pPr>
                  <w:r>
                    <w:rPr>
                      <w:rFonts w:hint="eastAsia"/>
                      <w:snapToGrid w:val="0"/>
                      <w:color w:val="auto"/>
                      <w:sz w:val="18"/>
                      <w:szCs w:val="18"/>
                    </w:rPr>
                    <w:t>红外光谱仪</w:t>
                  </w:r>
                </w:p>
              </w:tc>
              <w:tc>
                <w:tcPr>
                  <w:tcW w:w="1693" w:type="dxa"/>
                  <w:vAlign w:val="center"/>
                </w:tcPr>
                <w:p w14:paraId="42D9A370">
                  <w:pPr>
                    <w:jc w:val="center"/>
                    <w:rPr>
                      <w:snapToGrid w:val="0"/>
                      <w:color w:val="auto"/>
                      <w:sz w:val="18"/>
                      <w:szCs w:val="18"/>
                    </w:rPr>
                  </w:pPr>
                  <w:r>
                    <w:rPr>
                      <w:rFonts w:hint="eastAsia"/>
                      <w:snapToGrid w:val="0"/>
                      <w:color w:val="auto"/>
                      <w:sz w:val="18"/>
                      <w:szCs w:val="18"/>
                    </w:rPr>
                    <w:t>/</w:t>
                  </w:r>
                </w:p>
              </w:tc>
              <w:tc>
                <w:tcPr>
                  <w:tcW w:w="1658" w:type="dxa"/>
                  <w:vAlign w:val="center"/>
                </w:tcPr>
                <w:p w14:paraId="325FCF56">
                  <w:pPr>
                    <w:jc w:val="center"/>
                    <w:rPr>
                      <w:snapToGrid w:val="0"/>
                      <w:color w:val="auto"/>
                      <w:sz w:val="18"/>
                      <w:szCs w:val="18"/>
                    </w:rPr>
                  </w:pPr>
                  <w:r>
                    <w:rPr>
                      <w:rFonts w:hint="eastAsia"/>
                      <w:snapToGrid w:val="0"/>
                      <w:color w:val="auto"/>
                      <w:sz w:val="18"/>
                      <w:szCs w:val="18"/>
                    </w:rPr>
                    <w:t>1</w:t>
                  </w:r>
                </w:p>
              </w:tc>
            </w:tr>
            <w:tr w14:paraId="1219D0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1229" w:type="dxa"/>
                  <w:vMerge w:val="continue"/>
                  <w:vAlign w:val="center"/>
                </w:tcPr>
                <w:p w14:paraId="7FFFC1BC">
                  <w:pPr>
                    <w:rPr>
                      <w:color w:val="auto"/>
                    </w:rPr>
                  </w:pPr>
                </w:p>
              </w:tc>
              <w:tc>
                <w:tcPr>
                  <w:tcW w:w="1602" w:type="dxa"/>
                  <w:vMerge w:val="continue"/>
                  <w:vAlign w:val="center"/>
                </w:tcPr>
                <w:p w14:paraId="11B857AA">
                  <w:pPr>
                    <w:jc w:val="center"/>
                    <w:rPr>
                      <w:snapToGrid w:val="0"/>
                      <w:color w:val="auto"/>
                      <w:sz w:val="18"/>
                      <w:szCs w:val="18"/>
                    </w:rPr>
                  </w:pPr>
                </w:p>
              </w:tc>
              <w:tc>
                <w:tcPr>
                  <w:tcW w:w="2132" w:type="dxa"/>
                  <w:vAlign w:val="center"/>
                </w:tcPr>
                <w:p w14:paraId="6807CCBA">
                  <w:pPr>
                    <w:jc w:val="center"/>
                    <w:rPr>
                      <w:snapToGrid w:val="0"/>
                      <w:color w:val="auto"/>
                      <w:sz w:val="18"/>
                      <w:szCs w:val="18"/>
                    </w:rPr>
                  </w:pPr>
                  <w:r>
                    <w:rPr>
                      <w:rFonts w:hint="eastAsia"/>
                      <w:snapToGrid w:val="0"/>
                      <w:color w:val="auto"/>
                      <w:sz w:val="18"/>
                      <w:szCs w:val="18"/>
                    </w:rPr>
                    <w:t>烘箱</w:t>
                  </w:r>
                </w:p>
              </w:tc>
              <w:tc>
                <w:tcPr>
                  <w:tcW w:w="1693" w:type="dxa"/>
                  <w:vAlign w:val="center"/>
                </w:tcPr>
                <w:p w14:paraId="0E45EFB6">
                  <w:pPr>
                    <w:jc w:val="center"/>
                    <w:rPr>
                      <w:snapToGrid w:val="0"/>
                      <w:color w:val="auto"/>
                      <w:sz w:val="18"/>
                      <w:szCs w:val="18"/>
                    </w:rPr>
                  </w:pPr>
                  <w:r>
                    <w:rPr>
                      <w:rFonts w:hint="eastAsia"/>
                      <w:snapToGrid w:val="0"/>
                      <w:color w:val="auto"/>
                      <w:sz w:val="18"/>
                      <w:szCs w:val="18"/>
                    </w:rPr>
                    <w:t>国产</w:t>
                  </w:r>
                </w:p>
              </w:tc>
              <w:tc>
                <w:tcPr>
                  <w:tcW w:w="1658" w:type="dxa"/>
                  <w:vAlign w:val="center"/>
                </w:tcPr>
                <w:p w14:paraId="2C09E16D">
                  <w:pPr>
                    <w:jc w:val="center"/>
                    <w:rPr>
                      <w:snapToGrid w:val="0"/>
                      <w:color w:val="auto"/>
                      <w:sz w:val="18"/>
                      <w:szCs w:val="18"/>
                    </w:rPr>
                  </w:pPr>
                  <w:r>
                    <w:rPr>
                      <w:rFonts w:hint="eastAsia"/>
                      <w:snapToGrid w:val="0"/>
                      <w:color w:val="auto"/>
                      <w:sz w:val="18"/>
                      <w:szCs w:val="18"/>
                    </w:rPr>
                    <w:t>2</w:t>
                  </w:r>
                </w:p>
              </w:tc>
            </w:tr>
            <w:tr w14:paraId="23E6A6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1229" w:type="dxa"/>
                  <w:vMerge w:val="continue"/>
                  <w:vAlign w:val="center"/>
                </w:tcPr>
                <w:p w14:paraId="037165D3">
                  <w:pPr>
                    <w:rPr>
                      <w:color w:val="auto"/>
                    </w:rPr>
                  </w:pPr>
                </w:p>
              </w:tc>
              <w:tc>
                <w:tcPr>
                  <w:tcW w:w="1602" w:type="dxa"/>
                  <w:vMerge w:val="continue"/>
                  <w:vAlign w:val="center"/>
                </w:tcPr>
                <w:p w14:paraId="305C12F0">
                  <w:pPr>
                    <w:jc w:val="center"/>
                    <w:rPr>
                      <w:snapToGrid w:val="0"/>
                      <w:color w:val="auto"/>
                      <w:sz w:val="18"/>
                      <w:szCs w:val="18"/>
                    </w:rPr>
                  </w:pPr>
                </w:p>
              </w:tc>
              <w:tc>
                <w:tcPr>
                  <w:tcW w:w="2132" w:type="dxa"/>
                  <w:vAlign w:val="center"/>
                </w:tcPr>
                <w:p w14:paraId="574F5F5F">
                  <w:pPr>
                    <w:jc w:val="center"/>
                    <w:rPr>
                      <w:snapToGrid w:val="0"/>
                      <w:color w:val="auto"/>
                      <w:sz w:val="18"/>
                      <w:szCs w:val="18"/>
                    </w:rPr>
                  </w:pPr>
                  <w:r>
                    <w:rPr>
                      <w:rFonts w:hint="eastAsia"/>
                      <w:snapToGrid w:val="0"/>
                      <w:color w:val="auto"/>
                      <w:sz w:val="18"/>
                      <w:szCs w:val="18"/>
                    </w:rPr>
                    <w:t>冻干机</w:t>
                  </w:r>
                </w:p>
              </w:tc>
              <w:tc>
                <w:tcPr>
                  <w:tcW w:w="1693" w:type="dxa"/>
                  <w:vAlign w:val="center"/>
                </w:tcPr>
                <w:p w14:paraId="1B0AA5B7">
                  <w:pPr>
                    <w:jc w:val="center"/>
                    <w:rPr>
                      <w:snapToGrid w:val="0"/>
                      <w:color w:val="auto"/>
                      <w:sz w:val="18"/>
                      <w:szCs w:val="18"/>
                    </w:rPr>
                  </w:pPr>
                  <w:r>
                    <w:rPr>
                      <w:rFonts w:hint="eastAsia"/>
                      <w:snapToGrid w:val="0"/>
                      <w:color w:val="auto"/>
                      <w:sz w:val="18"/>
                      <w:szCs w:val="18"/>
                    </w:rPr>
                    <w:t>/</w:t>
                  </w:r>
                </w:p>
              </w:tc>
              <w:tc>
                <w:tcPr>
                  <w:tcW w:w="1658" w:type="dxa"/>
                  <w:vAlign w:val="center"/>
                </w:tcPr>
                <w:p w14:paraId="02842E08">
                  <w:pPr>
                    <w:jc w:val="center"/>
                    <w:rPr>
                      <w:snapToGrid w:val="0"/>
                      <w:color w:val="auto"/>
                      <w:sz w:val="18"/>
                      <w:szCs w:val="18"/>
                    </w:rPr>
                  </w:pPr>
                  <w:r>
                    <w:rPr>
                      <w:rFonts w:hint="eastAsia"/>
                      <w:snapToGrid w:val="0"/>
                      <w:color w:val="auto"/>
                      <w:sz w:val="18"/>
                      <w:szCs w:val="18"/>
                    </w:rPr>
                    <w:t>1</w:t>
                  </w:r>
                </w:p>
              </w:tc>
            </w:tr>
            <w:tr w14:paraId="3E2868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1229" w:type="dxa"/>
                  <w:vMerge w:val="continue"/>
                  <w:vAlign w:val="center"/>
                </w:tcPr>
                <w:p w14:paraId="628E3BD1">
                  <w:pPr>
                    <w:rPr>
                      <w:color w:val="auto"/>
                    </w:rPr>
                  </w:pPr>
                  <w:r>
                    <w:rPr>
                      <w:rFonts w:hint="eastAsia"/>
                      <w:color w:val="auto"/>
                    </w:rPr>
                    <w:t>、</w:t>
                  </w:r>
                </w:p>
              </w:tc>
              <w:tc>
                <w:tcPr>
                  <w:tcW w:w="1602" w:type="dxa"/>
                  <w:vMerge w:val="continue"/>
                  <w:vAlign w:val="center"/>
                </w:tcPr>
                <w:p w14:paraId="05999E11">
                  <w:pPr>
                    <w:jc w:val="center"/>
                    <w:rPr>
                      <w:snapToGrid w:val="0"/>
                      <w:color w:val="auto"/>
                      <w:sz w:val="18"/>
                      <w:szCs w:val="18"/>
                    </w:rPr>
                  </w:pPr>
                </w:p>
              </w:tc>
              <w:tc>
                <w:tcPr>
                  <w:tcW w:w="2132" w:type="dxa"/>
                  <w:vAlign w:val="center"/>
                </w:tcPr>
                <w:p w14:paraId="71519D2F">
                  <w:pPr>
                    <w:jc w:val="center"/>
                    <w:rPr>
                      <w:snapToGrid w:val="0"/>
                      <w:color w:val="auto"/>
                      <w:sz w:val="18"/>
                      <w:szCs w:val="18"/>
                    </w:rPr>
                  </w:pPr>
                  <w:r>
                    <w:rPr>
                      <w:rFonts w:hint="eastAsia"/>
                      <w:snapToGrid w:val="0"/>
                      <w:color w:val="auto"/>
                      <w:sz w:val="18"/>
                      <w:szCs w:val="18"/>
                    </w:rPr>
                    <w:t>磁力搅拌器</w:t>
                  </w:r>
                </w:p>
              </w:tc>
              <w:tc>
                <w:tcPr>
                  <w:tcW w:w="1693" w:type="dxa"/>
                  <w:vAlign w:val="center"/>
                </w:tcPr>
                <w:p w14:paraId="6307F7F4">
                  <w:pPr>
                    <w:jc w:val="center"/>
                    <w:rPr>
                      <w:snapToGrid w:val="0"/>
                      <w:color w:val="auto"/>
                      <w:sz w:val="18"/>
                      <w:szCs w:val="18"/>
                    </w:rPr>
                  </w:pPr>
                  <w:r>
                    <w:rPr>
                      <w:rFonts w:hint="eastAsia"/>
                      <w:snapToGrid w:val="0"/>
                      <w:color w:val="auto"/>
                      <w:sz w:val="18"/>
                      <w:szCs w:val="18"/>
                    </w:rPr>
                    <w:t>/</w:t>
                  </w:r>
                </w:p>
              </w:tc>
              <w:tc>
                <w:tcPr>
                  <w:tcW w:w="1658" w:type="dxa"/>
                  <w:vAlign w:val="center"/>
                </w:tcPr>
                <w:p w14:paraId="43C02A6D">
                  <w:pPr>
                    <w:jc w:val="center"/>
                    <w:rPr>
                      <w:snapToGrid w:val="0"/>
                      <w:color w:val="auto"/>
                      <w:sz w:val="18"/>
                      <w:szCs w:val="18"/>
                    </w:rPr>
                  </w:pPr>
                  <w:r>
                    <w:rPr>
                      <w:rFonts w:hint="eastAsia"/>
                      <w:snapToGrid w:val="0"/>
                      <w:color w:val="auto"/>
                      <w:sz w:val="18"/>
                      <w:szCs w:val="18"/>
                    </w:rPr>
                    <w:t>2</w:t>
                  </w:r>
                </w:p>
              </w:tc>
            </w:tr>
            <w:tr w14:paraId="7ECECA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1229" w:type="dxa"/>
                  <w:vMerge w:val="continue"/>
                  <w:vAlign w:val="center"/>
                </w:tcPr>
                <w:p w14:paraId="2F4A163C">
                  <w:pPr>
                    <w:rPr>
                      <w:color w:val="auto"/>
                    </w:rPr>
                  </w:pPr>
                </w:p>
              </w:tc>
              <w:tc>
                <w:tcPr>
                  <w:tcW w:w="1602" w:type="dxa"/>
                  <w:vMerge w:val="continue"/>
                  <w:vAlign w:val="center"/>
                </w:tcPr>
                <w:p w14:paraId="4843BC63">
                  <w:pPr>
                    <w:jc w:val="center"/>
                    <w:rPr>
                      <w:snapToGrid w:val="0"/>
                      <w:color w:val="auto"/>
                      <w:sz w:val="18"/>
                      <w:szCs w:val="18"/>
                    </w:rPr>
                  </w:pPr>
                </w:p>
              </w:tc>
              <w:tc>
                <w:tcPr>
                  <w:tcW w:w="2132" w:type="dxa"/>
                  <w:vAlign w:val="center"/>
                </w:tcPr>
                <w:p w14:paraId="699EEB78">
                  <w:pPr>
                    <w:jc w:val="center"/>
                    <w:rPr>
                      <w:snapToGrid w:val="0"/>
                      <w:color w:val="auto"/>
                      <w:sz w:val="18"/>
                      <w:szCs w:val="18"/>
                    </w:rPr>
                  </w:pPr>
                  <w:r>
                    <w:rPr>
                      <w:rFonts w:hint="eastAsia"/>
                      <w:snapToGrid w:val="0"/>
                      <w:color w:val="auto"/>
                      <w:sz w:val="18"/>
                      <w:szCs w:val="18"/>
                    </w:rPr>
                    <w:t>离子色谱仪</w:t>
                  </w:r>
                </w:p>
              </w:tc>
              <w:tc>
                <w:tcPr>
                  <w:tcW w:w="1693" w:type="dxa"/>
                  <w:vAlign w:val="center"/>
                </w:tcPr>
                <w:p w14:paraId="10BC3BB4">
                  <w:pPr>
                    <w:jc w:val="center"/>
                    <w:rPr>
                      <w:snapToGrid w:val="0"/>
                      <w:color w:val="auto"/>
                      <w:sz w:val="18"/>
                      <w:szCs w:val="18"/>
                    </w:rPr>
                  </w:pPr>
                  <w:r>
                    <w:rPr>
                      <w:rFonts w:hint="eastAsia"/>
                      <w:snapToGrid w:val="0"/>
                      <w:color w:val="auto"/>
                      <w:sz w:val="18"/>
                      <w:szCs w:val="18"/>
                    </w:rPr>
                    <w:t>/</w:t>
                  </w:r>
                </w:p>
              </w:tc>
              <w:tc>
                <w:tcPr>
                  <w:tcW w:w="1658" w:type="dxa"/>
                  <w:vAlign w:val="center"/>
                </w:tcPr>
                <w:p w14:paraId="204B2B74">
                  <w:pPr>
                    <w:jc w:val="center"/>
                    <w:rPr>
                      <w:snapToGrid w:val="0"/>
                      <w:color w:val="auto"/>
                      <w:sz w:val="18"/>
                      <w:szCs w:val="18"/>
                    </w:rPr>
                  </w:pPr>
                  <w:r>
                    <w:rPr>
                      <w:rFonts w:hint="eastAsia"/>
                      <w:snapToGrid w:val="0"/>
                      <w:color w:val="auto"/>
                      <w:sz w:val="18"/>
                      <w:szCs w:val="18"/>
                    </w:rPr>
                    <w:t>1</w:t>
                  </w:r>
                </w:p>
              </w:tc>
            </w:tr>
            <w:tr w14:paraId="2E1050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1229" w:type="dxa"/>
                  <w:vMerge w:val="continue"/>
                  <w:vAlign w:val="center"/>
                </w:tcPr>
                <w:p w14:paraId="5E385D6F">
                  <w:pPr>
                    <w:rPr>
                      <w:color w:val="auto"/>
                    </w:rPr>
                  </w:pPr>
                </w:p>
              </w:tc>
              <w:tc>
                <w:tcPr>
                  <w:tcW w:w="1602" w:type="dxa"/>
                  <w:vMerge w:val="continue"/>
                  <w:vAlign w:val="center"/>
                </w:tcPr>
                <w:p w14:paraId="33656130">
                  <w:pPr>
                    <w:jc w:val="center"/>
                    <w:rPr>
                      <w:snapToGrid w:val="0"/>
                      <w:color w:val="auto"/>
                      <w:sz w:val="18"/>
                      <w:szCs w:val="18"/>
                    </w:rPr>
                  </w:pPr>
                </w:p>
              </w:tc>
              <w:tc>
                <w:tcPr>
                  <w:tcW w:w="2132" w:type="dxa"/>
                  <w:vAlign w:val="center"/>
                </w:tcPr>
                <w:p w14:paraId="534E3D90">
                  <w:pPr>
                    <w:jc w:val="center"/>
                    <w:rPr>
                      <w:snapToGrid w:val="0"/>
                      <w:color w:val="auto"/>
                      <w:sz w:val="18"/>
                      <w:szCs w:val="18"/>
                    </w:rPr>
                  </w:pPr>
                  <w:r>
                    <w:rPr>
                      <w:rFonts w:hint="eastAsia"/>
                      <w:snapToGrid w:val="0"/>
                      <w:color w:val="auto"/>
                      <w:sz w:val="18"/>
                      <w:szCs w:val="18"/>
                    </w:rPr>
                    <w:t>电感耦合等离子体质谱仪</w:t>
                  </w:r>
                </w:p>
              </w:tc>
              <w:tc>
                <w:tcPr>
                  <w:tcW w:w="1693" w:type="dxa"/>
                  <w:vAlign w:val="center"/>
                </w:tcPr>
                <w:p w14:paraId="7B9C8FF5">
                  <w:pPr>
                    <w:jc w:val="center"/>
                    <w:rPr>
                      <w:snapToGrid w:val="0"/>
                      <w:color w:val="auto"/>
                      <w:sz w:val="18"/>
                      <w:szCs w:val="18"/>
                    </w:rPr>
                  </w:pPr>
                  <w:r>
                    <w:rPr>
                      <w:rFonts w:hint="eastAsia"/>
                      <w:snapToGrid w:val="0"/>
                      <w:color w:val="auto"/>
                      <w:sz w:val="18"/>
                      <w:szCs w:val="18"/>
                    </w:rPr>
                    <w:t>/</w:t>
                  </w:r>
                </w:p>
              </w:tc>
              <w:tc>
                <w:tcPr>
                  <w:tcW w:w="1658" w:type="dxa"/>
                  <w:vAlign w:val="center"/>
                </w:tcPr>
                <w:p w14:paraId="404B9141">
                  <w:pPr>
                    <w:jc w:val="center"/>
                    <w:rPr>
                      <w:snapToGrid w:val="0"/>
                      <w:color w:val="auto"/>
                      <w:sz w:val="18"/>
                      <w:szCs w:val="18"/>
                    </w:rPr>
                  </w:pPr>
                  <w:r>
                    <w:rPr>
                      <w:rFonts w:hint="eastAsia"/>
                      <w:snapToGrid w:val="0"/>
                      <w:color w:val="auto"/>
                      <w:sz w:val="18"/>
                      <w:szCs w:val="18"/>
                    </w:rPr>
                    <w:t>1</w:t>
                  </w:r>
                </w:p>
              </w:tc>
            </w:tr>
            <w:tr w14:paraId="63F10F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1229" w:type="dxa"/>
                  <w:vMerge w:val="continue"/>
                  <w:vAlign w:val="center"/>
                </w:tcPr>
                <w:p w14:paraId="42DF53A3">
                  <w:pPr>
                    <w:rPr>
                      <w:color w:val="auto"/>
                    </w:rPr>
                  </w:pPr>
                </w:p>
              </w:tc>
              <w:tc>
                <w:tcPr>
                  <w:tcW w:w="1602" w:type="dxa"/>
                  <w:vMerge w:val="continue"/>
                  <w:vAlign w:val="center"/>
                </w:tcPr>
                <w:p w14:paraId="0C9876E6">
                  <w:pPr>
                    <w:jc w:val="center"/>
                    <w:rPr>
                      <w:snapToGrid w:val="0"/>
                      <w:color w:val="auto"/>
                      <w:sz w:val="18"/>
                      <w:szCs w:val="18"/>
                    </w:rPr>
                  </w:pPr>
                </w:p>
              </w:tc>
              <w:tc>
                <w:tcPr>
                  <w:tcW w:w="2132" w:type="dxa"/>
                  <w:vAlign w:val="center"/>
                </w:tcPr>
                <w:p w14:paraId="5016117F">
                  <w:pPr>
                    <w:jc w:val="center"/>
                    <w:rPr>
                      <w:snapToGrid w:val="0"/>
                      <w:color w:val="auto"/>
                      <w:sz w:val="18"/>
                      <w:szCs w:val="18"/>
                    </w:rPr>
                  </w:pPr>
                  <w:r>
                    <w:rPr>
                      <w:rFonts w:hint="eastAsia"/>
                      <w:snapToGrid w:val="0"/>
                      <w:color w:val="auto"/>
                      <w:sz w:val="18"/>
                      <w:szCs w:val="18"/>
                    </w:rPr>
                    <w:t>TGA</w:t>
                  </w:r>
                </w:p>
              </w:tc>
              <w:tc>
                <w:tcPr>
                  <w:tcW w:w="1693" w:type="dxa"/>
                  <w:vAlign w:val="center"/>
                </w:tcPr>
                <w:p w14:paraId="79AA1AF6">
                  <w:pPr>
                    <w:jc w:val="center"/>
                    <w:rPr>
                      <w:snapToGrid w:val="0"/>
                      <w:color w:val="auto"/>
                      <w:sz w:val="18"/>
                      <w:szCs w:val="18"/>
                    </w:rPr>
                  </w:pPr>
                  <w:r>
                    <w:rPr>
                      <w:rFonts w:hint="eastAsia"/>
                      <w:snapToGrid w:val="0"/>
                      <w:color w:val="auto"/>
                      <w:sz w:val="18"/>
                      <w:szCs w:val="18"/>
                    </w:rPr>
                    <w:t>TA50</w:t>
                  </w:r>
                </w:p>
              </w:tc>
              <w:tc>
                <w:tcPr>
                  <w:tcW w:w="1658" w:type="dxa"/>
                  <w:vAlign w:val="center"/>
                </w:tcPr>
                <w:p w14:paraId="0DD949CE">
                  <w:pPr>
                    <w:jc w:val="center"/>
                    <w:rPr>
                      <w:snapToGrid w:val="0"/>
                      <w:color w:val="auto"/>
                      <w:sz w:val="18"/>
                      <w:szCs w:val="18"/>
                    </w:rPr>
                  </w:pPr>
                  <w:r>
                    <w:rPr>
                      <w:rFonts w:hint="eastAsia"/>
                      <w:snapToGrid w:val="0"/>
                      <w:color w:val="auto"/>
                      <w:sz w:val="18"/>
                      <w:szCs w:val="18"/>
                    </w:rPr>
                    <w:t>1</w:t>
                  </w:r>
                </w:p>
              </w:tc>
            </w:tr>
            <w:tr w14:paraId="19C43F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1229" w:type="dxa"/>
                  <w:vMerge w:val="continue"/>
                  <w:vAlign w:val="center"/>
                </w:tcPr>
                <w:p w14:paraId="31F8B6AB">
                  <w:pPr>
                    <w:rPr>
                      <w:color w:val="auto"/>
                    </w:rPr>
                  </w:pPr>
                </w:p>
              </w:tc>
              <w:tc>
                <w:tcPr>
                  <w:tcW w:w="1602" w:type="dxa"/>
                  <w:vMerge w:val="continue"/>
                  <w:vAlign w:val="center"/>
                </w:tcPr>
                <w:p w14:paraId="2D848D9F">
                  <w:pPr>
                    <w:jc w:val="center"/>
                    <w:rPr>
                      <w:snapToGrid w:val="0"/>
                      <w:color w:val="auto"/>
                      <w:sz w:val="18"/>
                      <w:szCs w:val="18"/>
                    </w:rPr>
                  </w:pPr>
                </w:p>
              </w:tc>
              <w:tc>
                <w:tcPr>
                  <w:tcW w:w="2132" w:type="dxa"/>
                  <w:vAlign w:val="center"/>
                </w:tcPr>
                <w:p w14:paraId="5139DBE3">
                  <w:pPr>
                    <w:jc w:val="center"/>
                    <w:rPr>
                      <w:snapToGrid w:val="0"/>
                      <w:color w:val="auto"/>
                      <w:sz w:val="18"/>
                      <w:szCs w:val="18"/>
                    </w:rPr>
                  </w:pPr>
                  <w:r>
                    <w:rPr>
                      <w:rFonts w:hint="eastAsia"/>
                      <w:snapToGrid w:val="0"/>
                      <w:color w:val="auto"/>
                      <w:sz w:val="18"/>
                      <w:szCs w:val="18"/>
                    </w:rPr>
                    <w:t>气相色谱仪</w:t>
                  </w:r>
                </w:p>
              </w:tc>
              <w:tc>
                <w:tcPr>
                  <w:tcW w:w="1693" w:type="dxa"/>
                  <w:vAlign w:val="center"/>
                </w:tcPr>
                <w:p w14:paraId="33B5661D">
                  <w:pPr>
                    <w:jc w:val="center"/>
                    <w:rPr>
                      <w:snapToGrid w:val="0"/>
                      <w:color w:val="auto"/>
                      <w:sz w:val="18"/>
                      <w:szCs w:val="18"/>
                    </w:rPr>
                  </w:pPr>
                  <w:r>
                    <w:rPr>
                      <w:rFonts w:hint="eastAsia"/>
                      <w:snapToGrid w:val="0"/>
                      <w:color w:val="auto"/>
                      <w:sz w:val="18"/>
                      <w:szCs w:val="18"/>
                    </w:rPr>
                    <w:t>/</w:t>
                  </w:r>
                </w:p>
              </w:tc>
              <w:tc>
                <w:tcPr>
                  <w:tcW w:w="1658" w:type="dxa"/>
                  <w:vAlign w:val="center"/>
                </w:tcPr>
                <w:p w14:paraId="511B276C">
                  <w:pPr>
                    <w:jc w:val="center"/>
                    <w:rPr>
                      <w:snapToGrid w:val="0"/>
                      <w:color w:val="auto"/>
                      <w:sz w:val="18"/>
                      <w:szCs w:val="18"/>
                    </w:rPr>
                  </w:pPr>
                  <w:r>
                    <w:rPr>
                      <w:rFonts w:hint="eastAsia"/>
                      <w:snapToGrid w:val="0"/>
                      <w:color w:val="auto"/>
                      <w:sz w:val="18"/>
                      <w:szCs w:val="18"/>
                    </w:rPr>
                    <w:t>2</w:t>
                  </w:r>
                </w:p>
              </w:tc>
            </w:tr>
            <w:tr w14:paraId="3335D9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1229" w:type="dxa"/>
                  <w:vMerge w:val="continue"/>
                  <w:vAlign w:val="center"/>
                </w:tcPr>
                <w:p w14:paraId="18C93AA9">
                  <w:pPr>
                    <w:rPr>
                      <w:color w:val="auto"/>
                    </w:rPr>
                  </w:pPr>
                </w:p>
              </w:tc>
              <w:tc>
                <w:tcPr>
                  <w:tcW w:w="1602" w:type="dxa"/>
                  <w:vMerge w:val="continue"/>
                  <w:vAlign w:val="center"/>
                </w:tcPr>
                <w:p w14:paraId="7ADC29F3">
                  <w:pPr>
                    <w:jc w:val="center"/>
                    <w:rPr>
                      <w:snapToGrid w:val="0"/>
                      <w:color w:val="auto"/>
                      <w:sz w:val="18"/>
                      <w:szCs w:val="18"/>
                    </w:rPr>
                  </w:pPr>
                </w:p>
              </w:tc>
              <w:tc>
                <w:tcPr>
                  <w:tcW w:w="2132" w:type="dxa"/>
                  <w:vAlign w:val="center"/>
                </w:tcPr>
                <w:p w14:paraId="6B425732">
                  <w:pPr>
                    <w:jc w:val="center"/>
                    <w:rPr>
                      <w:snapToGrid w:val="0"/>
                      <w:color w:val="auto"/>
                      <w:sz w:val="18"/>
                      <w:szCs w:val="18"/>
                    </w:rPr>
                  </w:pPr>
                  <w:r>
                    <w:rPr>
                      <w:rFonts w:hint="eastAsia"/>
                      <w:snapToGrid w:val="0"/>
                      <w:color w:val="auto"/>
                      <w:sz w:val="18"/>
                      <w:szCs w:val="18"/>
                    </w:rPr>
                    <w:t>旋转蒸发仪</w:t>
                  </w:r>
                </w:p>
              </w:tc>
              <w:tc>
                <w:tcPr>
                  <w:tcW w:w="1693" w:type="dxa"/>
                  <w:vAlign w:val="center"/>
                </w:tcPr>
                <w:p w14:paraId="6B18062F">
                  <w:pPr>
                    <w:jc w:val="center"/>
                    <w:rPr>
                      <w:snapToGrid w:val="0"/>
                      <w:color w:val="auto"/>
                      <w:sz w:val="18"/>
                      <w:szCs w:val="18"/>
                    </w:rPr>
                  </w:pPr>
                  <w:r>
                    <w:rPr>
                      <w:rFonts w:hint="eastAsia"/>
                      <w:snapToGrid w:val="0"/>
                      <w:color w:val="auto"/>
                      <w:sz w:val="18"/>
                      <w:szCs w:val="18"/>
                    </w:rPr>
                    <w:t>国产</w:t>
                  </w:r>
                </w:p>
              </w:tc>
              <w:tc>
                <w:tcPr>
                  <w:tcW w:w="1658" w:type="dxa"/>
                  <w:vAlign w:val="center"/>
                </w:tcPr>
                <w:p w14:paraId="13B21E01">
                  <w:pPr>
                    <w:jc w:val="center"/>
                    <w:rPr>
                      <w:snapToGrid w:val="0"/>
                      <w:color w:val="auto"/>
                      <w:sz w:val="18"/>
                      <w:szCs w:val="18"/>
                    </w:rPr>
                  </w:pPr>
                  <w:r>
                    <w:rPr>
                      <w:rFonts w:hint="eastAsia"/>
                      <w:snapToGrid w:val="0"/>
                      <w:color w:val="auto"/>
                      <w:sz w:val="18"/>
                      <w:szCs w:val="18"/>
                    </w:rPr>
                    <w:t>2</w:t>
                  </w:r>
                </w:p>
              </w:tc>
            </w:tr>
            <w:tr w14:paraId="793FF1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1229" w:type="dxa"/>
                  <w:vMerge w:val="continue"/>
                  <w:vAlign w:val="center"/>
                </w:tcPr>
                <w:p w14:paraId="128E368B">
                  <w:pPr>
                    <w:rPr>
                      <w:color w:val="auto"/>
                    </w:rPr>
                  </w:pPr>
                </w:p>
              </w:tc>
              <w:tc>
                <w:tcPr>
                  <w:tcW w:w="1602" w:type="dxa"/>
                  <w:vAlign w:val="center"/>
                </w:tcPr>
                <w:p w14:paraId="74CF4032">
                  <w:pPr>
                    <w:jc w:val="center"/>
                    <w:rPr>
                      <w:color w:val="auto"/>
                      <w:sz w:val="18"/>
                      <w:szCs w:val="18"/>
                    </w:rPr>
                  </w:pPr>
                  <w:r>
                    <w:rPr>
                      <w:rFonts w:hint="eastAsia"/>
                      <w:snapToGrid w:val="0"/>
                      <w:color w:val="auto"/>
                      <w:sz w:val="18"/>
                      <w:szCs w:val="18"/>
                    </w:rPr>
                    <w:t>配套</w:t>
                  </w:r>
                </w:p>
              </w:tc>
              <w:tc>
                <w:tcPr>
                  <w:tcW w:w="2132" w:type="dxa"/>
                  <w:vAlign w:val="center"/>
                </w:tcPr>
                <w:p w14:paraId="4DDEA5DD">
                  <w:pPr>
                    <w:jc w:val="center"/>
                    <w:rPr>
                      <w:snapToGrid w:val="0"/>
                      <w:color w:val="auto"/>
                      <w:sz w:val="18"/>
                      <w:szCs w:val="18"/>
                    </w:rPr>
                  </w:pPr>
                  <w:r>
                    <w:rPr>
                      <w:rFonts w:hint="eastAsia"/>
                      <w:snapToGrid w:val="0"/>
                      <w:color w:val="auto"/>
                      <w:sz w:val="18"/>
                      <w:szCs w:val="18"/>
                    </w:rPr>
                    <w:t>通风橱</w:t>
                  </w:r>
                </w:p>
              </w:tc>
              <w:tc>
                <w:tcPr>
                  <w:tcW w:w="1693" w:type="dxa"/>
                  <w:vAlign w:val="center"/>
                </w:tcPr>
                <w:p w14:paraId="718DF81B">
                  <w:pPr>
                    <w:jc w:val="center"/>
                    <w:rPr>
                      <w:snapToGrid w:val="0"/>
                      <w:color w:val="auto"/>
                      <w:sz w:val="18"/>
                      <w:szCs w:val="18"/>
                    </w:rPr>
                  </w:pPr>
                  <w:r>
                    <w:rPr>
                      <w:rFonts w:hint="eastAsia"/>
                      <w:snapToGrid w:val="0"/>
                      <w:color w:val="auto"/>
                      <w:sz w:val="18"/>
                      <w:szCs w:val="18"/>
                    </w:rPr>
                    <w:t>/</w:t>
                  </w:r>
                </w:p>
              </w:tc>
              <w:tc>
                <w:tcPr>
                  <w:tcW w:w="1658" w:type="dxa"/>
                  <w:vAlign w:val="center"/>
                </w:tcPr>
                <w:p w14:paraId="6E74286E">
                  <w:pPr>
                    <w:jc w:val="center"/>
                    <w:rPr>
                      <w:snapToGrid w:val="0"/>
                      <w:color w:val="auto"/>
                      <w:sz w:val="18"/>
                      <w:szCs w:val="18"/>
                    </w:rPr>
                  </w:pPr>
                  <w:r>
                    <w:rPr>
                      <w:rFonts w:hint="eastAsia"/>
                      <w:snapToGrid w:val="0"/>
                      <w:color w:val="auto"/>
                      <w:sz w:val="18"/>
                      <w:szCs w:val="18"/>
                    </w:rPr>
                    <w:t>6</w:t>
                  </w:r>
                </w:p>
              </w:tc>
            </w:tr>
            <w:tr w14:paraId="4EE18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1229" w:type="dxa"/>
                  <w:vMerge w:val="restart"/>
                  <w:vAlign w:val="center"/>
                </w:tcPr>
                <w:p w14:paraId="25183199">
                  <w:pPr>
                    <w:adjustRightInd w:val="0"/>
                    <w:snapToGrid w:val="0"/>
                    <w:jc w:val="center"/>
                    <w:rPr>
                      <w:color w:val="auto"/>
                      <w:sz w:val="18"/>
                      <w:szCs w:val="18"/>
                    </w:rPr>
                  </w:pPr>
                  <w:r>
                    <w:rPr>
                      <w:rFonts w:hint="eastAsia"/>
                      <w:color w:val="auto"/>
                      <w:sz w:val="18"/>
                      <w:szCs w:val="18"/>
                    </w:rPr>
                    <w:t>公用</w:t>
                  </w:r>
                </w:p>
              </w:tc>
              <w:tc>
                <w:tcPr>
                  <w:tcW w:w="1602" w:type="dxa"/>
                  <w:vMerge w:val="restart"/>
                  <w:vAlign w:val="center"/>
                </w:tcPr>
                <w:p w14:paraId="2C33775A">
                  <w:pPr>
                    <w:jc w:val="center"/>
                    <w:rPr>
                      <w:color w:val="auto"/>
                      <w:sz w:val="18"/>
                      <w:szCs w:val="18"/>
                    </w:rPr>
                  </w:pPr>
                  <w:r>
                    <w:rPr>
                      <w:rFonts w:hint="eastAsia"/>
                      <w:color w:val="auto"/>
                      <w:sz w:val="18"/>
                      <w:szCs w:val="18"/>
                    </w:rPr>
                    <w:t>废气处理设施</w:t>
                  </w:r>
                </w:p>
              </w:tc>
              <w:tc>
                <w:tcPr>
                  <w:tcW w:w="2132" w:type="dxa"/>
                  <w:vAlign w:val="center"/>
                </w:tcPr>
                <w:p w14:paraId="4D767716">
                  <w:pPr>
                    <w:jc w:val="center"/>
                    <w:rPr>
                      <w:snapToGrid w:val="0"/>
                      <w:color w:val="auto"/>
                      <w:sz w:val="18"/>
                      <w:szCs w:val="18"/>
                    </w:rPr>
                  </w:pPr>
                  <w:r>
                    <w:rPr>
                      <w:rFonts w:hint="eastAsia"/>
                      <w:snapToGrid w:val="0"/>
                      <w:color w:val="auto"/>
                      <w:sz w:val="18"/>
                      <w:szCs w:val="18"/>
                    </w:rPr>
                    <w:t>水喷淋+除雾器+二级活性炭吸附装置</w:t>
                  </w:r>
                </w:p>
              </w:tc>
              <w:tc>
                <w:tcPr>
                  <w:tcW w:w="1693" w:type="dxa"/>
                  <w:vAlign w:val="center"/>
                </w:tcPr>
                <w:p w14:paraId="54C35418">
                  <w:pPr>
                    <w:jc w:val="center"/>
                    <w:rPr>
                      <w:snapToGrid w:val="0"/>
                      <w:color w:val="auto"/>
                      <w:sz w:val="18"/>
                      <w:szCs w:val="18"/>
                    </w:rPr>
                  </w:pPr>
                  <w:r>
                    <w:rPr>
                      <w:rFonts w:hint="eastAsia"/>
                      <w:snapToGrid w:val="0"/>
                      <w:color w:val="auto"/>
                      <w:sz w:val="18"/>
                      <w:szCs w:val="18"/>
                    </w:rPr>
                    <w:t>7000m</w:t>
                  </w:r>
                  <w:r>
                    <w:rPr>
                      <w:rFonts w:hint="eastAsia"/>
                      <w:snapToGrid w:val="0"/>
                      <w:color w:val="auto"/>
                      <w:sz w:val="18"/>
                      <w:szCs w:val="18"/>
                      <w:vertAlign w:val="superscript"/>
                    </w:rPr>
                    <w:t>3</w:t>
                  </w:r>
                  <w:r>
                    <w:rPr>
                      <w:rFonts w:hint="eastAsia"/>
                      <w:snapToGrid w:val="0"/>
                      <w:color w:val="auto"/>
                      <w:sz w:val="18"/>
                      <w:szCs w:val="18"/>
                    </w:rPr>
                    <w:t>/h</w:t>
                  </w:r>
                </w:p>
              </w:tc>
              <w:tc>
                <w:tcPr>
                  <w:tcW w:w="1658" w:type="dxa"/>
                  <w:vAlign w:val="center"/>
                </w:tcPr>
                <w:p w14:paraId="647DF309">
                  <w:pPr>
                    <w:jc w:val="center"/>
                    <w:rPr>
                      <w:snapToGrid w:val="0"/>
                      <w:color w:val="auto"/>
                      <w:sz w:val="18"/>
                      <w:szCs w:val="18"/>
                    </w:rPr>
                  </w:pPr>
                  <w:r>
                    <w:rPr>
                      <w:rFonts w:hint="eastAsia"/>
                      <w:snapToGrid w:val="0"/>
                      <w:color w:val="auto"/>
                      <w:sz w:val="18"/>
                      <w:szCs w:val="18"/>
                    </w:rPr>
                    <w:t>1</w:t>
                  </w:r>
                </w:p>
              </w:tc>
            </w:tr>
            <w:tr w14:paraId="5DFAC8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1229" w:type="dxa"/>
                  <w:vMerge w:val="continue"/>
                  <w:vAlign w:val="center"/>
                </w:tcPr>
                <w:p w14:paraId="3C86454A">
                  <w:pPr>
                    <w:adjustRightInd w:val="0"/>
                    <w:snapToGrid w:val="0"/>
                    <w:jc w:val="center"/>
                    <w:rPr>
                      <w:color w:val="auto"/>
                      <w:sz w:val="18"/>
                      <w:szCs w:val="18"/>
                    </w:rPr>
                  </w:pPr>
                </w:p>
              </w:tc>
              <w:tc>
                <w:tcPr>
                  <w:tcW w:w="1602" w:type="dxa"/>
                  <w:vMerge w:val="continue"/>
                  <w:vAlign w:val="center"/>
                </w:tcPr>
                <w:p w14:paraId="061D0ADE">
                  <w:pPr>
                    <w:jc w:val="center"/>
                    <w:rPr>
                      <w:color w:val="auto"/>
                      <w:sz w:val="18"/>
                      <w:szCs w:val="18"/>
                    </w:rPr>
                  </w:pPr>
                </w:p>
              </w:tc>
              <w:tc>
                <w:tcPr>
                  <w:tcW w:w="2132" w:type="dxa"/>
                  <w:vAlign w:val="center"/>
                </w:tcPr>
                <w:p w14:paraId="2336981A">
                  <w:pPr>
                    <w:jc w:val="center"/>
                    <w:rPr>
                      <w:snapToGrid w:val="0"/>
                      <w:color w:val="auto"/>
                      <w:sz w:val="18"/>
                      <w:szCs w:val="18"/>
                    </w:rPr>
                  </w:pPr>
                  <w:r>
                    <w:rPr>
                      <w:rFonts w:hint="eastAsia"/>
                      <w:snapToGrid w:val="0"/>
                      <w:color w:val="auto"/>
                      <w:sz w:val="18"/>
                      <w:szCs w:val="18"/>
                    </w:rPr>
                    <w:t>活性炭吸附装置</w:t>
                  </w:r>
                </w:p>
              </w:tc>
              <w:tc>
                <w:tcPr>
                  <w:tcW w:w="1693" w:type="dxa"/>
                  <w:vAlign w:val="center"/>
                </w:tcPr>
                <w:p w14:paraId="0075F2CB">
                  <w:pPr>
                    <w:jc w:val="center"/>
                    <w:rPr>
                      <w:snapToGrid w:val="0"/>
                      <w:color w:val="auto"/>
                      <w:sz w:val="18"/>
                      <w:szCs w:val="18"/>
                    </w:rPr>
                  </w:pPr>
                  <w:r>
                    <w:rPr>
                      <w:rFonts w:hint="eastAsia"/>
                      <w:snapToGrid w:val="0"/>
                      <w:color w:val="auto"/>
                      <w:sz w:val="18"/>
                      <w:szCs w:val="18"/>
                    </w:rPr>
                    <w:t>200m</w:t>
                  </w:r>
                  <w:r>
                    <w:rPr>
                      <w:rFonts w:hint="eastAsia"/>
                      <w:snapToGrid w:val="0"/>
                      <w:color w:val="auto"/>
                      <w:sz w:val="18"/>
                      <w:szCs w:val="18"/>
                      <w:vertAlign w:val="superscript"/>
                    </w:rPr>
                    <w:t>3</w:t>
                  </w:r>
                  <w:r>
                    <w:rPr>
                      <w:rFonts w:hint="eastAsia"/>
                      <w:snapToGrid w:val="0"/>
                      <w:color w:val="auto"/>
                      <w:sz w:val="18"/>
                      <w:szCs w:val="18"/>
                    </w:rPr>
                    <w:t>/h</w:t>
                  </w:r>
                </w:p>
              </w:tc>
              <w:tc>
                <w:tcPr>
                  <w:tcW w:w="1658" w:type="dxa"/>
                  <w:vAlign w:val="center"/>
                </w:tcPr>
                <w:p w14:paraId="47F004F3">
                  <w:pPr>
                    <w:jc w:val="center"/>
                    <w:rPr>
                      <w:snapToGrid w:val="0"/>
                      <w:color w:val="auto"/>
                      <w:sz w:val="18"/>
                      <w:szCs w:val="18"/>
                    </w:rPr>
                  </w:pPr>
                  <w:r>
                    <w:rPr>
                      <w:rFonts w:hint="eastAsia"/>
                      <w:snapToGrid w:val="0"/>
                      <w:color w:val="auto"/>
                      <w:sz w:val="18"/>
                      <w:szCs w:val="18"/>
                    </w:rPr>
                    <w:t>1</w:t>
                  </w:r>
                </w:p>
              </w:tc>
            </w:tr>
            <w:tr w14:paraId="2DC6C7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1229" w:type="dxa"/>
                  <w:vMerge w:val="continue"/>
                  <w:vAlign w:val="center"/>
                </w:tcPr>
                <w:p w14:paraId="14BB3649">
                  <w:pPr>
                    <w:adjustRightInd w:val="0"/>
                    <w:snapToGrid w:val="0"/>
                    <w:jc w:val="center"/>
                    <w:rPr>
                      <w:color w:val="auto"/>
                      <w:sz w:val="18"/>
                      <w:szCs w:val="18"/>
                    </w:rPr>
                  </w:pPr>
                </w:p>
              </w:tc>
              <w:tc>
                <w:tcPr>
                  <w:tcW w:w="1602" w:type="dxa"/>
                  <w:vAlign w:val="center"/>
                </w:tcPr>
                <w:p w14:paraId="6A0BAC95">
                  <w:pPr>
                    <w:jc w:val="center"/>
                    <w:rPr>
                      <w:rFonts w:hint="default" w:eastAsia="宋体"/>
                      <w:color w:val="auto"/>
                      <w:sz w:val="18"/>
                      <w:szCs w:val="18"/>
                      <w:lang w:val="en-US" w:eastAsia="zh-CN"/>
                    </w:rPr>
                  </w:pPr>
                  <w:r>
                    <w:rPr>
                      <w:rFonts w:hint="eastAsia"/>
                      <w:color w:val="auto"/>
                      <w:sz w:val="18"/>
                      <w:szCs w:val="18"/>
                      <w:lang w:val="en-US" w:eastAsia="zh-CN"/>
                    </w:rPr>
                    <w:t>废水处理设施</w:t>
                  </w:r>
                </w:p>
              </w:tc>
              <w:tc>
                <w:tcPr>
                  <w:tcW w:w="2132" w:type="dxa"/>
                  <w:vAlign w:val="center"/>
                </w:tcPr>
                <w:p w14:paraId="1B4CFF33">
                  <w:pPr>
                    <w:jc w:val="center"/>
                    <w:rPr>
                      <w:rFonts w:hint="default" w:eastAsia="宋体"/>
                      <w:snapToGrid w:val="0"/>
                      <w:color w:val="auto"/>
                      <w:sz w:val="18"/>
                      <w:szCs w:val="18"/>
                      <w:lang w:val="en-US" w:eastAsia="zh-CN"/>
                    </w:rPr>
                  </w:pPr>
                  <w:r>
                    <w:rPr>
                      <w:rFonts w:hint="eastAsia"/>
                      <w:snapToGrid w:val="0"/>
                      <w:color w:val="auto"/>
                      <w:sz w:val="18"/>
                      <w:szCs w:val="18"/>
                      <w:lang w:val="en-US" w:eastAsia="zh-CN"/>
                    </w:rPr>
                    <w:t>污水处理设施</w:t>
                  </w:r>
                </w:p>
              </w:tc>
              <w:tc>
                <w:tcPr>
                  <w:tcW w:w="1693" w:type="dxa"/>
                  <w:vAlign w:val="center"/>
                </w:tcPr>
                <w:p w14:paraId="32DBB825">
                  <w:pPr>
                    <w:jc w:val="center"/>
                    <w:rPr>
                      <w:rFonts w:hint="default" w:eastAsia="宋体"/>
                      <w:snapToGrid w:val="0"/>
                      <w:color w:val="auto"/>
                      <w:sz w:val="18"/>
                      <w:szCs w:val="18"/>
                      <w:lang w:val="en-US" w:eastAsia="zh-CN"/>
                    </w:rPr>
                  </w:pPr>
                  <w:r>
                    <w:rPr>
                      <w:rFonts w:hint="eastAsia"/>
                      <w:snapToGrid w:val="0"/>
                      <w:color w:val="auto"/>
                      <w:sz w:val="18"/>
                      <w:szCs w:val="18"/>
                      <w:lang w:val="en-US" w:eastAsia="zh-CN"/>
                    </w:rPr>
                    <w:t>1m</w:t>
                  </w:r>
                  <w:r>
                    <w:rPr>
                      <w:rFonts w:hint="eastAsia"/>
                      <w:snapToGrid w:val="0"/>
                      <w:color w:val="auto"/>
                      <w:sz w:val="18"/>
                      <w:szCs w:val="18"/>
                      <w:vertAlign w:val="superscript"/>
                      <w:lang w:val="en-US" w:eastAsia="zh-CN"/>
                    </w:rPr>
                    <w:t>3</w:t>
                  </w:r>
                  <w:r>
                    <w:rPr>
                      <w:rFonts w:hint="eastAsia"/>
                      <w:snapToGrid w:val="0"/>
                      <w:color w:val="auto"/>
                      <w:sz w:val="18"/>
                      <w:szCs w:val="18"/>
                      <w:lang w:val="en-US" w:eastAsia="zh-CN"/>
                    </w:rPr>
                    <w:t>/d</w:t>
                  </w:r>
                </w:p>
              </w:tc>
              <w:tc>
                <w:tcPr>
                  <w:tcW w:w="1658" w:type="dxa"/>
                  <w:vAlign w:val="center"/>
                </w:tcPr>
                <w:p w14:paraId="39F3464D">
                  <w:pPr>
                    <w:jc w:val="center"/>
                    <w:rPr>
                      <w:rFonts w:hint="eastAsia" w:eastAsia="宋体"/>
                      <w:snapToGrid w:val="0"/>
                      <w:color w:val="auto"/>
                      <w:sz w:val="18"/>
                      <w:szCs w:val="18"/>
                      <w:lang w:val="en-US" w:eastAsia="zh-CN"/>
                    </w:rPr>
                  </w:pPr>
                  <w:r>
                    <w:rPr>
                      <w:rFonts w:hint="eastAsia"/>
                      <w:snapToGrid w:val="0"/>
                      <w:color w:val="auto"/>
                      <w:sz w:val="18"/>
                      <w:szCs w:val="18"/>
                      <w:lang w:val="en-US" w:eastAsia="zh-CN"/>
                    </w:rPr>
                    <w:t>1</w:t>
                  </w:r>
                </w:p>
              </w:tc>
            </w:tr>
          </w:tbl>
          <w:p w14:paraId="78F45752">
            <w:pPr>
              <w:adjustRightInd w:val="0"/>
              <w:snapToGrid w:val="0"/>
              <w:spacing w:line="360" w:lineRule="auto"/>
              <w:ind w:firstLine="446" w:firstLineChars="200"/>
              <w:jc w:val="left"/>
              <w:rPr>
                <w:b/>
                <w:bCs/>
                <w:color w:val="auto"/>
                <w:spacing w:val="6"/>
                <w:szCs w:val="21"/>
                <w:shd w:val="clear" w:color="auto" w:fill="FFFFFF"/>
              </w:rPr>
            </w:pPr>
            <w:r>
              <w:rPr>
                <w:rFonts w:hint="eastAsia"/>
                <w:b/>
                <w:bCs/>
                <w:color w:val="auto"/>
                <w:spacing w:val="6"/>
                <w:szCs w:val="21"/>
                <w:shd w:val="clear" w:color="auto" w:fill="FFFFFF"/>
              </w:rPr>
              <w:t>注：</w:t>
            </w:r>
            <w:r>
              <w:rPr>
                <w:rFonts w:hint="eastAsia"/>
                <w:color w:val="auto"/>
                <w:spacing w:val="6"/>
                <w:szCs w:val="21"/>
                <w:shd w:val="clear" w:color="auto" w:fill="FFFFFF"/>
              </w:rPr>
              <w:t>根据《产业结构调整指导目录》（2024年本）、《高耗能落后机电设备（产品）淘汰目录》（第一批）、《高耗能落后机电设备（产品）淘汰目录》（第二批）、《高耗能落后机电设备（产品）淘汰目录》（第三批）、《高耗能落后机电设备（产品）淘汰目录》（第四批）、《限期淘汰产生严重污染环境的工业固体废物的落后生产工艺设备名录》（中华人民共和国工业和信息化部公告2021年第25号），本项目设备均不属于其中的淘汰或落后设备。</w:t>
            </w:r>
          </w:p>
          <w:p w14:paraId="50C6E25E">
            <w:pPr>
              <w:adjustRightInd w:val="0"/>
              <w:snapToGrid w:val="0"/>
              <w:spacing w:line="360" w:lineRule="auto"/>
              <w:ind w:firstLine="446" w:firstLineChars="200"/>
              <w:rPr>
                <w:b/>
                <w:bCs/>
                <w:color w:val="auto"/>
                <w:spacing w:val="6"/>
                <w:szCs w:val="21"/>
                <w:shd w:val="clear" w:color="auto" w:fill="FFFFFF"/>
              </w:rPr>
            </w:pPr>
            <w:r>
              <w:rPr>
                <w:rFonts w:hint="eastAsia"/>
                <w:b/>
                <w:bCs/>
                <w:color w:val="auto"/>
                <w:spacing w:val="6"/>
                <w:szCs w:val="21"/>
                <w:shd w:val="clear" w:color="auto" w:fill="FFFFFF"/>
              </w:rPr>
              <w:t>4</w:t>
            </w:r>
            <w:r>
              <w:rPr>
                <w:b/>
                <w:bCs/>
                <w:color w:val="auto"/>
                <w:spacing w:val="6"/>
                <w:szCs w:val="21"/>
                <w:shd w:val="clear" w:color="auto" w:fill="FFFFFF"/>
              </w:rPr>
              <w:t>.项目原辅材料消耗、理化性质及物料平衡</w:t>
            </w:r>
          </w:p>
          <w:p w14:paraId="78E71A78">
            <w:pPr>
              <w:adjustRightInd w:val="0"/>
              <w:snapToGrid w:val="0"/>
              <w:spacing w:line="360" w:lineRule="auto"/>
              <w:ind w:firstLine="444" w:firstLineChars="200"/>
              <w:rPr>
                <w:color w:val="auto"/>
                <w:spacing w:val="6"/>
                <w:szCs w:val="21"/>
                <w:shd w:val="clear" w:color="auto" w:fill="FFFFFF"/>
              </w:rPr>
            </w:pPr>
            <w:r>
              <w:rPr>
                <w:color w:val="auto"/>
                <w:spacing w:val="6"/>
                <w:szCs w:val="21"/>
                <w:shd w:val="clear" w:color="auto" w:fill="FFFFFF"/>
              </w:rPr>
              <w:t>（1）原辅材料消耗表</w:t>
            </w:r>
          </w:p>
          <w:p w14:paraId="2D56D376">
            <w:pPr>
              <w:adjustRightInd w:val="0"/>
              <w:snapToGrid w:val="0"/>
              <w:jc w:val="center"/>
              <w:rPr>
                <w:b/>
                <w:bCs/>
                <w:color w:val="auto"/>
                <w:spacing w:val="6"/>
                <w:szCs w:val="21"/>
                <w:shd w:val="clear" w:color="auto" w:fill="FFFFFF"/>
              </w:rPr>
            </w:pPr>
            <w:r>
              <w:rPr>
                <w:b/>
                <w:bCs/>
                <w:color w:val="auto"/>
                <w:spacing w:val="6"/>
                <w:szCs w:val="21"/>
                <w:shd w:val="clear" w:color="auto" w:fill="FFFFFF"/>
              </w:rPr>
              <w:t>表2-</w:t>
            </w:r>
            <w:r>
              <w:rPr>
                <w:rFonts w:hint="eastAsia"/>
                <w:b/>
                <w:bCs/>
                <w:color w:val="auto"/>
                <w:spacing w:val="6"/>
                <w:szCs w:val="21"/>
                <w:shd w:val="clear" w:color="auto" w:fill="FFFFFF"/>
              </w:rPr>
              <w:t>3</w:t>
            </w:r>
            <w:r>
              <w:rPr>
                <w:b/>
                <w:bCs/>
                <w:color w:val="auto"/>
                <w:spacing w:val="6"/>
                <w:szCs w:val="21"/>
                <w:shd w:val="clear" w:color="auto" w:fill="FFFFFF"/>
              </w:rPr>
              <w:t xml:space="preserve"> </w:t>
            </w:r>
            <w:r>
              <w:rPr>
                <w:rFonts w:hint="eastAsia"/>
                <w:b/>
                <w:bCs/>
                <w:color w:val="auto"/>
                <w:spacing w:val="6"/>
                <w:szCs w:val="21"/>
                <w:shd w:val="clear" w:color="auto" w:fill="FFFFFF"/>
              </w:rPr>
              <w:t>项目主要</w:t>
            </w:r>
            <w:r>
              <w:rPr>
                <w:b/>
                <w:bCs/>
                <w:color w:val="auto"/>
                <w:spacing w:val="6"/>
                <w:szCs w:val="21"/>
                <w:shd w:val="clear" w:color="auto" w:fill="FFFFFF"/>
              </w:rPr>
              <w:t>原辅材料消耗表</w:t>
            </w:r>
          </w:p>
          <w:tbl>
            <w:tblPr>
              <w:tblStyle w:val="23"/>
              <w:tblW w:w="846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69"/>
              <w:gridCol w:w="809"/>
              <w:gridCol w:w="1506"/>
              <w:gridCol w:w="2052"/>
              <w:gridCol w:w="762"/>
              <w:gridCol w:w="817"/>
              <w:gridCol w:w="1387"/>
              <w:gridCol w:w="465"/>
            </w:tblGrid>
            <w:tr w14:paraId="4589AE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669" w:type="dxa"/>
                  <w:vAlign w:val="center"/>
                </w:tcPr>
                <w:p w14:paraId="76FB2F1B">
                  <w:pPr>
                    <w:jc w:val="center"/>
                    <w:rPr>
                      <w:b/>
                      <w:bCs/>
                      <w:color w:val="auto"/>
                      <w:sz w:val="18"/>
                      <w:szCs w:val="18"/>
                    </w:rPr>
                  </w:pPr>
                  <w:r>
                    <w:rPr>
                      <w:b/>
                      <w:bCs/>
                      <w:color w:val="auto"/>
                      <w:sz w:val="18"/>
                      <w:szCs w:val="18"/>
                    </w:rPr>
                    <w:t>类别</w:t>
                  </w:r>
                </w:p>
              </w:tc>
              <w:tc>
                <w:tcPr>
                  <w:tcW w:w="809" w:type="dxa"/>
                  <w:vAlign w:val="center"/>
                </w:tcPr>
                <w:p w14:paraId="1D4B0576">
                  <w:pPr>
                    <w:jc w:val="center"/>
                    <w:rPr>
                      <w:b/>
                      <w:bCs/>
                      <w:color w:val="auto"/>
                      <w:sz w:val="18"/>
                      <w:szCs w:val="18"/>
                    </w:rPr>
                  </w:pPr>
                  <w:r>
                    <w:rPr>
                      <w:b/>
                      <w:bCs/>
                      <w:color w:val="auto"/>
                      <w:sz w:val="18"/>
                      <w:szCs w:val="18"/>
                    </w:rPr>
                    <w:t>工艺</w:t>
                  </w:r>
                </w:p>
              </w:tc>
              <w:tc>
                <w:tcPr>
                  <w:tcW w:w="1506" w:type="dxa"/>
                  <w:vAlign w:val="center"/>
                </w:tcPr>
                <w:p w14:paraId="621D5403">
                  <w:pPr>
                    <w:jc w:val="center"/>
                    <w:rPr>
                      <w:b/>
                      <w:bCs/>
                      <w:color w:val="auto"/>
                      <w:sz w:val="18"/>
                      <w:szCs w:val="18"/>
                    </w:rPr>
                  </w:pPr>
                  <w:r>
                    <w:rPr>
                      <w:b/>
                      <w:bCs/>
                      <w:color w:val="auto"/>
                      <w:sz w:val="18"/>
                      <w:szCs w:val="18"/>
                    </w:rPr>
                    <w:t>名称</w:t>
                  </w:r>
                </w:p>
              </w:tc>
              <w:tc>
                <w:tcPr>
                  <w:tcW w:w="2052" w:type="dxa"/>
                  <w:vAlign w:val="center"/>
                </w:tcPr>
                <w:p w14:paraId="1A2CD042">
                  <w:pPr>
                    <w:jc w:val="center"/>
                    <w:rPr>
                      <w:b/>
                      <w:bCs/>
                      <w:color w:val="auto"/>
                      <w:sz w:val="18"/>
                      <w:szCs w:val="18"/>
                    </w:rPr>
                  </w:pPr>
                  <w:r>
                    <w:rPr>
                      <w:b/>
                      <w:bCs/>
                      <w:color w:val="auto"/>
                      <w:sz w:val="18"/>
                      <w:szCs w:val="18"/>
                    </w:rPr>
                    <w:t>规格/成分</w:t>
                  </w:r>
                </w:p>
              </w:tc>
              <w:tc>
                <w:tcPr>
                  <w:tcW w:w="762" w:type="dxa"/>
                  <w:vAlign w:val="center"/>
                </w:tcPr>
                <w:p w14:paraId="443E2D4C">
                  <w:pPr>
                    <w:jc w:val="center"/>
                    <w:rPr>
                      <w:b/>
                      <w:bCs/>
                      <w:color w:val="auto"/>
                      <w:sz w:val="18"/>
                      <w:szCs w:val="18"/>
                    </w:rPr>
                  </w:pPr>
                  <w:r>
                    <w:rPr>
                      <w:b/>
                      <w:bCs/>
                      <w:color w:val="auto"/>
                      <w:sz w:val="18"/>
                      <w:szCs w:val="18"/>
                    </w:rPr>
                    <w:t>年用量</w:t>
                  </w:r>
                </w:p>
                <w:p w14:paraId="205C94BA">
                  <w:pPr>
                    <w:jc w:val="center"/>
                    <w:rPr>
                      <w:b/>
                      <w:bCs/>
                      <w:color w:val="auto"/>
                      <w:sz w:val="18"/>
                      <w:szCs w:val="18"/>
                    </w:rPr>
                  </w:pPr>
                  <w:r>
                    <w:rPr>
                      <w:b/>
                      <w:bCs/>
                      <w:color w:val="auto"/>
                      <w:sz w:val="18"/>
                      <w:szCs w:val="18"/>
                    </w:rPr>
                    <w:t>（</w:t>
                  </w:r>
                  <w:r>
                    <w:rPr>
                      <w:rFonts w:hint="eastAsia"/>
                      <w:b/>
                      <w:bCs/>
                      <w:color w:val="auto"/>
                      <w:sz w:val="18"/>
                      <w:szCs w:val="18"/>
                    </w:rPr>
                    <w:t>kg</w:t>
                  </w:r>
                  <w:r>
                    <w:rPr>
                      <w:b/>
                      <w:bCs/>
                      <w:color w:val="auto"/>
                      <w:sz w:val="18"/>
                      <w:szCs w:val="18"/>
                    </w:rPr>
                    <w:t>）</w:t>
                  </w:r>
                </w:p>
              </w:tc>
              <w:tc>
                <w:tcPr>
                  <w:tcW w:w="817" w:type="dxa"/>
                  <w:vAlign w:val="center"/>
                </w:tcPr>
                <w:p w14:paraId="1AC26E6D">
                  <w:pPr>
                    <w:jc w:val="center"/>
                    <w:rPr>
                      <w:b/>
                      <w:bCs/>
                      <w:color w:val="auto"/>
                      <w:sz w:val="18"/>
                      <w:szCs w:val="18"/>
                    </w:rPr>
                  </w:pPr>
                  <w:r>
                    <w:rPr>
                      <w:b/>
                      <w:bCs/>
                      <w:color w:val="auto"/>
                      <w:sz w:val="18"/>
                      <w:szCs w:val="18"/>
                    </w:rPr>
                    <w:t>最大存储量（</w:t>
                  </w:r>
                  <w:r>
                    <w:rPr>
                      <w:rFonts w:hint="eastAsia"/>
                      <w:b/>
                      <w:bCs/>
                      <w:color w:val="auto"/>
                      <w:sz w:val="18"/>
                      <w:szCs w:val="18"/>
                    </w:rPr>
                    <w:t>kg</w:t>
                  </w:r>
                  <w:r>
                    <w:rPr>
                      <w:b/>
                      <w:bCs/>
                      <w:color w:val="auto"/>
                      <w:sz w:val="18"/>
                      <w:szCs w:val="18"/>
                    </w:rPr>
                    <w:t>）</w:t>
                  </w:r>
                </w:p>
              </w:tc>
              <w:tc>
                <w:tcPr>
                  <w:tcW w:w="1387" w:type="dxa"/>
                  <w:vAlign w:val="center"/>
                </w:tcPr>
                <w:p w14:paraId="6673CF2E">
                  <w:pPr>
                    <w:jc w:val="center"/>
                    <w:rPr>
                      <w:b/>
                      <w:bCs/>
                      <w:color w:val="auto"/>
                      <w:sz w:val="18"/>
                      <w:szCs w:val="18"/>
                    </w:rPr>
                  </w:pPr>
                  <w:r>
                    <w:rPr>
                      <w:b/>
                      <w:bCs/>
                      <w:color w:val="auto"/>
                      <w:sz w:val="18"/>
                      <w:szCs w:val="18"/>
                    </w:rPr>
                    <w:t>包装方式</w:t>
                  </w:r>
                </w:p>
              </w:tc>
              <w:tc>
                <w:tcPr>
                  <w:tcW w:w="465" w:type="dxa"/>
                  <w:vAlign w:val="center"/>
                </w:tcPr>
                <w:p w14:paraId="5E94A742">
                  <w:pPr>
                    <w:jc w:val="center"/>
                    <w:rPr>
                      <w:b/>
                      <w:bCs/>
                      <w:color w:val="auto"/>
                      <w:sz w:val="18"/>
                      <w:szCs w:val="18"/>
                    </w:rPr>
                  </w:pPr>
                  <w:r>
                    <w:rPr>
                      <w:b/>
                      <w:bCs/>
                      <w:color w:val="auto"/>
                      <w:sz w:val="18"/>
                      <w:szCs w:val="18"/>
                    </w:rPr>
                    <w:t>存储</w:t>
                  </w:r>
                </w:p>
                <w:p w14:paraId="03E00E1A">
                  <w:pPr>
                    <w:jc w:val="center"/>
                    <w:rPr>
                      <w:b/>
                      <w:bCs/>
                      <w:color w:val="auto"/>
                      <w:sz w:val="18"/>
                      <w:szCs w:val="18"/>
                    </w:rPr>
                  </w:pPr>
                  <w:r>
                    <w:rPr>
                      <w:b/>
                      <w:bCs/>
                      <w:color w:val="auto"/>
                      <w:sz w:val="18"/>
                      <w:szCs w:val="18"/>
                    </w:rPr>
                    <w:t>位置</w:t>
                  </w:r>
                </w:p>
              </w:tc>
            </w:tr>
            <w:tr w14:paraId="4D6F09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9" w:hRule="atLeast"/>
                <w:jc w:val="center"/>
              </w:trPr>
              <w:tc>
                <w:tcPr>
                  <w:tcW w:w="669" w:type="dxa"/>
                  <w:vMerge w:val="restart"/>
                  <w:vAlign w:val="center"/>
                </w:tcPr>
                <w:p w14:paraId="4DFCE5EC">
                  <w:pPr>
                    <w:jc w:val="center"/>
                    <w:rPr>
                      <w:color w:val="auto"/>
                    </w:rPr>
                  </w:pPr>
                  <w:r>
                    <w:rPr>
                      <w:rFonts w:hint="eastAsia"/>
                      <w:color w:val="auto"/>
                      <w:sz w:val="18"/>
                      <w:szCs w:val="18"/>
                    </w:rPr>
                    <w:t>标准物质研发生产线</w:t>
                  </w:r>
                </w:p>
                <w:p w14:paraId="7A0D789B">
                  <w:pPr>
                    <w:jc w:val="center"/>
                    <w:rPr>
                      <w:color w:val="auto"/>
                      <w:sz w:val="18"/>
                      <w:szCs w:val="18"/>
                    </w:rPr>
                  </w:pPr>
                </w:p>
              </w:tc>
              <w:tc>
                <w:tcPr>
                  <w:tcW w:w="809" w:type="dxa"/>
                  <w:vMerge w:val="restart"/>
                  <w:vAlign w:val="center"/>
                </w:tcPr>
                <w:p w14:paraId="71D8C565">
                  <w:pPr>
                    <w:jc w:val="center"/>
                    <w:rPr>
                      <w:color w:val="auto"/>
                      <w:sz w:val="18"/>
                      <w:szCs w:val="18"/>
                    </w:rPr>
                  </w:pPr>
                  <w:r>
                    <w:rPr>
                      <w:rFonts w:hint="eastAsia"/>
                      <w:snapToGrid w:val="0"/>
                      <w:color w:val="auto"/>
                      <w:sz w:val="18"/>
                      <w:szCs w:val="18"/>
                    </w:rPr>
                    <w:t>均质、均匀性初检、稳定性评估</w:t>
                  </w:r>
                </w:p>
              </w:tc>
              <w:tc>
                <w:tcPr>
                  <w:tcW w:w="1506" w:type="dxa"/>
                  <w:vAlign w:val="center"/>
                </w:tcPr>
                <w:p w14:paraId="2419B3E5">
                  <w:pPr>
                    <w:jc w:val="center"/>
                    <w:rPr>
                      <w:color w:val="auto"/>
                      <w:sz w:val="18"/>
                      <w:szCs w:val="18"/>
                    </w:rPr>
                  </w:pPr>
                  <w:r>
                    <w:rPr>
                      <w:rFonts w:hint="eastAsia"/>
                      <w:color w:val="auto"/>
                      <w:sz w:val="18"/>
                      <w:szCs w:val="18"/>
                    </w:rPr>
                    <w:t>乙二胺四乙酸二钠</w:t>
                  </w:r>
                </w:p>
              </w:tc>
              <w:tc>
                <w:tcPr>
                  <w:tcW w:w="2052" w:type="dxa"/>
                  <w:vAlign w:val="center"/>
                </w:tcPr>
                <w:p w14:paraId="091729F1">
                  <w:pPr>
                    <w:jc w:val="center"/>
                    <w:rPr>
                      <w:color w:val="auto"/>
                      <w:sz w:val="18"/>
                      <w:szCs w:val="18"/>
                    </w:rPr>
                  </w:pPr>
                  <w:r>
                    <w:rPr>
                      <w:rFonts w:hint="eastAsia"/>
                      <w:color w:val="auto"/>
                      <w:sz w:val="18"/>
                      <w:szCs w:val="18"/>
                    </w:rPr>
                    <w:t>99.7%，AR，</w:t>
                  </w:r>
                  <w:r>
                    <w:rPr>
                      <w:color w:val="auto"/>
                      <w:sz w:val="18"/>
                      <w:szCs w:val="18"/>
                      <w:lang w:bidi="ar"/>
                    </w:rPr>
                    <w:t>C</w:t>
                  </w:r>
                  <w:r>
                    <w:rPr>
                      <w:color w:val="auto"/>
                      <w:sz w:val="18"/>
                      <w:szCs w:val="18"/>
                      <w:vertAlign w:val="subscript"/>
                      <w:lang w:bidi="ar"/>
                    </w:rPr>
                    <w:t>10</w:t>
                  </w:r>
                  <w:r>
                    <w:rPr>
                      <w:color w:val="auto"/>
                      <w:sz w:val="18"/>
                      <w:szCs w:val="18"/>
                      <w:lang w:bidi="ar"/>
                    </w:rPr>
                    <w:t>H</w:t>
                  </w:r>
                  <w:r>
                    <w:rPr>
                      <w:color w:val="auto"/>
                      <w:sz w:val="18"/>
                      <w:szCs w:val="18"/>
                      <w:vertAlign w:val="subscript"/>
                      <w:lang w:bidi="ar"/>
                    </w:rPr>
                    <w:t>14</w:t>
                  </w:r>
                  <w:r>
                    <w:rPr>
                      <w:color w:val="auto"/>
                      <w:sz w:val="18"/>
                      <w:szCs w:val="18"/>
                      <w:lang w:bidi="ar"/>
                    </w:rPr>
                    <w:t>N</w:t>
                  </w:r>
                  <w:r>
                    <w:rPr>
                      <w:color w:val="auto"/>
                      <w:sz w:val="18"/>
                      <w:szCs w:val="18"/>
                      <w:vertAlign w:val="subscript"/>
                      <w:lang w:bidi="ar"/>
                    </w:rPr>
                    <w:t>2</w:t>
                  </w:r>
                  <w:r>
                    <w:rPr>
                      <w:color w:val="auto"/>
                      <w:sz w:val="18"/>
                      <w:szCs w:val="18"/>
                      <w:lang w:bidi="ar"/>
                    </w:rPr>
                    <w:t>Na</w:t>
                  </w:r>
                  <w:r>
                    <w:rPr>
                      <w:color w:val="auto"/>
                      <w:sz w:val="18"/>
                      <w:szCs w:val="18"/>
                      <w:vertAlign w:val="subscript"/>
                      <w:lang w:bidi="ar"/>
                    </w:rPr>
                    <w:t>2</w:t>
                  </w:r>
                  <w:r>
                    <w:rPr>
                      <w:color w:val="auto"/>
                      <w:sz w:val="18"/>
                      <w:szCs w:val="18"/>
                      <w:lang w:bidi="ar"/>
                    </w:rPr>
                    <w:t>O</w:t>
                  </w:r>
                  <w:r>
                    <w:rPr>
                      <w:color w:val="auto"/>
                      <w:sz w:val="18"/>
                      <w:szCs w:val="18"/>
                      <w:vertAlign w:val="subscript"/>
                      <w:lang w:bidi="ar"/>
                    </w:rPr>
                    <w:t>8</w:t>
                  </w:r>
                  <w:r>
                    <w:rPr>
                      <w:color w:val="auto"/>
                      <w:sz w:val="18"/>
                      <w:szCs w:val="18"/>
                      <w:lang w:bidi="ar"/>
                    </w:rPr>
                    <w:t>·2H</w:t>
                  </w:r>
                  <w:r>
                    <w:rPr>
                      <w:color w:val="auto"/>
                      <w:sz w:val="18"/>
                      <w:szCs w:val="18"/>
                      <w:vertAlign w:val="subscript"/>
                      <w:lang w:bidi="ar"/>
                    </w:rPr>
                    <w:t>2</w:t>
                  </w:r>
                  <w:r>
                    <w:rPr>
                      <w:color w:val="auto"/>
                      <w:sz w:val="18"/>
                      <w:szCs w:val="18"/>
                      <w:lang w:bidi="ar"/>
                    </w:rPr>
                    <w:t>O</w:t>
                  </w:r>
                </w:p>
              </w:tc>
              <w:tc>
                <w:tcPr>
                  <w:tcW w:w="762" w:type="dxa"/>
                  <w:vAlign w:val="center"/>
                </w:tcPr>
                <w:p w14:paraId="58B0BC8B">
                  <w:pPr>
                    <w:jc w:val="center"/>
                    <w:rPr>
                      <w:color w:val="auto"/>
                      <w:sz w:val="18"/>
                      <w:szCs w:val="18"/>
                    </w:rPr>
                  </w:pPr>
                  <w:r>
                    <w:rPr>
                      <w:rFonts w:hint="eastAsia"/>
                      <w:color w:val="auto"/>
                      <w:sz w:val="18"/>
                      <w:szCs w:val="18"/>
                    </w:rPr>
                    <w:t>5</w:t>
                  </w:r>
                </w:p>
              </w:tc>
              <w:tc>
                <w:tcPr>
                  <w:tcW w:w="817" w:type="dxa"/>
                  <w:vAlign w:val="center"/>
                </w:tcPr>
                <w:p w14:paraId="0F3E10F7">
                  <w:pPr>
                    <w:jc w:val="center"/>
                    <w:rPr>
                      <w:color w:val="auto"/>
                      <w:sz w:val="18"/>
                      <w:szCs w:val="18"/>
                    </w:rPr>
                  </w:pPr>
                  <w:r>
                    <w:rPr>
                      <w:rFonts w:hint="eastAsia"/>
                      <w:color w:val="auto"/>
                      <w:sz w:val="18"/>
                      <w:szCs w:val="18"/>
                    </w:rPr>
                    <w:t>2</w:t>
                  </w:r>
                </w:p>
              </w:tc>
              <w:tc>
                <w:tcPr>
                  <w:tcW w:w="1387" w:type="dxa"/>
                  <w:vAlign w:val="center"/>
                </w:tcPr>
                <w:p w14:paraId="5B1D9FDB">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restart"/>
                  <w:vAlign w:val="center"/>
                </w:tcPr>
                <w:p w14:paraId="1A8A8361">
                  <w:pPr>
                    <w:pStyle w:val="4"/>
                    <w:spacing w:before="0" w:after="0" w:line="240" w:lineRule="auto"/>
                    <w:jc w:val="center"/>
                    <w:rPr>
                      <w:b w:val="0"/>
                      <w:bCs w:val="0"/>
                      <w:color w:val="auto"/>
                      <w:sz w:val="18"/>
                      <w:szCs w:val="18"/>
                    </w:rPr>
                  </w:pPr>
                  <w:r>
                    <w:rPr>
                      <w:rFonts w:hint="eastAsia"/>
                      <w:b w:val="0"/>
                      <w:bCs w:val="0"/>
                      <w:color w:val="auto"/>
                      <w:sz w:val="18"/>
                      <w:szCs w:val="18"/>
                    </w:rPr>
                    <w:t xml:space="preserve">试剂室（内 </w:t>
                  </w:r>
                </w:p>
                <w:p w14:paraId="4EDEEC84">
                  <w:pPr>
                    <w:pStyle w:val="4"/>
                    <w:spacing w:before="0" w:after="0" w:line="240" w:lineRule="auto"/>
                    <w:jc w:val="center"/>
                    <w:rPr>
                      <w:b w:val="0"/>
                      <w:bCs w:val="0"/>
                      <w:color w:val="auto"/>
                      <w:sz w:val="18"/>
                      <w:szCs w:val="18"/>
                    </w:rPr>
                  </w:pPr>
                  <w:r>
                    <w:rPr>
                      <w:rFonts w:hint="eastAsia"/>
                      <w:b w:val="0"/>
                      <w:bCs w:val="0"/>
                      <w:color w:val="auto"/>
                      <w:sz w:val="18"/>
                      <w:szCs w:val="18"/>
                    </w:rPr>
                    <w:t xml:space="preserve">设试剂柜、 </w:t>
                  </w:r>
                </w:p>
                <w:p w14:paraId="59245A58">
                  <w:pPr>
                    <w:pStyle w:val="4"/>
                    <w:spacing w:before="0" w:after="0" w:line="240" w:lineRule="auto"/>
                    <w:jc w:val="center"/>
                    <w:rPr>
                      <w:b w:val="0"/>
                      <w:bCs w:val="0"/>
                      <w:color w:val="auto"/>
                      <w:sz w:val="18"/>
                      <w:szCs w:val="18"/>
                    </w:rPr>
                  </w:pPr>
                  <w:r>
                    <w:rPr>
                      <w:rFonts w:hint="eastAsia"/>
                      <w:b w:val="0"/>
                      <w:bCs w:val="0"/>
                      <w:color w:val="auto"/>
                      <w:sz w:val="18"/>
                      <w:szCs w:val="18"/>
                    </w:rPr>
                    <w:t>防爆柜、易</w:t>
                  </w:r>
                </w:p>
                <w:p w14:paraId="62AACC5D">
                  <w:pPr>
                    <w:pStyle w:val="4"/>
                    <w:spacing w:before="0" w:after="0" w:line="240" w:lineRule="auto"/>
                    <w:jc w:val="center"/>
                    <w:rPr>
                      <w:color w:val="auto"/>
                    </w:rPr>
                  </w:pPr>
                  <w:r>
                    <w:rPr>
                      <w:rFonts w:hint="eastAsia"/>
                      <w:b w:val="0"/>
                      <w:bCs w:val="0"/>
                      <w:color w:val="auto"/>
                      <w:sz w:val="18"/>
                      <w:szCs w:val="18"/>
                    </w:rPr>
                    <w:t>制毒柜等）</w:t>
                  </w:r>
                </w:p>
              </w:tc>
            </w:tr>
            <w:tr w14:paraId="7D92B8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37C43F3D">
                  <w:pPr>
                    <w:jc w:val="center"/>
                    <w:rPr>
                      <w:color w:val="auto"/>
                      <w:sz w:val="18"/>
                      <w:szCs w:val="18"/>
                    </w:rPr>
                  </w:pPr>
                </w:p>
                <w:p w14:paraId="7EBADB73">
                  <w:pPr>
                    <w:jc w:val="center"/>
                    <w:rPr>
                      <w:color w:val="auto"/>
                      <w:sz w:val="18"/>
                      <w:szCs w:val="18"/>
                    </w:rPr>
                  </w:pPr>
                </w:p>
              </w:tc>
              <w:tc>
                <w:tcPr>
                  <w:tcW w:w="809" w:type="dxa"/>
                  <w:vMerge w:val="continue"/>
                  <w:vAlign w:val="center"/>
                </w:tcPr>
                <w:p w14:paraId="6181D83D">
                  <w:pPr>
                    <w:jc w:val="center"/>
                    <w:rPr>
                      <w:snapToGrid w:val="0"/>
                      <w:color w:val="auto"/>
                      <w:sz w:val="18"/>
                      <w:szCs w:val="18"/>
                    </w:rPr>
                  </w:pPr>
                </w:p>
              </w:tc>
              <w:tc>
                <w:tcPr>
                  <w:tcW w:w="1506" w:type="dxa"/>
                  <w:vAlign w:val="center"/>
                </w:tcPr>
                <w:p w14:paraId="4D5199F7">
                  <w:pPr>
                    <w:jc w:val="center"/>
                    <w:rPr>
                      <w:color w:val="auto"/>
                      <w:sz w:val="18"/>
                      <w:szCs w:val="18"/>
                    </w:rPr>
                  </w:pPr>
                  <w:r>
                    <w:rPr>
                      <w:rFonts w:hint="eastAsia"/>
                      <w:color w:val="auto"/>
                      <w:sz w:val="18"/>
                      <w:szCs w:val="18"/>
                    </w:rPr>
                    <w:t>氨水</w:t>
                  </w:r>
                </w:p>
              </w:tc>
              <w:tc>
                <w:tcPr>
                  <w:tcW w:w="2052" w:type="dxa"/>
                  <w:vAlign w:val="center"/>
                </w:tcPr>
                <w:p w14:paraId="4E8C7198">
                  <w:pPr>
                    <w:jc w:val="center"/>
                    <w:rPr>
                      <w:color w:val="auto"/>
                      <w:sz w:val="18"/>
                      <w:szCs w:val="18"/>
                    </w:rPr>
                  </w:pPr>
                  <w:r>
                    <w:rPr>
                      <w:rFonts w:hint="eastAsia"/>
                      <w:color w:val="auto"/>
                      <w:sz w:val="18"/>
                      <w:szCs w:val="18"/>
                    </w:rPr>
                    <w:t>28%，AR</w:t>
                  </w:r>
                  <w:r>
                    <w:rPr>
                      <w:rFonts w:eastAsia="Arial"/>
                      <w:color w:val="auto"/>
                      <w:sz w:val="18"/>
                      <w:szCs w:val="18"/>
                      <w:shd w:val="clear" w:color="auto" w:fill="FFFFFF"/>
                    </w:rPr>
                    <w:t>NH</w:t>
                  </w:r>
                  <w:r>
                    <w:rPr>
                      <w:rFonts w:hint="eastAsia"/>
                      <w:color w:val="auto"/>
                      <w:sz w:val="18"/>
                      <w:szCs w:val="18"/>
                      <w:shd w:val="clear" w:color="auto" w:fill="FFFFFF"/>
                      <w:vertAlign w:val="subscript"/>
                    </w:rPr>
                    <w:t>3</w:t>
                  </w:r>
                  <w:r>
                    <w:rPr>
                      <w:rFonts w:eastAsia="Arial"/>
                      <w:color w:val="auto"/>
                      <w:sz w:val="18"/>
                      <w:szCs w:val="18"/>
                      <w:shd w:val="clear" w:color="auto" w:fill="FFFFFF"/>
                    </w:rPr>
                    <w:t>·H</w:t>
                  </w:r>
                  <w:r>
                    <w:rPr>
                      <w:rFonts w:hint="eastAsia"/>
                      <w:color w:val="auto"/>
                      <w:sz w:val="18"/>
                      <w:szCs w:val="18"/>
                      <w:shd w:val="clear" w:color="auto" w:fill="FFFFFF"/>
                      <w:vertAlign w:val="subscript"/>
                    </w:rPr>
                    <w:t>2</w:t>
                  </w:r>
                  <w:r>
                    <w:rPr>
                      <w:rFonts w:eastAsia="Arial"/>
                      <w:color w:val="auto"/>
                      <w:sz w:val="18"/>
                      <w:szCs w:val="18"/>
                      <w:shd w:val="clear" w:color="auto" w:fill="FFFFFF"/>
                    </w:rPr>
                    <w:t>O</w:t>
                  </w:r>
                </w:p>
              </w:tc>
              <w:tc>
                <w:tcPr>
                  <w:tcW w:w="762" w:type="dxa"/>
                  <w:vAlign w:val="center"/>
                </w:tcPr>
                <w:p w14:paraId="7CEEBE64">
                  <w:pPr>
                    <w:jc w:val="center"/>
                    <w:rPr>
                      <w:color w:val="auto"/>
                      <w:sz w:val="18"/>
                      <w:szCs w:val="18"/>
                    </w:rPr>
                  </w:pPr>
                  <w:r>
                    <w:rPr>
                      <w:rFonts w:hint="eastAsia"/>
                      <w:color w:val="auto"/>
                      <w:sz w:val="18"/>
                      <w:szCs w:val="18"/>
                    </w:rPr>
                    <w:t>50 L/a</w:t>
                  </w:r>
                </w:p>
              </w:tc>
              <w:tc>
                <w:tcPr>
                  <w:tcW w:w="817" w:type="dxa"/>
                  <w:vAlign w:val="center"/>
                </w:tcPr>
                <w:p w14:paraId="6E0AEAED">
                  <w:pPr>
                    <w:jc w:val="center"/>
                    <w:rPr>
                      <w:color w:val="auto"/>
                      <w:sz w:val="18"/>
                      <w:szCs w:val="18"/>
                    </w:rPr>
                  </w:pPr>
                  <w:r>
                    <w:rPr>
                      <w:rFonts w:hint="eastAsia"/>
                      <w:color w:val="auto"/>
                      <w:sz w:val="18"/>
                      <w:szCs w:val="18"/>
                    </w:rPr>
                    <w:t>1</w:t>
                  </w:r>
                </w:p>
              </w:tc>
              <w:tc>
                <w:tcPr>
                  <w:tcW w:w="1387" w:type="dxa"/>
                  <w:vAlign w:val="center"/>
                </w:tcPr>
                <w:p w14:paraId="33E375D1">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382BA62C">
                  <w:pPr>
                    <w:pStyle w:val="4"/>
                    <w:spacing w:before="0" w:after="0" w:line="240" w:lineRule="auto"/>
                    <w:jc w:val="center"/>
                    <w:rPr>
                      <w:b w:val="0"/>
                      <w:bCs w:val="0"/>
                      <w:color w:val="auto"/>
                      <w:sz w:val="18"/>
                      <w:szCs w:val="18"/>
                    </w:rPr>
                  </w:pPr>
                </w:p>
              </w:tc>
            </w:tr>
            <w:tr w14:paraId="558AA3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3DF4DCE3">
                  <w:pPr>
                    <w:jc w:val="center"/>
                    <w:rPr>
                      <w:color w:val="auto"/>
                      <w:sz w:val="18"/>
                      <w:szCs w:val="18"/>
                    </w:rPr>
                  </w:pPr>
                </w:p>
              </w:tc>
              <w:tc>
                <w:tcPr>
                  <w:tcW w:w="809" w:type="dxa"/>
                  <w:vMerge w:val="continue"/>
                  <w:vAlign w:val="center"/>
                </w:tcPr>
                <w:p w14:paraId="75CAD1DE">
                  <w:pPr>
                    <w:jc w:val="center"/>
                    <w:rPr>
                      <w:snapToGrid w:val="0"/>
                      <w:color w:val="auto"/>
                      <w:sz w:val="18"/>
                      <w:szCs w:val="18"/>
                    </w:rPr>
                  </w:pPr>
                </w:p>
              </w:tc>
              <w:tc>
                <w:tcPr>
                  <w:tcW w:w="1506" w:type="dxa"/>
                  <w:vAlign w:val="center"/>
                </w:tcPr>
                <w:p w14:paraId="00E236F3">
                  <w:pPr>
                    <w:jc w:val="center"/>
                    <w:rPr>
                      <w:color w:val="auto"/>
                      <w:sz w:val="18"/>
                      <w:szCs w:val="18"/>
                    </w:rPr>
                  </w:pPr>
                  <w:r>
                    <w:rPr>
                      <w:rFonts w:hint="eastAsia"/>
                      <w:color w:val="auto"/>
                      <w:sz w:val="18"/>
                      <w:szCs w:val="18"/>
                    </w:rPr>
                    <w:t>草酸</w:t>
                  </w:r>
                </w:p>
              </w:tc>
              <w:tc>
                <w:tcPr>
                  <w:tcW w:w="2052" w:type="dxa"/>
                  <w:vAlign w:val="center"/>
                </w:tcPr>
                <w:p w14:paraId="0162C127">
                  <w:pPr>
                    <w:jc w:val="center"/>
                    <w:rPr>
                      <w:color w:val="auto"/>
                      <w:sz w:val="18"/>
                      <w:szCs w:val="18"/>
                    </w:rPr>
                  </w:pPr>
                  <w:r>
                    <w:rPr>
                      <w:rFonts w:hint="eastAsia"/>
                      <w:color w:val="auto"/>
                      <w:sz w:val="18"/>
                      <w:szCs w:val="18"/>
                    </w:rPr>
                    <w:t>99.96%，PT，</w:t>
                  </w:r>
                  <w:r>
                    <w:rPr>
                      <w:color w:val="auto"/>
                      <w:sz w:val="18"/>
                      <w:szCs w:val="18"/>
                      <w:lang w:bidi="ar"/>
                    </w:rPr>
                    <w:t>C</w:t>
                  </w:r>
                  <w:r>
                    <w:rPr>
                      <w:color w:val="auto"/>
                      <w:sz w:val="18"/>
                      <w:szCs w:val="18"/>
                      <w:vertAlign w:val="subscript"/>
                      <w:lang w:bidi="ar"/>
                    </w:rPr>
                    <w:t>2</w:t>
                  </w:r>
                  <w:r>
                    <w:rPr>
                      <w:color w:val="auto"/>
                      <w:sz w:val="18"/>
                      <w:szCs w:val="18"/>
                      <w:lang w:bidi="ar"/>
                    </w:rPr>
                    <w:t>H</w:t>
                  </w:r>
                  <w:r>
                    <w:rPr>
                      <w:color w:val="auto"/>
                      <w:sz w:val="18"/>
                      <w:szCs w:val="18"/>
                      <w:vertAlign w:val="subscript"/>
                      <w:lang w:bidi="ar"/>
                    </w:rPr>
                    <w:t>2</w:t>
                  </w:r>
                  <w:r>
                    <w:rPr>
                      <w:color w:val="auto"/>
                      <w:sz w:val="18"/>
                      <w:szCs w:val="18"/>
                      <w:lang w:bidi="ar"/>
                    </w:rPr>
                    <w:t>O</w:t>
                  </w:r>
                  <w:r>
                    <w:rPr>
                      <w:color w:val="auto"/>
                      <w:sz w:val="18"/>
                      <w:szCs w:val="18"/>
                      <w:vertAlign w:val="subscript"/>
                      <w:lang w:bidi="ar"/>
                    </w:rPr>
                    <w:t>4</w:t>
                  </w:r>
                </w:p>
              </w:tc>
              <w:tc>
                <w:tcPr>
                  <w:tcW w:w="762" w:type="dxa"/>
                  <w:vAlign w:val="center"/>
                </w:tcPr>
                <w:p w14:paraId="4498A37A">
                  <w:pPr>
                    <w:jc w:val="center"/>
                    <w:rPr>
                      <w:color w:val="auto"/>
                      <w:sz w:val="18"/>
                      <w:szCs w:val="18"/>
                    </w:rPr>
                  </w:pPr>
                  <w:r>
                    <w:rPr>
                      <w:rFonts w:hint="eastAsia"/>
                      <w:color w:val="auto"/>
                      <w:sz w:val="18"/>
                      <w:szCs w:val="18"/>
                    </w:rPr>
                    <w:t>2</w:t>
                  </w:r>
                </w:p>
              </w:tc>
              <w:tc>
                <w:tcPr>
                  <w:tcW w:w="817" w:type="dxa"/>
                  <w:vAlign w:val="center"/>
                </w:tcPr>
                <w:p w14:paraId="2EC4480A">
                  <w:pPr>
                    <w:jc w:val="center"/>
                    <w:rPr>
                      <w:color w:val="auto"/>
                      <w:sz w:val="18"/>
                      <w:szCs w:val="18"/>
                    </w:rPr>
                  </w:pPr>
                  <w:r>
                    <w:rPr>
                      <w:rFonts w:hint="eastAsia"/>
                      <w:color w:val="auto"/>
                      <w:sz w:val="18"/>
                      <w:szCs w:val="18"/>
                    </w:rPr>
                    <w:t>0.5</w:t>
                  </w:r>
                </w:p>
              </w:tc>
              <w:tc>
                <w:tcPr>
                  <w:tcW w:w="1387" w:type="dxa"/>
                  <w:vAlign w:val="center"/>
                </w:tcPr>
                <w:p w14:paraId="3B0C6227">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651E46AF">
                  <w:pPr>
                    <w:pStyle w:val="4"/>
                    <w:spacing w:before="0" w:after="0" w:line="240" w:lineRule="auto"/>
                    <w:jc w:val="center"/>
                    <w:rPr>
                      <w:b w:val="0"/>
                      <w:bCs w:val="0"/>
                      <w:color w:val="auto"/>
                      <w:sz w:val="18"/>
                      <w:szCs w:val="18"/>
                    </w:rPr>
                  </w:pPr>
                </w:p>
              </w:tc>
            </w:tr>
            <w:tr w14:paraId="4828B9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42B25635">
                  <w:pPr>
                    <w:jc w:val="center"/>
                    <w:rPr>
                      <w:color w:val="auto"/>
                      <w:sz w:val="18"/>
                      <w:szCs w:val="18"/>
                    </w:rPr>
                  </w:pPr>
                </w:p>
              </w:tc>
              <w:tc>
                <w:tcPr>
                  <w:tcW w:w="809" w:type="dxa"/>
                  <w:vMerge w:val="continue"/>
                  <w:vAlign w:val="center"/>
                </w:tcPr>
                <w:p w14:paraId="4EA2093E">
                  <w:pPr>
                    <w:jc w:val="center"/>
                    <w:rPr>
                      <w:snapToGrid w:val="0"/>
                      <w:color w:val="auto"/>
                      <w:sz w:val="18"/>
                      <w:szCs w:val="18"/>
                    </w:rPr>
                  </w:pPr>
                </w:p>
              </w:tc>
              <w:tc>
                <w:tcPr>
                  <w:tcW w:w="1506" w:type="dxa"/>
                  <w:vAlign w:val="center"/>
                </w:tcPr>
                <w:p w14:paraId="39496F22">
                  <w:pPr>
                    <w:jc w:val="center"/>
                    <w:rPr>
                      <w:color w:val="auto"/>
                      <w:sz w:val="18"/>
                      <w:szCs w:val="18"/>
                    </w:rPr>
                  </w:pPr>
                  <w:r>
                    <w:rPr>
                      <w:rFonts w:hint="eastAsia"/>
                      <w:color w:val="auto"/>
                      <w:sz w:val="18"/>
                      <w:szCs w:val="18"/>
                    </w:rPr>
                    <w:t>草酸二钾</w:t>
                  </w:r>
                </w:p>
              </w:tc>
              <w:tc>
                <w:tcPr>
                  <w:tcW w:w="2052" w:type="dxa"/>
                  <w:vAlign w:val="center"/>
                </w:tcPr>
                <w:p w14:paraId="51393C80">
                  <w:pPr>
                    <w:jc w:val="center"/>
                    <w:rPr>
                      <w:color w:val="auto"/>
                      <w:sz w:val="18"/>
                      <w:szCs w:val="18"/>
                    </w:rPr>
                  </w:pPr>
                  <w:r>
                    <w:rPr>
                      <w:rFonts w:hint="eastAsia"/>
                      <w:color w:val="auto"/>
                      <w:sz w:val="18"/>
                      <w:szCs w:val="18"/>
                    </w:rPr>
                    <w:t>99.8%，AR，</w:t>
                  </w:r>
                  <w:r>
                    <w:rPr>
                      <w:color w:val="auto"/>
                      <w:sz w:val="18"/>
                      <w:szCs w:val="18"/>
                    </w:rPr>
                    <w:t>K</w:t>
                  </w:r>
                  <w:r>
                    <w:rPr>
                      <w:color w:val="auto"/>
                      <w:sz w:val="18"/>
                      <w:szCs w:val="18"/>
                      <w:vertAlign w:val="subscript"/>
                    </w:rPr>
                    <w:t>2</w:t>
                  </w:r>
                  <w:r>
                    <w:rPr>
                      <w:color w:val="auto"/>
                      <w:sz w:val="18"/>
                      <w:szCs w:val="18"/>
                    </w:rPr>
                    <w:t>C</w:t>
                  </w:r>
                  <w:r>
                    <w:rPr>
                      <w:color w:val="auto"/>
                      <w:sz w:val="18"/>
                      <w:szCs w:val="18"/>
                      <w:vertAlign w:val="subscript"/>
                    </w:rPr>
                    <w:t>2</w:t>
                  </w:r>
                  <w:r>
                    <w:rPr>
                      <w:color w:val="auto"/>
                      <w:sz w:val="18"/>
                      <w:szCs w:val="18"/>
                    </w:rPr>
                    <w:t>O</w:t>
                  </w:r>
                  <w:r>
                    <w:rPr>
                      <w:color w:val="auto"/>
                      <w:sz w:val="18"/>
                      <w:szCs w:val="18"/>
                      <w:vertAlign w:val="subscript"/>
                    </w:rPr>
                    <w:t>4</w:t>
                  </w:r>
                </w:p>
              </w:tc>
              <w:tc>
                <w:tcPr>
                  <w:tcW w:w="762" w:type="dxa"/>
                  <w:vAlign w:val="center"/>
                </w:tcPr>
                <w:p w14:paraId="1BD2C97A">
                  <w:pPr>
                    <w:jc w:val="center"/>
                    <w:rPr>
                      <w:color w:val="auto"/>
                      <w:sz w:val="18"/>
                      <w:szCs w:val="18"/>
                    </w:rPr>
                  </w:pPr>
                  <w:r>
                    <w:rPr>
                      <w:rFonts w:hint="eastAsia"/>
                      <w:color w:val="auto"/>
                      <w:sz w:val="18"/>
                      <w:szCs w:val="18"/>
                    </w:rPr>
                    <w:t>2</w:t>
                  </w:r>
                </w:p>
              </w:tc>
              <w:tc>
                <w:tcPr>
                  <w:tcW w:w="817" w:type="dxa"/>
                  <w:vAlign w:val="center"/>
                </w:tcPr>
                <w:p w14:paraId="00881209">
                  <w:pPr>
                    <w:jc w:val="center"/>
                    <w:rPr>
                      <w:color w:val="auto"/>
                      <w:sz w:val="18"/>
                      <w:szCs w:val="18"/>
                    </w:rPr>
                  </w:pPr>
                  <w:r>
                    <w:rPr>
                      <w:rFonts w:hint="eastAsia"/>
                      <w:color w:val="auto"/>
                      <w:sz w:val="18"/>
                      <w:szCs w:val="18"/>
                    </w:rPr>
                    <w:t>0.5</w:t>
                  </w:r>
                </w:p>
              </w:tc>
              <w:tc>
                <w:tcPr>
                  <w:tcW w:w="1387" w:type="dxa"/>
                  <w:vAlign w:val="center"/>
                </w:tcPr>
                <w:p w14:paraId="7F288608">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50AAEBE6">
                  <w:pPr>
                    <w:pStyle w:val="4"/>
                    <w:spacing w:before="0" w:after="0" w:line="240" w:lineRule="auto"/>
                    <w:jc w:val="center"/>
                    <w:rPr>
                      <w:b w:val="0"/>
                      <w:bCs w:val="0"/>
                      <w:color w:val="auto"/>
                      <w:sz w:val="18"/>
                      <w:szCs w:val="18"/>
                    </w:rPr>
                  </w:pPr>
                </w:p>
              </w:tc>
            </w:tr>
            <w:tr w14:paraId="1603D1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5D6E1411">
                  <w:pPr>
                    <w:jc w:val="center"/>
                    <w:rPr>
                      <w:color w:val="auto"/>
                      <w:sz w:val="18"/>
                      <w:szCs w:val="18"/>
                    </w:rPr>
                  </w:pPr>
                </w:p>
              </w:tc>
              <w:tc>
                <w:tcPr>
                  <w:tcW w:w="809" w:type="dxa"/>
                  <w:vMerge w:val="continue"/>
                  <w:vAlign w:val="center"/>
                </w:tcPr>
                <w:p w14:paraId="6304BB65">
                  <w:pPr>
                    <w:jc w:val="center"/>
                    <w:rPr>
                      <w:snapToGrid w:val="0"/>
                      <w:color w:val="auto"/>
                      <w:sz w:val="18"/>
                      <w:szCs w:val="18"/>
                    </w:rPr>
                  </w:pPr>
                </w:p>
              </w:tc>
              <w:tc>
                <w:tcPr>
                  <w:tcW w:w="1506" w:type="dxa"/>
                  <w:vAlign w:val="center"/>
                </w:tcPr>
                <w:p w14:paraId="47960F1F">
                  <w:pPr>
                    <w:jc w:val="center"/>
                    <w:rPr>
                      <w:color w:val="auto"/>
                      <w:sz w:val="18"/>
                      <w:szCs w:val="18"/>
                    </w:rPr>
                  </w:pPr>
                  <w:r>
                    <w:rPr>
                      <w:rFonts w:hint="eastAsia"/>
                      <w:color w:val="auto"/>
                      <w:sz w:val="18"/>
                      <w:szCs w:val="18"/>
                    </w:rPr>
                    <w:t>草酸钠</w:t>
                  </w:r>
                </w:p>
              </w:tc>
              <w:tc>
                <w:tcPr>
                  <w:tcW w:w="2052" w:type="dxa"/>
                  <w:vAlign w:val="center"/>
                </w:tcPr>
                <w:p w14:paraId="62CEF4A6">
                  <w:pPr>
                    <w:jc w:val="center"/>
                    <w:rPr>
                      <w:color w:val="auto"/>
                      <w:sz w:val="18"/>
                      <w:szCs w:val="18"/>
                    </w:rPr>
                  </w:pPr>
                  <w:r>
                    <w:rPr>
                      <w:rFonts w:hint="eastAsia"/>
                      <w:color w:val="auto"/>
                      <w:sz w:val="18"/>
                      <w:szCs w:val="18"/>
                    </w:rPr>
                    <w:t>99.97%，PT，</w:t>
                  </w:r>
                  <w:r>
                    <w:rPr>
                      <w:color w:val="auto"/>
                      <w:sz w:val="18"/>
                      <w:szCs w:val="18"/>
                      <w:lang w:bidi="ar"/>
                    </w:rPr>
                    <w:t>Na</w:t>
                  </w:r>
                  <w:r>
                    <w:rPr>
                      <w:color w:val="auto"/>
                      <w:sz w:val="18"/>
                      <w:szCs w:val="18"/>
                      <w:vertAlign w:val="subscript"/>
                      <w:lang w:bidi="ar"/>
                    </w:rPr>
                    <w:t>2</w:t>
                  </w:r>
                  <w:r>
                    <w:rPr>
                      <w:color w:val="auto"/>
                      <w:sz w:val="18"/>
                      <w:szCs w:val="18"/>
                      <w:lang w:bidi="ar"/>
                    </w:rPr>
                    <w:t>C</w:t>
                  </w:r>
                  <w:r>
                    <w:rPr>
                      <w:color w:val="auto"/>
                      <w:sz w:val="18"/>
                      <w:szCs w:val="18"/>
                      <w:vertAlign w:val="subscript"/>
                      <w:lang w:bidi="ar"/>
                    </w:rPr>
                    <w:t>2</w:t>
                  </w:r>
                  <w:r>
                    <w:rPr>
                      <w:color w:val="auto"/>
                      <w:sz w:val="18"/>
                      <w:szCs w:val="18"/>
                      <w:lang w:bidi="ar"/>
                    </w:rPr>
                    <w:t>O</w:t>
                  </w:r>
                  <w:r>
                    <w:rPr>
                      <w:color w:val="auto"/>
                      <w:sz w:val="18"/>
                      <w:szCs w:val="18"/>
                      <w:vertAlign w:val="subscript"/>
                    </w:rPr>
                    <w:t>4</w:t>
                  </w:r>
                </w:p>
              </w:tc>
              <w:tc>
                <w:tcPr>
                  <w:tcW w:w="762" w:type="dxa"/>
                  <w:vAlign w:val="center"/>
                </w:tcPr>
                <w:p w14:paraId="388C5CB9">
                  <w:pPr>
                    <w:jc w:val="center"/>
                    <w:rPr>
                      <w:color w:val="auto"/>
                      <w:sz w:val="18"/>
                      <w:szCs w:val="18"/>
                    </w:rPr>
                  </w:pPr>
                  <w:r>
                    <w:rPr>
                      <w:rFonts w:hint="eastAsia"/>
                      <w:color w:val="auto"/>
                      <w:sz w:val="18"/>
                      <w:szCs w:val="18"/>
                    </w:rPr>
                    <w:t>2</w:t>
                  </w:r>
                </w:p>
              </w:tc>
              <w:tc>
                <w:tcPr>
                  <w:tcW w:w="817" w:type="dxa"/>
                  <w:vAlign w:val="center"/>
                </w:tcPr>
                <w:p w14:paraId="7BCDE591">
                  <w:pPr>
                    <w:jc w:val="center"/>
                    <w:rPr>
                      <w:color w:val="auto"/>
                      <w:sz w:val="18"/>
                      <w:szCs w:val="18"/>
                    </w:rPr>
                  </w:pPr>
                  <w:r>
                    <w:rPr>
                      <w:rFonts w:hint="eastAsia"/>
                      <w:color w:val="auto"/>
                      <w:sz w:val="18"/>
                      <w:szCs w:val="18"/>
                    </w:rPr>
                    <w:t>1</w:t>
                  </w:r>
                </w:p>
              </w:tc>
              <w:tc>
                <w:tcPr>
                  <w:tcW w:w="1387" w:type="dxa"/>
                  <w:vAlign w:val="center"/>
                </w:tcPr>
                <w:p w14:paraId="24ECED01">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304D069F">
                  <w:pPr>
                    <w:pStyle w:val="4"/>
                    <w:spacing w:before="0" w:after="0" w:line="240" w:lineRule="auto"/>
                    <w:jc w:val="center"/>
                    <w:rPr>
                      <w:b w:val="0"/>
                      <w:bCs w:val="0"/>
                      <w:color w:val="auto"/>
                      <w:sz w:val="18"/>
                      <w:szCs w:val="18"/>
                    </w:rPr>
                  </w:pPr>
                </w:p>
              </w:tc>
            </w:tr>
            <w:tr w14:paraId="0450C3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69" w:type="dxa"/>
                  <w:vMerge w:val="continue"/>
                  <w:vAlign w:val="center"/>
                </w:tcPr>
                <w:p w14:paraId="2B8E25D2">
                  <w:pPr>
                    <w:jc w:val="center"/>
                    <w:rPr>
                      <w:color w:val="auto"/>
                      <w:sz w:val="18"/>
                      <w:szCs w:val="18"/>
                    </w:rPr>
                  </w:pPr>
                </w:p>
              </w:tc>
              <w:tc>
                <w:tcPr>
                  <w:tcW w:w="809" w:type="dxa"/>
                  <w:vMerge w:val="continue"/>
                  <w:vAlign w:val="center"/>
                </w:tcPr>
                <w:p w14:paraId="074DA755">
                  <w:pPr>
                    <w:jc w:val="center"/>
                    <w:rPr>
                      <w:snapToGrid w:val="0"/>
                      <w:color w:val="auto"/>
                      <w:sz w:val="18"/>
                      <w:szCs w:val="18"/>
                    </w:rPr>
                  </w:pPr>
                </w:p>
              </w:tc>
              <w:tc>
                <w:tcPr>
                  <w:tcW w:w="1506" w:type="dxa"/>
                  <w:vAlign w:val="center"/>
                </w:tcPr>
                <w:p w14:paraId="49192AA4">
                  <w:pPr>
                    <w:jc w:val="center"/>
                    <w:rPr>
                      <w:color w:val="auto"/>
                      <w:sz w:val="18"/>
                      <w:szCs w:val="18"/>
                    </w:rPr>
                  </w:pPr>
                  <w:r>
                    <w:rPr>
                      <w:rFonts w:hint="eastAsia"/>
                      <w:color w:val="auto"/>
                      <w:sz w:val="18"/>
                      <w:szCs w:val="18"/>
                    </w:rPr>
                    <w:t>醋酸</w:t>
                  </w:r>
                </w:p>
              </w:tc>
              <w:tc>
                <w:tcPr>
                  <w:tcW w:w="2052" w:type="dxa"/>
                  <w:vAlign w:val="center"/>
                </w:tcPr>
                <w:p w14:paraId="6585A959">
                  <w:pPr>
                    <w:jc w:val="center"/>
                    <w:rPr>
                      <w:color w:val="auto"/>
                      <w:sz w:val="18"/>
                      <w:szCs w:val="18"/>
                    </w:rPr>
                  </w:pPr>
                  <w:r>
                    <w:rPr>
                      <w:rFonts w:hint="eastAsia"/>
                      <w:color w:val="auto"/>
                      <w:sz w:val="18"/>
                      <w:szCs w:val="18"/>
                    </w:rPr>
                    <w:t>99.0%，AR，</w:t>
                  </w:r>
                  <w:r>
                    <w:rPr>
                      <w:color w:val="auto"/>
                      <w:sz w:val="18"/>
                      <w:szCs w:val="18"/>
                      <w:lang w:bidi="ar"/>
                    </w:rPr>
                    <w:t>CH</w:t>
                  </w:r>
                  <w:r>
                    <w:rPr>
                      <w:color w:val="auto"/>
                      <w:sz w:val="18"/>
                      <w:szCs w:val="18"/>
                      <w:vertAlign w:val="subscript"/>
                      <w:lang w:bidi="ar"/>
                    </w:rPr>
                    <w:t>3</w:t>
                  </w:r>
                  <w:r>
                    <w:rPr>
                      <w:color w:val="auto"/>
                      <w:sz w:val="18"/>
                      <w:szCs w:val="18"/>
                      <w:lang w:bidi="ar"/>
                    </w:rPr>
                    <w:t>COOH</w:t>
                  </w:r>
                </w:p>
              </w:tc>
              <w:tc>
                <w:tcPr>
                  <w:tcW w:w="762" w:type="dxa"/>
                  <w:vAlign w:val="center"/>
                </w:tcPr>
                <w:p w14:paraId="53BE9804">
                  <w:pPr>
                    <w:jc w:val="center"/>
                    <w:rPr>
                      <w:color w:val="auto"/>
                      <w:sz w:val="18"/>
                      <w:szCs w:val="18"/>
                    </w:rPr>
                  </w:pPr>
                  <w:r>
                    <w:rPr>
                      <w:rFonts w:hint="eastAsia"/>
                      <w:color w:val="auto"/>
                      <w:sz w:val="18"/>
                      <w:szCs w:val="18"/>
                    </w:rPr>
                    <w:t>30 L/a</w:t>
                  </w:r>
                </w:p>
              </w:tc>
              <w:tc>
                <w:tcPr>
                  <w:tcW w:w="817" w:type="dxa"/>
                  <w:vAlign w:val="center"/>
                </w:tcPr>
                <w:p w14:paraId="51DAC5BE">
                  <w:pPr>
                    <w:jc w:val="center"/>
                    <w:rPr>
                      <w:color w:val="auto"/>
                      <w:sz w:val="18"/>
                      <w:szCs w:val="18"/>
                    </w:rPr>
                  </w:pPr>
                  <w:r>
                    <w:rPr>
                      <w:rFonts w:hint="eastAsia"/>
                      <w:color w:val="auto"/>
                      <w:sz w:val="18"/>
                      <w:szCs w:val="18"/>
                    </w:rPr>
                    <w:t>2</w:t>
                  </w:r>
                </w:p>
              </w:tc>
              <w:tc>
                <w:tcPr>
                  <w:tcW w:w="1387" w:type="dxa"/>
                  <w:vAlign w:val="center"/>
                </w:tcPr>
                <w:p w14:paraId="50E0E044">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5E086D2A">
                  <w:pPr>
                    <w:pStyle w:val="4"/>
                    <w:spacing w:before="0" w:after="0" w:line="240" w:lineRule="auto"/>
                    <w:jc w:val="center"/>
                    <w:rPr>
                      <w:b w:val="0"/>
                      <w:bCs w:val="0"/>
                      <w:color w:val="auto"/>
                      <w:sz w:val="18"/>
                      <w:szCs w:val="18"/>
                    </w:rPr>
                  </w:pPr>
                </w:p>
              </w:tc>
            </w:tr>
            <w:tr w14:paraId="66CBD9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296E4D2F">
                  <w:pPr>
                    <w:jc w:val="center"/>
                    <w:rPr>
                      <w:color w:val="auto"/>
                      <w:sz w:val="18"/>
                      <w:szCs w:val="18"/>
                    </w:rPr>
                  </w:pPr>
                </w:p>
              </w:tc>
              <w:tc>
                <w:tcPr>
                  <w:tcW w:w="809" w:type="dxa"/>
                  <w:vMerge w:val="continue"/>
                  <w:vAlign w:val="center"/>
                </w:tcPr>
                <w:p w14:paraId="0793DF6A">
                  <w:pPr>
                    <w:jc w:val="center"/>
                    <w:rPr>
                      <w:snapToGrid w:val="0"/>
                      <w:color w:val="auto"/>
                      <w:sz w:val="18"/>
                      <w:szCs w:val="18"/>
                    </w:rPr>
                  </w:pPr>
                </w:p>
              </w:tc>
              <w:tc>
                <w:tcPr>
                  <w:tcW w:w="1506" w:type="dxa"/>
                  <w:vAlign w:val="center"/>
                </w:tcPr>
                <w:p w14:paraId="4EEEA918">
                  <w:pPr>
                    <w:jc w:val="center"/>
                    <w:rPr>
                      <w:color w:val="auto"/>
                      <w:sz w:val="18"/>
                      <w:szCs w:val="18"/>
                    </w:rPr>
                  </w:pPr>
                  <w:r>
                    <w:rPr>
                      <w:rFonts w:hint="eastAsia"/>
                      <w:color w:val="auto"/>
                      <w:sz w:val="18"/>
                      <w:szCs w:val="18"/>
                    </w:rPr>
                    <w:t>醋酸钙</w:t>
                  </w:r>
                </w:p>
              </w:tc>
              <w:tc>
                <w:tcPr>
                  <w:tcW w:w="2052" w:type="dxa"/>
                  <w:vAlign w:val="center"/>
                </w:tcPr>
                <w:p w14:paraId="34D9D16A">
                  <w:pPr>
                    <w:jc w:val="center"/>
                    <w:rPr>
                      <w:color w:val="auto"/>
                      <w:sz w:val="18"/>
                      <w:szCs w:val="18"/>
                    </w:rPr>
                  </w:pPr>
                  <w:r>
                    <w:rPr>
                      <w:rFonts w:hint="eastAsia"/>
                      <w:color w:val="auto"/>
                      <w:sz w:val="18"/>
                      <w:szCs w:val="18"/>
                    </w:rPr>
                    <w:t>99.0%，AR，</w:t>
                  </w:r>
                  <w:r>
                    <w:rPr>
                      <w:color w:val="auto"/>
                      <w:sz w:val="18"/>
                      <w:szCs w:val="18"/>
                      <w:lang w:bidi="ar"/>
                    </w:rPr>
                    <w:t>Ca(CH</w:t>
                  </w:r>
                  <w:r>
                    <w:rPr>
                      <w:color w:val="auto"/>
                      <w:sz w:val="18"/>
                      <w:szCs w:val="18"/>
                      <w:vertAlign w:val="subscript"/>
                      <w:lang w:bidi="ar"/>
                    </w:rPr>
                    <w:t>3</w:t>
                  </w:r>
                  <w:r>
                    <w:rPr>
                      <w:color w:val="auto"/>
                      <w:sz w:val="18"/>
                      <w:szCs w:val="18"/>
                      <w:lang w:bidi="ar"/>
                    </w:rPr>
                    <w:t>COO)</w:t>
                  </w:r>
                  <w:r>
                    <w:rPr>
                      <w:color w:val="auto"/>
                      <w:sz w:val="18"/>
                      <w:szCs w:val="18"/>
                      <w:vertAlign w:val="subscript"/>
                      <w:lang w:bidi="ar"/>
                    </w:rPr>
                    <w:t>2</w:t>
                  </w:r>
                </w:p>
              </w:tc>
              <w:tc>
                <w:tcPr>
                  <w:tcW w:w="762" w:type="dxa"/>
                  <w:vAlign w:val="center"/>
                </w:tcPr>
                <w:p w14:paraId="2343A53A">
                  <w:pPr>
                    <w:jc w:val="center"/>
                    <w:rPr>
                      <w:color w:val="auto"/>
                      <w:sz w:val="18"/>
                      <w:szCs w:val="18"/>
                    </w:rPr>
                  </w:pPr>
                  <w:r>
                    <w:rPr>
                      <w:rFonts w:hint="eastAsia"/>
                      <w:color w:val="auto"/>
                      <w:sz w:val="18"/>
                      <w:szCs w:val="18"/>
                    </w:rPr>
                    <w:t>2</w:t>
                  </w:r>
                </w:p>
              </w:tc>
              <w:tc>
                <w:tcPr>
                  <w:tcW w:w="817" w:type="dxa"/>
                  <w:vAlign w:val="center"/>
                </w:tcPr>
                <w:p w14:paraId="7526741D">
                  <w:pPr>
                    <w:jc w:val="center"/>
                    <w:rPr>
                      <w:color w:val="auto"/>
                      <w:sz w:val="18"/>
                      <w:szCs w:val="18"/>
                    </w:rPr>
                  </w:pPr>
                  <w:r>
                    <w:rPr>
                      <w:rFonts w:hint="eastAsia"/>
                      <w:color w:val="auto"/>
                      <w:sz w:val="18"/>
                      <w:szCs w:val="18"/>
                    </w:rPr>
                    <w:t>1</w:t>
                  </w:r>
                </w:p>
              </w:tc>
              <w:tc>
                <w:tcPr>
                  <w:tcW w:w="1387" w:type="dxa"/>
                  <w:vAlign w:val="center"/>
                </w:tcPr>
                <w:p w14:paraId="5F4178C4">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6DC2D755">
                  <w:pPr>
                    <w:pStyle w:val="4"/>
                    <w:spacing w:before="0" w:after="0" w:line="240" w:lineRule="auto"/>
                    <w:jc w:val="center"/>
                    <w:rPr>
                      <w:b w:val="0"/>
                      <w:bCs w:val="0"/>
                      <w:color w:val="auto"/>
                      <w:sz w:val="18"/>
                      <w:szCs w:val="18"/>
                    </w:rPr>
                  </w:pPr>
                </w:p>
              </w:tc>
            </w:tr>
            <w:tr w14:paraId="33A32D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356F8C7A">
                  <w:pPr>
                    <w:jc w:val="center"/>
                    <w:rPr>
                      <w:color w:val="auto"/>
                      <w:sz w:val="18"/>
                      <w:szCs w:val="18"/>
                    </w:rPr>
                  </w:pPr>
                </w:p>
              </w:tc>
              <w:tc>
                <w:tcPr>
                  <w:tcW w:w="809" w:type="dxa"/>
                  <w:vMerge w:val="continue"/>
                  <w:vAlign w:val="center"/>
                </w:tcPr>
                <w:p w14:paraId="136CF997">
                  <w:pPr>
                    <w:jc w:val="center"/>
                    <w:rPr>
                      <w:snapToGrid w:val="0"/>
                      <w:color w:val="auto"/>
                      <w:sz w:val="18"/>
                      <w:szCs w:val="18"/>
                    </w:rPr>
                  </w:pPr>
                </w:p>
              </w:tc>
              <w:tc>
                <w:tcPr>
                  <w:tcW w:w="1506" w:type="dxa"/>
                  <w:vAlign w:val="center"/>
                </w:tcPr>
                <w:p w14:paraId="56AFE474">
                  <w:pPr>
                    <w:jc w:val="center"/>
                    <w:rPr>
                      <w:color w:val="auto"/>
                      <w:sz w:val="18"/>
                      <w:szCs w:val="18"/>
                    </w:rPr>
                  </w:pPr>
                  <w:r>
                    <w:rPr>
                      <w:rFonts w:hint="eastAsia"/>
                      <w:color w:val="auto"/>
                      <w:sz w:val="18"/>
                      <w:szCs w:val="18"/>
                    </w:rPr>
                    <w:t>醋酸钠</w:t>
                  </w:r>
                </w:p>
              </w:tc>
              <w:tc>
                <w:tcPr>
                  <w:tcW w:w="2052" w:type="dxa"/>
                  <w:vAlign w:val="center"/>
                </w:tcPr>
                <w:p w14:paraId="34DC24BC">
                  <w:pPr>
                    <w:jc w:val="center"/>
                    <w:rPr>
                      <w:color w:val="auto"/>
                      <w:sz w:val="18"/>
                      <w:szCs w:val="18"/>
                    </w:rPr>
                  </w:pPr>
                  <w:r>
                    <w:rPr>
                      <w:rFonts w:hint="eastAsia"/>
                      <w:color w:val="auto"/>
                      <w:sz w:val="18"/>
                      <w:szCs w:val="18"/>
                    </w:rPr>
                    <w:t>99.0%，AR，</w:t>
                  </w:r>
                  <w:r>
                    <w:rPr>
                      <w:color w:val="auto"/>
                      <w:sz w:val="18"/>
                      <w:szCs w:val="18"/>
                      <w:lang w:bidi="ar"/>
                    </w:rPr>
                    <w:t>NaCH</w:t>
                  </w:r>
                  <w:r>
                    <w:rPr>
                      <w:color w:val="auto"/>
                      <w:sz w:val="18"/>
                      <w:szCs w:val="18"/>
                      <w:vertAlign w:val="subscript"/>
                      <w:lang w:bidi="ar"/>
                    </w:rPr>
                    <w:t>3</w:t>
                  </w:r>
                  <w:r>
                    <w:rPr>
                      <w:color w:val="auto"/>
                      <w:sz w:val="18"/>
                      <w:szCs w:val="18"/>
                      <w:lang w:bidi="ar"/>
                    </w:rPr>
                    <w:t>COO</w:t>
                  </w:r>
                </w:p>
              </w:tc>
              <w:tc>
                <w:tcPr>
                  <w:tcW w:w="762" w:type="dxa"/>
                  <w:vAlign w:val="center"/>
                </w:tcPr>
                <w:p w14:paraId="7C7A1E07">
                  <w:pPr>
                    <w:jc w:val="center"/>
                    <w:rPr>
                      <w:color w:val="auto"/>
                      <w:sz w:val="18"/>
                      <w:szCs w:val="18"/>
                    </w:rPr>
                  </w:pPr>
                  <w:r>
                    <w:rPr>
                      <w:rFonts w:hint="eastAsia"/>
                      <w:color w:val="auto"/>
                      <w:sz w:val="18"/>
                      <w:szCs w:val="18"/>
                    </w:rPr>
                    <w:t>4</w:t>
                  </w:r>
                </w:p>
              </w:tc>
              <w:tc>
                <w:tcPr>
                  <w:tcW w:w="817" w:type="dxa"/>
                  <w:vAlign w:val="center"/>
                </w:tcPr>
                <w:p w14:paraId="73DEFBA9">
                  <w:pPr>
                    <w:jc w:val="center"/>
                    <w:rPr>
                      <w:color w:val="auto"/>
                      <w:sz w:val="18"/>
                      <w:szCs w:val="18"/>
                    </w:rPr>
                  </w:pPr>
                  <w:r>
                    <w:rPr>
                      <w:rFonts w:hint="eastAsia"/>
                      <w:color w:val="auto"/>
                      <w:sz w:val="18"/>
                      <w:szCs w:val="18"/>
                    </w:rPr>
                    <w:t>1</w:t>
                  </w:r>
                </w:p>
              </w:tc>
              <w:tc>
                <w:tcPr>
                  <w:tcW w:w="1387" w:type="dxa"/>
                  <w:vAlign w:val="center"/>
                </w:tcPr>
                <w:p w14:paraId="4C696BD1">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035A20A6">
                  <w:pPr>
                    <w:pStyle w:val="4"/>
                    <w:spacing w:before="0" w:after="0" w:line="240" w:lineRule="auto"/>
                    <w:jc w:val="center"/>
                    <w:rPr>
                      <w:b w:val="0"/>
                      <w:bCs w:val="0"/>
                      <w:color w:val="auto"/>
                      <w:sz w:val="18"/>
                      <w:szCs w:val="18"/>
                    </w:rPr>
                  </w:pPr>
                </w:p>
              </w:tc>
            </w:tr>
            <w:tr w14:paraId="0AA06E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16067CD7">
                  <w:pPr>
                    <w:jc w:val="center"/>
                    <w:rPr>
                      <w:color w:val="auto"/>
                      <w:sz w:val="18"/>
                      <w:szCs w:val="18"/>
                    </w:rPr>
                  </w:pPr>
                </w:p>
                <w:p w14:paraId="11F00CA4">
                  <w:pPr>
                    <w:jc w:val="center"/>
                    <w:rPr>
                      <w:color w:val="auto"/>
                      <w:sz w:val="18"/>
                      <w:szCs w:val="18"/>
                    </w:rPr>
                  </w:pPr>
                </w:p>
              </w:tc>
              <w:tc>
                <w:tcPr>
                  <w:tcW w:w="809" w:type="dxa"/>
                  <w:vMerge w:val="continue"/>
                  <w:vAlign w:val="center"/>
                </w:tcPr>
                <w:p w14:paraId="41219C76">
                  <w:pPr>
                    <w:jc w:val="center"/>
                    <w:rPr>
                      <w:snapToGrid w:val="0"/>
                      <w:color w:val="auto"/>
                      <w:sz w:val="18"/>
                      <w:szCs w:val="18"/>
                    </w:rPr>
                  </w:pPr>
                </w:p>
              </w:tc>
              <w:tc>
                <w:tcPr>
                  <w:tcW w:w="1506" w:type="dxa"/>
                  <w:vAlign w:val="center"/>
                </w:tcPr>
                <w:p w14:paraId="417C2D24">
                  <w:pPr>
                    <w:jc w:val="center"/>
                    <w:rPr>
                      <w:color w:val="auto"/>
                      <w:sz w:val="18"/>
                      <w:szCs w:val="18"/>
                    </w:rPr>
                  </w:pPr>
                  <w:r>
                    <w:rPr>
                      <w:rFonts w:hint="eastAsia"/>
                      <w:color w:val="auto"/>
                      <w:sz w:val="18"/>
                      <w:szCs w:val="18"/>
                    </w:rPr>
                    <w:t>邻苯二甲酸氢钾</w:t>
                  </w:r>
                </w:p>
              </w:tc>
              <w:tc>
                <w:tcPr>
                  <w:tcW w:w="2052" w:type="dxa"/>
                  <w:vAlign w:val="center"/>
                </w:tcPr>
                <w:p w14:paraId="53DC827D">
                  <w:pPr>
                    <w:jc w:val="center"/>
                    <w:rPr>
                      <w:color w:val="auto"/>
                      <w:sz w:val="18"/>
                      <w:szCs w:val="18"/>
                    </w:rPr>
                  </w:pPr>
                  <w:r>
                    <w:rPr>
                      <w:rFonts w:hint="eastAsia"/>
                      <w:color w:val="auto"/>
                      <w:sz w:val="18"/>
                      <w:szCs w:val="18"/>
                    </w:rPr>
                    <w:t>99.96%，PT，</w:t>
                  </w:r>
                  <w:r>
                    <w:rPr>
                      <w:color w:val="auto"/>
                      <w:sz w:val="18"/>
                      <w:szCs w:val="18"/>
                      <w:lang w:bidi="ar"/>
                    </w:rPr>
                    <w:t>KC</w:t>
                  </w:r>
                  <w:r>
                    <w:rPr>
                      <w:color w:val="auto"/>
                      <w:sz w:val="18"/>
                      <w:szCs w:val="18"/>
                      <w:vertAlign w:val="subscript"/>
                      <w:lang w:bidi="ar"/>
                    </w:rPr>
                    <w:t>8</w:t>
                  </w:r>
                  <w:r>
                    <w:rPr>
                      <w:color w:val="auto"/>
                      <w:sz w:val="18"/>
                      <w:szCs w:val="18"/>
                      <w:lang w:bidi="ar"/>
                    </w:rPr>
                    <w:t>H</w:t>
                  </w:r>
                  <w:r>
                    <w:rPr>
                      <w:color w:val="auto"/>
                      <w:sz w:val="18"/>
                      <w:szCs w:val="18"/>
                      <w:vertAlign w:val="subscript"/>
                      <w:lang w:bidi="ar"/>
                    </w:rPr>
                    <w:t>5</w:t>
                  </w:r>
                  <w:r>
                    <w:rPr>
                      <w:color w:val="auto"/>
                      <w:sz w:val="18"/>
                      <w:szCs w:val="18"/>
                      <w:lang w:bidi="ar"/>
                    </w:rPr>
                    <w:t>O</w:t>
                  </w:r>
                  <w:r>
                    <w:rPr>
                      <w:color w:val="auto"/>
                      <w:sz w:val="18"/>
                      <w:szCs w:val="18"/>
                      <w:vertAlign w:val="subscript"/>
                      <w:lang w:bidi="ar"/>
                    </w:rPr>
                    <w:t>4</w:t>
                  </w:r>
                </w:p>
              </w:tc>
              <w:tc>
                <w:tcPr>
                  <w:tcW w:w="762" w:type="dxa"/>
                  <w:vAlign w:val="center"/>
                </w:tcPr>
                <w:p w14:paraId="4D86C908">
                  <w:pPr>
                    <w:jc w:val="center"/>
                    <w:rPr>
                      <w:color w:val="auto"/>
                      <w:sz w:val="18"/>
                      <w:szCs w:val="18"/>
                    </w:rPr>
                  </w:pPr>
                  <w:r>
                    <w:rPr>
                      <w:rFonts w:hint="eastAsia"/>
                      <w:color w:val="auto"/>
                      <w:sz w:val="18"/>
                      <w:szCs w:val="18"/>
                    </w:rPr>
                    <w:t>2</w:t>
                  </w:r>
                </w:p>
              </w:tc>
              <w:tc>
                <w:tcPr>
                  <w:tcW w:w="817" w:type="dxa"/>
                  <w:vAlign w:val="center"/>
                </w:tcPr>
                <w:p w14:paraId="46DB06A8">
                  <w:pPr>
                    <w:jc w:val="center"/>
                    <w:rPr>
                      <w:color w:val="auto"/>
                      <w:sz w:val="18"/>
                      <w:szCs w:val="18"/>
                    </w:rPr>
                  </w:pPr>
                  <w:r>
                    <w:rPr>
                      <w:rFonts w:hint="eastAsia"/>
                      <w:color w:val="auto"/>
                      <w:sz w:val="18"/>
                      <w:szCs w:val="18"/>
                    </w:rPr>
                    <w:t>1</w:t>
                  </w:r>
                </w:p>
              </w:tc>
              <w:tc>
                <w:tcPr>
                  <w:tcW w:w="1387" w:type="dxa"/>
                  <w:vAlign w:val="center"/>
                </w:tcPr>
                <w:p w14:paraId="5B9B3133">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6BBB4705">
                  <w:pPr>
                    <w:pStyle w:val="4"/>
                    <w:spacing w:before="0" w:after="0" w:line="240" w:lineRule="auto"/>
                    <w:jc w:val="center"/>
                    <w:rPr>
                      <w:b w:val="0"/>
                      <w:bCs w:val="0"/>
                      <w:color w:val="auto"/>
                      <w:sz w:val="18"/>
                      <w:szCs w:val="18"/>
                    </w:rPr>
                  </w:pPr>
                </w:p>
              </w:tc>
            </w:tr>
            <w:tr w14:paraId="652D44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47B52205">
                  <w:pPr>
                    <w:jc w:val="center"/>
                    <w:rPr>
                      <w:color w:val="auto"/>
                      <w:sz w:val="18"/>
                      <w:szCs w:val="18"/>
                    </w:rPr>
                  </w:pPr>
                </w:p>
              </w:tc>
              <w:tc>
                <w:tcPr>
                  <w:tcW w:w="809" w:type="dxa"/>
                  <w:vMerge w:val="continue"/>
                  <w:vAlign w:val="center"/>
                </w:tcPr>
                <w:p w14:paraId="0AE6F8AE">
                  <w:pPr>
                    <w:jc w:val="center"/>
                    <w:rPr>
                      <w:snapToGrid w:val="0"/>
                      <w:color w:val="auto"/>
                      <w:sz w:val="18"/>
                      <w:szCs w:val="18"/>
                    </w:rPr>
                  </w:pPr>
                </w:p>
              </w:tc>
              <w:tc>
                <w:tcPr>
                  <w:tcW w:w="1506" w:type="dxa"/>
                  <w:vAlign w:val="center"/>
                </w:tcPr>
                <w:p w14:paraId="59DEDD09">
                  <w:pPr>
                    <w:jc w:val="center"/>
                    <w:rPr>
                      <w:color w:val="auto"/>
                      <w:sz w:val="18"/>
                      <w:szCs w:val="18"/>
                    </w:rPr>
                  </w:pPr>
                  <w:r>
                    <w:rPr>
                      <w:rFonts w:hint="eastAsia"/>
                      <w:color w:val="auto"/>
                      <w:sz w:val="18"/>
                      <w:szCs w:val="18"/>
                    </w:rPr>
                    <w:t>重铬酸钾</w:t>
                  </w:r>
                </w:p>
              </w:tc>
              <w:tc>
                <w:tcPr>
                  <w:tcW w:w="2052" w:type="dxa"/>
                  <w:vAlign w:val="center"/>
                </w:tcPr>
                <w:p w14:paraId="55D29A74">
                  <w:pPr>
                    <w:jc w:val="center"/>
                    <w:rPr>
                      <w:color w:val="auto"/>
                      <w:sz w:val="18"/>
                      <w:szCs w:val="18"/>
                    </w:rPr>
                  </w:pPr>
                  <w:r>
                    <w:rPr>
                      <w:rFonts w:hint="eastAsia"/>
                      <w:color w:val="auto"/>
                      <w:sz w:val="18"/>
                      <w:szCs w:val="18"/>
                    </w:rPr>
                    <w:t>100.00%，PT</w:t>
                  </w:r>
                  <w:r>
                    <w:rPr>
                      <w:color w:val="auto"/>
                      <w:sz w:val="18"/>
                      <w:szCs w:val="18"/>
                    </w:rPr>
                    <w:t>，</w:t>
                  </w:r>
                  <w:r>
                    <w:rPr>
                      <w:rFonts w:eastAsia="Helvetica"/>
                      <w:color w:val="auto"/>
                      <w:sz w:val="18"/>
                      <w:szCs w:val="18"/>
                      <w:shd w:val="clear" w:color="auto" w:fill="FFFFFF"/>
                    </w:rPr>
                    <w:t>K</w:t>
                  </w:r>
                  <w:r>
                    <w:rPr>
                      <w:rFonts w:eastAsia="Helvetica"/>
                      <w:color w:val="auto"/>
                      <w:sz w:val="18"/>
                      <w:szCs w:val="18"/>
                      <w:shd w:val="clear" w:color="auto" w:fill="FFFFFF"/>
                      <w:vertAlign w:val="subscript"/>
                    </w:rPr>
                    <w:t>2</w:t>
                  </w:r>
                  <w:r>
                    <w:rPr>
                      <w:rFonts w:eastAsia="Helvetica"/>
                      <w:color w:val="auto"/>
                      <w:sz w:val="18"/>
                      <w:szCs w:val="18"/>
                      <w:shd w:val="clear" w:color="auto" w:fill="FFFFFF"/>
                    </w:rPr>
                    <w:t>Cr</w:t>
                  </w:r>
                  <w:r>
                    <w:rPr>
                      <w:rFonts w:eastAsia="Helvetica"/>
                      <w:color w:val="auto"/>
                      <w:sz w:val="18"/>
                      <w:szCs w:val="18"/>
                      <w:shd w:val="clear" w:color="auto" w:fill="FFFFFF"/>
                      <w:vertAlign w:val="subscript"/>
                    </w:rPr>
                    <w:t>2</w:t>
                  </w:r>
                  <w:r>
                    <w:rPr>
                      <w:rFonts w:eastAsia="Helvetica"/>
                      <w:color w:val="auto"/>
                      <w:sz w:val="18"/>
                      <w:szCs w:val="18"/>
                      <w:shd w:val="clear" w:color="auto" w:fill="FFFFFF"/>
                    </w:rPr>
                    <w:t>O</w:t>
                  </w:r>
                  <w:r>
                    <w:rPr>
                      <w:rFonts w:eastAsia="Helvetica"/>
                      <w:color w:val="auto"/>
                      <w:sz w:val="18"/>
                      <w:szCs w:val="18"/>
                      <w:shd w:val="clear" w:color="auto" w:fill="FFFFFF"/>
                      <w:vertAlign w:val="subscript"/>
                    </w:rPr>
                    <w:t>7</w:t>
                  </w:r>
                </w:p>
              </w:tc>
              <w:tc>
                <w:tcPr>
                  <w:tcW w:w="762" w:type="dxa"/>
                  <w:vAlign w:val="center"/>
                </w:tcPr>
                <w:p w14:paraId="0B7C3B78">
                  <w:pPr>
                    <w:jc w:val="center"/>
                    <w:rPr>
                      <w:color w:val="auto"/>
                      <w:sz w:val="18"/>
                      <w:szCs w:val="18"/>
                    </w:rPr>
                  </w:pPr>
                  <w:r>
                    <w:rPr>
                      <w:rFonts w:hint="eastAsia"/>
                      <w:color w:val="auto"/>
                      <w:sz w:val="18"/>
                      <w:szCs w:val="18"/>
                    </w:rPr>
                    <w:t>3</w:t>
                  </w:r>
                </w:p>
              </w:tc>
              <w:tc>
                <w:tcPr>
                  <w:tcW w:w="817" w:type="dxa"/>
                  <w:vAlign w:val="center"/>
                </w:tcPr>
                <w:p w14:paraId="38023094">
                  <w:pPr>
                    <w:jc w:val="center"/>
                    <w:rPr>
                      <w:color w:val="auto"/>
                      <w:sz w:val="18"/>
                      <w:szCs w:val="18"/>
                    </w:rPr>
                  </w:pPr>
                  <w:r>
                    <w:rPr>
                      <w:rFonts w:hint="eastAsia"/>
                      <w:color w:val="auto"/>
                      <w:sz w:val="18"/>
                      <w:szCs w:val="18"/>
                    </w:rPr>
                    <w:t>1</w:t>
                  </w:r>
                </w:p>
              </w:tc>
              <w:tc>
                <w:tcPr>
                  <w:tcW w:w="1387" w:type="dxa"/>
                  <w:vAlign w:val="center"/>
                </w:tcPr>
                <w:p w14:paraId="470E6A44">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0F0F9E01">
                  <w:pPr>
                    <w:pStyle w:val="4"/>
                    <w:spacing w:before="0" w:after="0" w:line="240" w:lineRule="auto"/>
                    <w:jc w:val="center"/>
                    <w:rPr>
                      <w:b w:val="0"/>
                      <w:bCs w:val="0"/>
                      <w:color w:val="auto"/>
                      <w:sz w:val="18"/>
                      <w:szCs w:val="18"/>
                    </w:rPr>
                  </w:pPr>
                </w:p>
              </w:tc>
            </w:tr>
            <w:tr w14:paraId="504883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1497E58A">
                  <w:pPr>
                    <w:jc w:val="center"/>
                    <w:rPr>
                      <w:color w:val="auto"/>
                      <w:sz w:val="18"/>
                      <w:szCs w:val="18"/>
                    </w:rPr>
                  </w:pPr>
                </w:p>
              </w:tc>
              <w:tc>
                <w:tcPr>
                  <w:tcW w:w="809" w:type="dxa"/>
                  <w:vMerge w:val="continue"/>
                  <w:vAlign w:val="center"/>
                </w:tcPr>
                <w:p w14:paraId="224D9190">
                  <w:pPr>
                    <w:jc w:val="center"/>
                    <w:rPr>
                      <w:snapToGrid w:val="0"/>
                      <w:color w:val="auto"/>
                      <w:sz w:val="18"/>
                      <w:szCs w:val="18"/>
                    </w:rPr>
                  </w:pPr>
                </w:p>
              </w:tc>
              <w:tc>
                <w:tcPr>
                  <w:tcW w:w="1506" w:type="dxa"/>
                  <w:vAlign w:val="center"/>
                </w:tcPr>
                <w:p w14:paraId="14D5FE28">
                  <w:pPr>
                    <w:jc w:val="center"/>
                    <w:rPr>
                      <w:color w:val="auto"/>
                      <w:sz w:val="18"/>
                      <w:szCs w:val="18"/>
                    </w:rPr>
                  </w:pPr>
                  <w:r>
                    <w:rPr>
                      <w:rFonts w:hint="eastAsia"/>
                      <w:color w:val="auto"/>
                      <w:sz w:val="18"/>
                      <w:szCs w:val="18"/>
                    </w:rPr>
                    <w:t>氧化锌</w:t>
                  </w:r>
                </w:p>
              </w:tc>
              <w:tc>
                <w:tcPr>
                  <w:tcW w:w="2052" w:type="dxa"/>
                  <w:vAlign w:val="center"/>
                </w:tcPr>
                <w:p w14:paraId="70840AE3">
                  <w:pPr>
                    <w:jc w:val="center"/>
                    <w:rPr>
                      <w:color w:val="auto"/>
                      <w:sz w:val="18"/>
                      <w:szCs w:val="18"/>
                    </w:rPr>
                  </w:pPr>
                  <w:r>
                    <w:rPr>
                      <w:rFonts w:hint="eastAsia"/>
                      <w:color w:val="auto"/>
                      <w:sz w:val="18"/>
                      <w:szCs w:val="18"/>
                    </w:rPr>
                    <w:t>99.95%，PT</w:t>
                  </w:r>
                  <w:r>
                    <w:rPr>
                      <w:color w:val="auto"/>
                      <w:sz w:val="18"/>
                      <w:szCs w:val="18"/>
                    </w:rPr>
                    <w:t>，</w:t>
                  </w:r>
                  <w:r>
                    <w:rPr>
                      <w:rFonts w:eastAsia="Helvetica"/>
                      <w:color w:val="auto"/>
                      <w:sz w:val="18"/>
                      <w:szCs w:val="18"/>
                      <w:shd w:val="clear" w:color="auto" w:fill="FFFFFF"/>
                    </w:rPr>
                    <w:t>ZnO</w:t>
                  </w:r>
                </w:p>
              </w:tc>
              <w:tc>
                <w:tcPr>
                  <w:tcW w:w="762" w:type="dxa"/>
                  <w:vAlign w:val="center"/>
                </w:tcPr>
                <w:p w14:paraId="14A295D0">
                  <w:pPr>
                    <w:jc w:val="center"/>
                    <w:rPr>
                      <w:color w:val="auto"/>
                      <w:sz w:val="18"/>
                      <w:szCs w:val="18"/>
                    </w:rPr>
                  </w:pPr>
                  <w:r>
                    <w:rPr>
                      <w:rFonts w:hint="eastAsia"/>
                      <w:color w:val="auto"/>
                      <w:sz w:val="18"/>
                      <w:szCs w:val="18"/>
                    </w:rPr>
                    <w:t>1</w:t>
                  </w:r>
                </w:p>
              </w:tc>
              <w:tc>
                <w:tcPr>
                  <w:tcW w:w="817" w:type="dxa"/>
                  <w:vAlign w:val="center"/>
                </w:tcPr>
                <w:p w14:paraId="3C59FD0B">
                  <w:pPr>
                    <w:jc w:val="center"/>
                    <w:rPr>
                      <w:color w:val="auto"/>
                      <w:sz w:val="18"/>
                      <w:szCs w:val="18"/>
                    </w:rPr>
                  </w:pPr>
                  <w:r>
                    <w:rPr>
                      <w:rFonts w:hint="eastAsia"/>
                      <w:color w:val="auto"/>
                      <w:sz w:val="18"/>
                      <w:szCs w:val="18"/>
                    </w:rPr>
                    <w:t>1</w:t>
                  </w:r>
                </w:p>
              </w:tc>
              <w:tc>
                <w:tcPr>
                  <w:tcW w:w="1387" w:type="dxa"/>
                  <w:vAlign w:val="center"/>
                </w:tcPr>
                <w:p w14:paraId="634D567A">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28FB6B1A">
                  <w:pPr>
                    <w:pStyle w:val="4"/>
                    <w:spacing w:before="0" w:after="0" w:line="240" w:lineRule="auto"/>
                    <w:jc w:val="center"/>
                    <w:rPr>
                      <w:b w:val="0"/>
                      <w:bCs w:val="0"/>
                      <w:color w:val="auto"/>
                      <w:sz w:val="18"/>
                      <w:szCs w:val="18"/>
                    </w:rPr>
                  </w:pPr>
                </w:p>
              </w:tc>
            </w:tr>
            <w:tr w14:paraId="0DF1B9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08F0B61B">
                  <w:pPr>
                    <w:jc w:val="center"/>
                    <w:rPr>
                      <w:color w:val="auto"/>
                      <w:sz w:val="18"/>
                      <w:szCs w:val="18"/>
                    </w:rPr>
                  </w:pPr>
                </w:p>
              </w:tc>
              <w:tc>
                <w:tcPr>
                  <w:tcW w:w="809" w:type="dxa"/>
                  <w:vMerge w:val="continue"/>
                  <w:vAlign w:val="center"/>
                </w:tcPr>
                <w:p w14:paraId="1586E202">
                  <w:pPr>
                    <w:jc w:val="center"/>
                    <w:rPr>
                      <w:snapToGrid w:val="0"/>
                      <w:color w:val="auto"/>
                      <w:sz w:val="18"/>
                      <w:szCs w:val="18"/>
                    </w:rPr>
                  </w:pPr>
                </w:p>
              </w:tc>
              <w:tc>
                <w:tcPr>
                  <w:tcW w:w="1506" w:type="dxa"/>
                  <w:vAlign w:val="center"/>
                </w:tcPr>
                <w:p w14:paraId="7299230B">
                  <w:pPr>
                    <w:jc w:val="center"/>
                    <w:rPr>
                      <w:color w:val="auto"/>
                      <w:sz w:val="18"/>
                      <w:szCs w:val="18"/>
                    </w:rPr>
                  </w:pPr>
                  <w:r>
                    <w:rPr>
                      <w:rFonts w:hint="eastAsia"/>
                      <w:color w:val="auto"/>
                      <w:sz w:val="18"/>
                      <w:szCs w:val="18"/>
                    </w:rPr>
                    <w:t>碳酸钠</w:t>
                  </w:r>
                </w:p>
              </w:tc>
              <w:tc>
                <w:tcPr>
                  <w:tcW w:w="2052" w:type="dxa"/>
                  <w:vAlign w:val="center"/>
                </w:tcPr>
                <w:p w14:paraId="77E23F4D">
                  <w:pPr>
                    <w:jc w:val="center"/>
                    <w:rPr>
                      <w:color w:val="auto"/>
                      <w:sz w:val="18"/>
                      <w:szCs w:val="18"/>
                    </w:rPr>
                  </w:pPr>
                  <w:r>
                    <w:rPr>
                      <w:rFonts w:hint="eastAsia"/>
                      <w:color w:val="auto"/>
                      <w:sz w:val="18"/>
                      <w:szCs w:val="18"/>
                    </w:rPr>
                    <w:t>99.97%，PT</w:t>
                  </w:r>
                  <w:r>
                    <w:rPr>
                      <w:color w:val="auto"/>
                      <w:sz w:val="18"/>
                      <w:szCs w:val="18"/>
                    </w:rPr>
                    <w:t>，</w:t>
                  </w:r>
                  <w:r>
                    <w:rPr>
                      <w:rFonts w:eastAsia="Helvetica"/>
                      <w:color w:val="auto"/>
                      <w:sz w:val="18"/>
                      <w:szCs w:val="18"/>
                      <w:shd w:val="clear" w:color="auto" w:fill="FFFFFF"/>
                    </w:rPr>
                    <w:t>CaCO₃</w:t>
                  </w:r>
                </w:p>
              </w:tc>
              <w:tc>
                <w:tcPr>
                  <w:tcW w:w="762" w:type="dxa"/>
                  <w:vAlign w:val="center"/>
                </w:tcPr>
                <w:p w14:paraId="3DA352CD">
                  <w:pPr>
                    <w:jc w:val="center"/>
                    <w:rPr>
                      <w:color w:val="auto"/>
                      <w:sz w:val="18"/>
                      <w:szCs w:val="18"/>
                    </w:rPr>
                  </w:pPr>
                  <w:r>
                    <w:rPr>
                      <w:rFonts w:hint="eastAsia"/>
                      <w:color w:val="auto"/>
                      <w:sz w:val="18"/>
                      <w:szCs w:val="18"/>
                    </w:rPr>
                    <w:t>2</w:t>
                  </w:r>
                </w:p>
              </w:tc>
              <w:tc>
                <w:tcPr>
                  <w:tcW w:w="817" w:type="dxa"/>
                  <w:vAlign w:val="center"/>
                </w:tcPr>
                <w:p w14:paraId="3DAC569E">
                  <w:pPr>
                    <w:jc w:val="center"/>
                    <w:rPr>
                      <w:color w:val="auto"/>
                      <w:sz w:val="18"/>
                      <w:szCs w:val="18"/>
                    </w:rPr>
                  </w:pPr>
                  <w:r>
                    <w:rPr>
                      <w:rFonts w:hint="eastAsia"/>
                      <w:color w:val="auto"/>
                      <w:sz w:val="18"/>
                      <w:szCs w:val="18"/>
                    </w:rPr>
                    <w:t>1</w:t>
                  </w:r>
                </w:p>
              </w:tc>
              <w:tc>
                <w:tcPr>
                  <w:tcW w:w="1387" w:type="dxa"/>
                  <w:vAlign w:val="center"/>
                </w:tcPr>
                <w:p w14:paraId="1783C491">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3518A7FF">
                  <w:pPr>
                    <w:pStyle w:val="4"/>
                    <w:spacing w:before="0" w:after="0" w:line="240" w:lineRule="auto"/>
                    <w:jc w:val="center"/>
                    <w:rPr>
                      <w:b w:val="0"/>
                      <w:bCs w:val="0"/>
                      <w:color w:val="auto"/>
                      <w:sz w:val="18"/>
                      <w:szCs w:val="18"/>
                    </w:rPr>
                  </w:pPr>
                </w:p>
              </w:tc>
            </w:tr>
            <w:tr w14:paraId="1F75FE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0D6FEBF8">
                  <w:pPr>
                    <w:jc w:val="center"/>
                    <w:rPr>
                      <w:color w:val="auto"/>
                      <w:sz w:val="18"/>
                      <w:szCs w:val="18"/>
                    </w:rPr>
                  </w:pPr>
                </w:p>
              </w:tc>
              <w:tc>
                <w:tcPr>
                  <w:tcW w:w="809" w:type="dxa"/>
                  <w:vMerge w:val="continue"/>
                  <w:vAlign w:val="center"/>
                </w:tcPr>
                <w:p w14:paraId="19BC4E2E">
                  <w:pPr>
                    <w:jc w:val="center"/>
                    <w:rPr>
                      <w:snapToGrid w:val="0"/>
                      <w:color w:val="auto"/>
                      <w:sz w:val="18"/>
                      <w:szCs w:val="18"/>
                    </w:rPr>
                  </w:pPr>
                </w:p>
              </w:tc>
              <w:tc>
                <w:tcPr>
                  <w:tcW w:w="1506" w:type="dxa"/>
                  <w:vAlign w:val="center"/>
                </w:tcPr>
                <w:p w14:paraId="68100051">
                  <w:pPr>
                    <w:jc w:val="center"/>
                    <w:rPr>
                      <w:color w:val="auto"/>
                      <w:sz w:val="18"/>
                      <w:szCs w:val="18"/>
                    </w:rPr>
                  </w:pPr>
                  <w:r>
                    <w:rPr>
                      <w:rFonts w:hint="eastAsia"/>
                      <w:color w:val="auto"/>
                      <w:sz w:val="18"/>
                      <w:szCs w:val="18"/>
                    </w:rPr>
                    <w:t>氯化钠</w:t>
                  </w:r>
                </w:p>
              </w:tc>
              <w:tc>
                <w:tcPr>
                  <w:tcW w:w="2052" w:type="dxa"/>
                  <w:vAlign w:val="center"/>
                </w:tcPr>
                <w:p w14:paraId="48E919D0">
                  <w:pPr>
                    <w:jc w:val="center"/>
                    <w:rPr>
                      <w:color w:val="auto"/>
                      <w:sz w:val="18"/>
                      <w:szCs w:val="18"/>
                    </w:rPr>
                  </w:pPr>
                  <w:r>
                    <w:rPr>
                      <w:rFonts w:hint="eastAsia"/>
                      <w:color w:val="auto"/>
                      <w:sz w:val="18"/>
                      <w:szCs w:val="18"/>
                    </w:rPr>
                    <w:t>99.98%，PT</w:t>
                  </w:r>
                  <w:r>
                    <w:rPr>
                      <w:color w:val="auto"/>
                      <w:sz w:val="18"/>
                      <w:szCs w:val="18"/>
                    </w:rPr>
                    <w:t>，</w:t>
                  </w:r>
                  <w:r>
                    <w:rPr>
                      <w:rFonts w:eastAsia="Helvetica"/>
                      <w:color w:val="auto"/>
                      <w:sz w:val="18"/>
                      <w:szCs w:val="18"/>
                      <w:shd w:val="clear" w:color="auto" w:fill="FFFFFF"/>
                    </w:rPr>
                    <w:t>NaCl</w:t>
                  </w:r>
                </w:p>
              </w:tc>
              <w:tc>
                <w:tcPr>
                  <w:tcW w:w="762" w:type="dxa"/>
                  <w:vAlign w:val="center"/>
                </w:tcPr>
                <w:p w14:paraId="31901A1A">
                  <w:pPr>
                    <w:jc w:val="center"/>
                    <w:rPr>
                      <w:color w:val="auto"/>
                      <w:sz w:val="18"/>
                      <w:szCs w:val="18"/>
                    </w:rPr>
                  </w:pPr>
                  <w:r>
                    <w:rPr>
                      <w:rFonts w:hint="eastAsia"/>
                      <w:color w:val="auto"/>
                      <w:sz w:val="18"/>
                      <w:szCs w:val="18"/>
                    </w:rPr>
                    <w:t>1</w:t>
                  </w:r>
                </w:p>
              </w:tc>
              <w:tc>
                <w:tcPr>
                  <w:tcW w:w="817" w:type="dxa"/>
                  <w:vAlign w:val="center"/>
                </w:tcPr>
                <w:p w14:paraId="0046339C">
                  <w:pPr>
                    <w:jc w:val="center"/>
                    <w:rPr>
                      <w:color w:val="auto"/>
                      <w:sz w:val="18"/>
                      <w:szCs w:val="18"/>
                    </w:rPr>
                  </w:pPr>
                  <w:r>
                    <w:rPr>
                      <w:rFonts w:hint="eastAsia"/>
                      <w:color w:val="auto"/>
                      <w:sz w:val="18"/>
                      <w:szCs w:val="18"/>
                    </w:rPr>
                    <w:t>1</w:t>
                  </w:r>
                </w:p>
              </w:tc>
              <w:tc>
                <w:tcPr>
                  <w:tcW w:w="1387" w:type="dxa"/>
                  <w:vAlign w:val="center"/>
                </w:tcPr>
                <w:p w14:paraId="2036AB2F">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6C51F6CD">
                  <w:pPr>
                    <w:pStyle w:val="4"/>
                    <w:spacing w:before="0" w:after="0" w:line="240" w:lineRule="auto"/>
                    <w:jc w:val="center"/>
                    <w:rPr>
                      <w:b w:val="0"/>
                      <w:bCs w:val="0"/>
                      <w:color w:val="auto"/>
                      <w:sz w:val="18"/>
                      <w:szCs w:val="18"/>
                    </w:rPr>
                  </w:pPr>
                </w:p>
              </w:tc>
            </w:tr>
            <w:tr w14:paraId="7156BD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0CB8E5FB">
                  <w:pPr>
                    <w:jc w:val="center"/>
                    <w:rPr>
                      <w:color w:val="auto"/>
                      <w:sz w:val="18"/>
                      <w:szCs w:val="18"/>
                    </w:rPr>
                  </w:pPr>
                </w:p>
              </w:tc>
              <w:tc>
                <w:tcPr>
                  <w:tcW w:w="809" w:type="dxa"/>
                  <w:vMerge w:val="continue"/>
                  <w:vAlign w:val="center"/>
                </w:tcPr>
                <w:p w14:paraId="2C5B9691">
                  <w:pPr>
                    <w:jc w:val="center"/>
                    <w:rPr>
                      <w:snapToGrid w:val="0"/>
                      <w:color w:val="auto"/>
                      <w:sz w:val="18"/>
                      <w:szCs w:val="18"/>
                    </w:rPr>
                  </w:pPr>
                </w:p>
              </w:tc>
              <w:tc>
                <w:tcPr>
                  <w:tcW w:w="1506" w:type="dxa"/>
                  <w:vAlign w:val="center"/>
                </w:tcPr>
                <w:p w14:paraId="50ABFDFC">
                  <w:pPr>
                    <w:jc w:val="center"/>
                    <w:rPr>
                      <w:color w:val="auto"/>
                      <w:sz w:val="18"/>
                      <w:szCs w:val="18"/>
                    </w:rPr>
                  </w:pPr>
                  <w:r>
                    <w:rPr>
                      <w:rFonts w:hint="eastAsia"/>
                      <w:color w:val="auto"/>
                      <w:sz w:val="18"/>
                      <w:szCs w:val="18"/>
                    </w:rPr>
                    <w:t>硝酸银</w:t>
                  </w:r>
                </w:p>
              </w:tc>
              <w:tc>
                <w:tcPr>
                  <w:tcW w:w="2052" w:type="dxa"/>
                  <w:vAlign w:val="center"/>
                </w:tcPr>
                <w:p w14:paraId="713B870F">
                  <w:pPr>
                    <w:jc w:val="center"/>
                    <w:rPr>
                      <w:color w:val="auto"/>
                      <w:sz w:val="18"/>
                      <w:szCs w:val="18"/>
                    </w:rPr>
                  </w:pPr>
                  <w:r>
                    <w:rPr>
                      <w:rFonts w:hint="eastAsia"/>
                      <w:color w:val="auto"/>
                      <w:sz w:val="18"/>
                      <w:szCs w:val="18"/>
                    </w:rPr>
                    <w:t>99.96%，PT</w:t>
                  </w:r>
                  <w:r>
                    <w:rPr>
                      <w:color w:val="auto"/>
                      <w:sz w:val="18"/>
                      <w:szCs w:val="18"/>
                    </w:rPr>
                    <w:t>，</w:t>
                  </w:r>
                  <w:r>
                    <w:rPr>
                      <w:rFonts w:eastAsia="Helvetica"/>
                      <w:color w:val="auto"/>
                      <w:sz w:val="18"/>
                      <w:szCs w:val="18"/>
                      <w:shd w:val="clear" w:color="auto" w:fill="FFFFFF"/>
                    </w:rPr>
                    <w:t>AgNO</w:t>
                  </w:r>
                  <w:r>
                    <w:rPr>
                      <w:rFonts w:eastAsia="Helvetica"/>
                      <w:color w:val="auto"/>
                      <w:sz w:val="18"/>
                      <w:szCs w:val="18"/>
                      <w:shd w:val="clear" w:color="auto" w:fill="FFFFFF"/>
                      <w:vertAlign w:val="subscript"/>
                    </w:rPr>
                    <w:t>3</w:t>
                  </w:r>
                </w:p>
              </w:tc>
              <w:tc>
                <w:tcPr>
                  <w:tcW w:w="762" w:type="dxa"/>
                  <w:vAlign w:val="center"/>
                </w:tcPr>
                <w:p w14:paraId="13B9347A">
                  <w:pPr>
                    <w:jc w:val="center"/>
                    <w:rPr>
                      <w:color w:val="auto"/>
                      <w:sz w:val="18"/>
                      <w:szCs w:val="18"/>
                    </w:rPr>
                  </w:pPr>
                  <w:r>
                    <w:rPr>
                      <w:rFonts w:hint="eastAsia"/>
                      <w:color w:val="auto"/>
                      <w:sz w:val="18"/>
                      <w:szCs w:val="18"/>
                    </w:rPr>
                    <w:t>0.2</w:t>
                  </w:r>
                </w:p>
              </w:tc>
              <w:tc>
                <w:tcPr>
                  <w:tcW w:w="817" w:type="dxa"/>
                  <w:vAlign w:val="center"/>
                </w:tcPr>
                <w:p w14:paraId="431EE0B2">
                  <w:pPr>
                    <w:jc w:val="center"/>
                    <w:rPr>
                      <w:color w:val="auto"/>
                      <w:sz w:val="18"/>
                      <w:szCs w:val="18"/>
                    </w:rPr>
                  </w:pPr>
                  <w:r>
                    <w:rPr>
                      <w:rFonts w:hint="eastAsia"/>
                      <w:color w:val="auto"/>
                      <w:sz w:val="18"/>
                      <w:szCs w:val="18"/>
                    </w:rPr>
                    <w:t>0.1</w:t>
                  </w:r>
                </w:p>
              </w:tc>
              <w:tc>
                <w:tcPr>
                  <w:tcW w:w="1387" w:type="dxa"/>
                  <w:vAlign w:val="center"/>
                </w:tcPr>
                <w:p w14:paraId="129EE53B">
                  <w:pPr>
                    <w:adjustRightInd w:val="0"/>
                    <w:snapToGrid w:val="0"/>
                    <w:jc w:val="center"/>
                    <w:rPr>
                      <w:color w:val="auto"/>
                      <w:sz w:val="18"/>
                      <w:szCs w:val="18"/>
                    </w:rPr>
                  </w:pPr>
                  <w:r>
                    <w:rPr>
                      <w:rFonts w:hint="eastAsia"/>
                      <w:color w:val="auto"/>
                      <w:sz w:val="18"/>
                      <w:szCs w:val="18"/>
                    </w:rPr>
                    <w:t>1</w:t>
                  </w:r>
                  <w:r>
                    <w:rPr>
                      <w:color w:val="auto"/>
                      <w:sz w:val="18"/>
                      <w:szCs w:val="18"/>
                    </w:rPr>
                    <w:t>00g/瓶，</w:t>
                  </w:r>
                  <w:r>
                    <w:rPr>
                      <w:rFonts w:hint="eastAsia"/>
                      <w:color w:val="auto"/>
                      <w:sz w:val="18"/>
                      <w:szCs w:val="18"/>
                    </w:rPr>
                    <w:t>瓶装</w:t>
                  </w:r>
                </w:p>
              </w:tc>
              <w:tc>
                <w:tcPr>
                  <w:tcW w:w="465" w:type="dxa"/>
                  <w:vMerge w:val="continue"/>
                  <w:vAlign w:val="center"/>
                </w:tcPr>
                <w:p w14:paraId="74CCD6BB">
                  <w:pPr>
                    <w:pStyle w:val="4"/>
                    <w:spacing w:before="0" w:after="0" w:line="240" w:lineRule="auto"/>
                    <w:jc w:val="center"/>
                    <w:rPr>
                      <w:b w:val="0"/>
                      <w:bCs w:val="0"/>
                      <w:color w:val="auto"/>
                      <w:sz w:val="18"/>
                      <w:szCs w:val="18"/>
                    </w:rPr>
                  </w:pPr>
                </w:p>
              </w:tc>
            </w:tr>
            <w:tr w14:paraId="69FD33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279E30AD">
                  <w:pPr>
                    <w:jc w:val="center"/>
                    <w:rPr>
                      <w:color w:val="auto"/>
                      <w:sz w:val="18"/>
                      <w:szCs w:val="18"/>
                    </w:rPr>
                  </w:pPr>
                </w:p>
              </w:tc>
              <w:tc>
                <w:tcPr>
                  <w:tcW w:w="809" w:type="dxa"/>
                  <w:vMerge w:val="continue"/>
                  <w:vAlign w:val="center"/>
                </w:tcPr>
                <w:p w14:paraId="7ABE17D0">
                  <w:pPr>
                    <w:jc w:val="center"/>
                    <w:rPr>
                      <w:snapToGrid w:val="0"/>
                      <w:color w:val="auto"/>
                      <w:sz w:val="18"/>
                      <w:szCs w:val="18"/>
                    </w:rPr>
                  </w:pPr>
                </w:p>
              </w:tc>
              <w:tc>
                <w:tcPr>
                  <w:tcW w:w="1506" w:type="dxa"/>
                  <w:vAlign w:val="center"/>
                </w:tcPr>
                <w:p w14:paraId="69A484E4">
                  <w:pPr>
                    <w:jc w:val="center"/>
                    <w:rPr>
                      <w:color w:val="auto"/>
                      <w:sz w:val="18"/>
                      <w:szCs w:val="18"/>
                    </w:rPr>
                  </w:pPr>
                  <w:r>
                    <w:rPr>
                      <w:rFonts w:hint="eastAsia"/>
                      <w:color w:val="auto"/>
                      <w:sz w:val="18"/>
                      <w:szCs w:val="18"/>
                    </w:rPr>
                    <w:t>高锰酸钾</w:t>
                  </w:r>
                </w:p>
              </w:tc>
              <w:tc>
                <w:tcPr>
                  <w:tcW w:w="2052" w:type="dxa"/>
                  <w:vAlign w:val="center"/>
                </w:tcPr>
                <w:p w14:paraId="678B0242">
                  <w:pPr>
                    <w:jc w:val="center"/>
                    <w:rPr>
                      <w:color w:val="auto"/>
                      <w:sz w:val="18"/>
                      <w:szCs w:val="18"/>
                    </w:rPr>
                  </w:pPr>
                  <w:r>
                    <w:rPr>
                      <w:rFonts w:hint="eastAsia"/>
                      <w:color w:val="auto"/>
                      <w:sz w:val="18"/>
                      <w:szCs w:val="18"/>
                    </w:rPr>
                    <w:t>99.3%，AR</w:t>
                  </w:r>
                  <w:r>
                    <w:rPr>
                      <w:color w:val="auto"/>
                      <w:sz w:val="18"/>
                      <w:szCs w:val="18"/>
                    </w:rPr>
                    <w:t>，</w:t>
                  </w:r>
                  <w:r>
                    <w:rPr>
                      <w:rFonts w:eastAsia="Helvetica"/>
                      <w:color w:val="auto"/>
                      <w:sz w:val="18"/>
                      <w:szCs w:val="18"/>
                      <w:shd w:val="clear" w:color="auto" w:fill="FFFFFF"/>
                    </w:rPr>
                    <w:t>KMnO</w:t>
                  </w:r>
                  <w:r>
                    <w:rPr>
                      <w:rFonts w:eastAsia="Helvetica"/>
                      <w:color w:val="auto"/>
                      <w:sz w:val="18"/>
                      <w:szCs w:val="18"/>
                      <w:shd w:val="clear" w:color="auto" w:fill="FFFFFF"/>
                      <w:vertAlign w:val="subscript"/>
                    </w:rPr>
                    <w:t>4</w:t>
                  </w:r>
                </w:p>
              </w:tc>
              <w:tc>
                <w:tcPr>
                  <w:tcW w:w="762" w:type="dxa"/>
                  <w:vAlign w:val="center"/>
                </w:tcPr>
                <w:p w14:paraId="5AE2793D">
                  <w:pPr>
                    <w:jc w:val="center"/>
                    <w:rPr>
                      <w:color w:val="auto"/>
                      <w:sz w:val="18"/>
                      <w:szCs w:val="18"/>
                    </w:rPr>
                  </w:pPr>
                  <w:r>
                    <w:rPr>
                      <w:rFonts w:hint="eastAsia"/>
                      <w:color w:val="auto"/>
                      <w:sz w:val="18"/>
                      <w:szCs w:val="18"/>
                    </w:rPr>
                    <w:t>2</w:t>
                  </w:r>
                </w:p>
              </w:tc>
              <w:tc>
                <w:tcPr>
                  <w:tcW w:w="817" w:type="dxa"/>
                  <w:vAlign w:val="center"/>
                </w:tcPr>
                <w:p w14:paraId="3D51FC24">
                  <w:pPr>
                    <w:jc w:val="center"/>
                    <w:rPr>
                      <w:color w:val="auto"/>
                      <w:sz w:val="18"/>
                      <w:szCs w:val="18"/>
                    </w:rPr>
                  </w:pPr>
                  <w:r>
                    <w:rPr>
                      <w:rFonts w:hint="eastAsia"/>
                      <w:color w:val="auto"/>
                      <w:sz w:val="18"/>
                      <w:szCs w:val="18"/>
                    </w:rPr>
                    <w:t>1</w:t>
                  </w:r>
                </w:p>
              </w:tc>
              <w:tc>
                <w:tcPr>
                  <w:tcW w:w="1387" w:type="dxa"/>
                  <w:vAlign w:val="center"/>
                </w:tcPr>
                <w:p w14:paraId="0D42C8E6">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5621CE89">
                  <w:pPr>
                    <w:pStyle w:val="4"/>
                    <w:spacing w:before="0" w:after="0" w:line="240" w:lineRule="auto"/>
                    <w:jc w:val="center"/>
                    <w:rPr>
                      <w:b w:val="0"/>
                      <w:bCs w:val="0"/>
                      <w:color w:val="auto"/>
                      <w:sz w:val="18"/>
                      <w:szCs w:val="18"/>
                    </w:rPr>
                  </w:pPr>
                </w:p>
              </w:tc>
            </w:tr>
            <w:tr w14:paraId="6F8F37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31A754B7">
                  <w:pPr>
                    <w:jc w:val="center"/>
                    <w:rPr>
                      <w:color w:val="auto"/>
                      <w:sz w:val="18"/>
                      <w:szCs w:val="18"/>
                    </w:rPr>
                  </w:pPr>
                </w:p>
              </w:tc>
              <w:tc>
                <w:tcPr>
                  <w:tcW w:w="809" w:type="dxa"/>
                  <w:vMerge w:val="continue"/>
                  <w:vAlign w:val="center"/>
                </w:tcPr>
                <w:p w14:paraId="7B69CE96">
                  <w:pPr>
                    <w:jc w:val="center"/>
                    <w:rPr>
                      <w:snapToGrid w:val="0"/>
                      <w:color w:val="auto"/>
                      <w:sz w:val="18"/>
                      <w:szCs w:val="18"/>
                    </w:rPr>
                  </w:pPr>
                </w:p>
              </w:tc>
              <w:tc>
                <w:tcPr>
                  <w:tcW w:w="1506" w:type="dxa"/>
                  <w:vAlign w:val="center"/>
                </w:tcPr>
                <w:p w14:paraId="25275617">
                  <w:pPr>
                    <w:jc w:val="center"/>
                    <w:rPr>
                      <w:color w:val="auto"/>
                      <w:sz w:val="18"/>
                      <w:szCs w:val="18"/>
                    </w:rPr>
                  </w:pPr>
                  <w:r>
                    <w:rPr>
                      <w:rFonts w:hint="eastAsia"/>
                      <w:color w:val="auto"/>
                      <w:sz w:val="18"/>
                      <w:szCs w:val="18"/>
                    </w:rPr>
                    <w:t>硫代硫酸钠</w:t>
                  </w:r>
                </w:p>
              </w:tc>
              <w:tc>
                <w:tcPr>
                  <w:tcW w:w="2052" w:type="dxa"/>
                  <w:vAlign w:val="center"/>
                </w:tcPr>
                <w:p w14:paraId="711E8519">
                  <w:pPr>
                    <w:jc w:val="center"/>
                    <w:rPr>
                      <w:color w:val="auto"/>
                      <w:sz w:val="18"/>
                      <w:szCs w:val="18"/>
                    </w:rPr>
                  </w:pPr>
                  <w:r>
                    <w:rPr>
                      <w:rFonts w:hint="eastAsia"/>
                      <w:color w:val="auto"/>
                      <w:sz w:val="18"/>
                      <w:szCs w:val="18"/>
                    </w:rPr>
                    <w:t>99.0%，AR</w:t>
                  </w:r>
                  <w:r>
                    <w:rPr>
                      <w:color w:val="auto"/>
                      <w:sz w:val="18"/>
                      <w:szCs w:val="18"/>
                    </w:rPr>
                    <w:t>，</w:t>
                  </w:r>
                  <w:r>
                    <w:rPr>
                      <w:rFonts w:eastAsia="Helvetica"/>
                      <w:color w:val="auto"/>
                      <w:sz w:val="18"/>
                      <w:szCs w:val="18"/>
                      <w:shd w:val="clear" w:color="auto" w:fill="FFFFFF"/>
                    </w:rPr>
                    <w:t>Na</w:t>
                  </w:r>
                  <w:r>
                    <w:rPr>
                      <w:rFonts w:eastAsia="Helvetica"/>
                      <w:color w:val="auto"/>
                      <w:sz w:val="18"/>
                      <w:szCs w:val="18"/>
                      <w:shd w:val="clear" w:color="auto" w:fill="FFFFFF"/>
                      <w:vertAlign w:val="subscript"/>
                    </w:rPr>
                    <w:t>2</w:t>
                  </w:r>
                  <w:r>
                    <w:rPr>
                      <w:rFonts w:eastAsia="Helvetica"/>
                      <w:color w:val="auto"/>
                      <w:sz w:val="18"/>
                      <w:szCs w:val="18"/>
                      <w:shd w:val="clear" w:color="auto" w:fill="FFFFFF"/>
                    </w:rPr>
                    <w:t>S</w:t>
                  </w:r>
                  <w:r>
                    <w:rPr>
                      <w:rFonts w:eastAsia="Helvetica"/>
                      <w:color w:val="auto"/>
                      <w:sz w:val="18"/>
                      <w:szCs w:val="18"/>
                      <w:shd w:val="clear" w:color="auto" w:fill="FFFFFF"/>
                      <w:vertAlign w:val="subscript"/>
                    </w:rPr>
                    <w:t>2</w:t>
                  </w:r>
                  <w:r>
                    <w:rPr>
                      <w:rFonts w:eastAsia="Helvetica"/>
                      <w:color w:val="auto"/>
                      <w:sz w:val="18"/>
                      <w:szCs w:val="18"/>
                      <w:shd w:val="clear" w:color="auto" w:fill="FFFFFF"/>
                    </w:rPr>
                    <w:t>O</w:t>
                  </w:r>
                  <w:r>
                    <w:rPr>
                      <w:rFonts w:eastAsia="Helvetica"/>
                      <w:color w:val="auto"/>
                      <w:sz w:val="18"/>
                      <w:szCs w:val="18"/>
                      <w:shd w:val="clear" w:color="auto" w:fill="FFFFFF"/>
                      <w:vertAlign w:val="subscript"/>
                    </w:rPr>
                    <w:t>3</w:t>
                  </w:r>
                </w:p>
              </w:tc>
              <w:tc>
                <w:tcPr>
                  <w:tcW w:w="762" w:type="dxa"/>
                  <w:vAlign w:val="center"/>
                </w:tcPr>
                <w:p w14:paraId="3AE4FAA1">
                  <w:pPr>
                    <w:jc w:val="center"/>
                    <w:rPr>
                      <w:color w:val="auto"/>
                      <w:sz w:val="18"/>
                      <w:szCs w:val="18"/>
                    </w:rPr>
                  </w:pPr>
                  <w:r>
                    <w:rPr>
                      <w:rFonts w:hint="eastAsia"/>
                      <w:color w:val="auto"/>
                      <w:sz w:val="18"/>
                      <w:szCs w:val="18"/>
                    </w:rPr>
                    <w:t>3</w:t>
                  </w:r>
                </w:p>
              </w:tc>
              <w:tc>
                <w:tcPr>
                  <w:tcW w:w="817" w:type="dxa"/>
                  <w:vAlign w:val="center"/>
                </w:tcPr>
                <w:p w14:paraId="7D6FD7B7">
                  <w:pPr>
                    <w:jc w:val="center"/>
                    <w:rPr>
                      <w:color w:val="auto"/>
                      <w:sz w:val="18"/>
                      <w:szCs w:val="18"/>
                    </w:rPr>
                  </w:pPr>
                  <w:r>
                    <w:rPr>
                      <w:rFonts w:hint="eastAsia"/>
                      <w:color w:val="auto"/>
                      <w:sz w:val="18"/>
                      <w:szCs w:val="18"/>
                    </w:rPr>
                    <w:t>1</w:t>
                  </w:r>
                </w:p>
              </w:tc>
              <w:tc>
                <w:tcPr>
                  <w:tcW w:w="1387" w:type="dxa"/>
                  <w:vAlign w:val="center"/>
                </w:tcPr>
                <w:p w14:paraId="46B37088">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6CF0DE5B">
                  <w:pPr>
                    <w:pStyle w:val="4"/>
                    <w:spacing w:before="0" w:after="0" w:line="240" w:lineRule="auto"/>
                    <w:jc w:val="center"/>
                    <w:rPr>
                      <w:b w:val="0"/>
                      <w:bCs w:val="0"/>
                      <w:color w:val="auto"/>
                      <w:sz w:val="18"/>
                      <w:szCs w:val="18"/>
                    </w:rPr>
                  </w:pPr>
                </w:p>
              </w:tc>
            </w:tr>
            <w:tr w14:paraId="167257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645C9F4B">
                  <w:pPr>
                    <w:jc w:val="center"/>
                    <w:rPr>
                      <w:color w:val="auto"/>
                      <w:sz w:val="18"/>
                      <w:szCs w:val="18"/>
                    </w:rPr>
                  </w:pPr>
                </w:p>
              </w:tc>
              <w:tc>
                <w:tcPr>
                  <w:tcW w:w="809" w:type="dxa"/>
                  <w:vMerge w:val="continue"/>
                  <w:vAlign w:val="center"/>
                </w:tcPr>
                <w:p w14:paraId="5057E8C5">
                  <w:pPr>
                    <w:jc w:val="center"/>
                    <w:rPr>
                      <w:snapToGrid w:val="0"/>
                      <w:color w:val="auto"/>
                      <w:sz w:val="18"/>
                      <w:szCs w:val="18"/>
                    </w:rPr>
                  </w:pPr>
                </w:p>
              </w:tc>
              <w:tc>
                <w:tcPr>
                  <w:tcW w:w="1506" w:type="dxa"/>
                  <w:vAlign w:val="center"/>
                </w:tcPr>
                <w:p w14:paraId="5789B651">
                  <w:pPr>
                    <w:jc w:val="center"/>
                    <w:rPr>
                      <w:color w:val="auto"/>
                      <w:sz w:val="18"/>
                      <w:szCs w:val="18"/>
                    </w:rPr>
                  </w:pPr>
                  <w:r>
                    <w:rPr>
                      <w:rFonts w:hint="eastAsia"/>
                      <w:color w:val="auto"/>
                      <w:sz w:val="18"/>
                      <w:szCs w:val="18"/>
                    </w:rPr>
                    <w:t>过硫酸铵</w:t>
                  </w:r>
                </w:p>
              </w:tc>
              <w:tc>
                <w:tcPr>
                  <w:tcW w:w="2052" w:type="dxa"/>
                  <w:vAlign w:val="center"/>
                </w:tcPr>
                <w:p w14:paraId="592418B7">
                  <w:pPr>
                    <w:jc w:val="center"/>
                    <w:rPr>
                      <w:color w:val="auto"/>
                      <w:sz w:val="18"/>
                      <w:szCs w:val="18"/>
                    </w:rPr>
                  </w:pPr>
                  <w:r>
                    <w:rPr>
                      <w:rFonts w:hint="eastAsia"/>
                      <w:color w:val="auto"/>
                      <w:sz w:val="18"/>
                      <w:szCs w:val="18"/>
                    </w:rPr>
                    <w:t>98.0%，AR</w:t>
                  </w:r>
                  <w:r>
                    <w:rPr>
                      <w:color w:val="auto"/>
                      <w:sz w:val="18"/>
                      <w:szCs w:val="18"/>
                    </w:rPr>
                    <w:t>，</w:t>
                  </w:r>
                  <w:r>
                    <w:rPr>
                      <w:rFonts w:eastAsia="Helvetica"/>
                      <w:color w:val="auto"/>
                      <w:sz w:val="18"/>
                      <w:szCs w:val="18"/>
                      <w:shd w:val="clear" w:color="auto" w:fill="FFFFFF"/>
                    </w:rPr>
                    <w:t>(NH</w:t>
                  </w:r>
                  <w:r>
                    <w:rPr>
                      <w:rFonts w:eastAsia="Helvetica"/>
                      <w:color w:val="auto"/>
                      <w:sz w:val="18"/>
                      <w:szCs w:val="18"/>
                      <w:shd w:val="clear" w:color="auto" w:fill="FFFFFF"/>
                      <w:vertAlign w:val="subscript"/>
                    </w:rPr>
                    <w:t>4</w:t>
                  </w:r>
                  <w:r>
                    <w:rPr>
                      <w:rFonts w:eastAsia="Helvetica"/>
                      <w:color w:val="auto"/>
                      <w:sz w:val="18"/>
                      <w:szCs w:val="18"/>
                      <w:shd w:val="clear" w:color="auto" w:fill="FFFFFF"/>
                    </w:rPr>
                    <w:t>)</w:t>
                  </w:r>
                  <w:r>
                    <w:rPr>
                      <w:rFonts w:eastAsia="Helvetica"/>
                      <w:color w:val="auto"/>
                      <w:sz w:val="18"/>
                      <w:szCs w:val="18"/>
                      <w:shd w:val="clear" w:color="auto" w:fill="FFFFFF"/>
                      <w:vertAlign w:val="subscript"/>
                    </w:rPr>
                    <w:t>2</w:t>
                  </w:r>
                  <w:r>
                    <w:rPr>
                      <w:rFonts w:eastAsia="Helvetica"/>
                      <w:color w:val="auto"/>
                      <w:sz w:val="18"/>
                      <w:szCs w:val="18"/>
                      <w:shd w:val="clear" w:color="auto" w:fill="FFFFFF"/>
                    </w:rPr>
                    <w:t>S</w:t>
                  </w:r>
                  <w:r>
                    <w:rPr>
                      <w:rFonts w:eastAsia="Helvetica"/>
                      <w:color w:val="auto"/>
                      <w:sz w:val="18"/>
                      <w:szCs w:val="18"/>
                      <w:shd w:val="clear" w:color="auto" w:fill="FFFFFF"/>
                      <w:vertAlign w:val="subscript"/>
                    </w:rPr>
                    <w:t>2</w:t>
                  </w:r>
                  <w:r>
                    <w:rPr>
                      <w:rFonts w:eastAsia="Helvetica"/>
                      <w:color w:val="auto"/>
                      <w:sz w:val="18"/>
                      <w:szCs w:val="18"/>
                      <w:shd w:val="clear" w:color="auto" w:fill="FFFFFF"/>
                    </w:rPr>
                    <w:t>O</w:t>
                  </w:r>
                  <w:r>
                    <w:rPr>
                      <w:rFonts w:eastAsia="Helvetica"/>
                      <w:color w:val="auto"/>
                      <w:sz w:val="18"/>
                      <w:szCs w:val="18"/>
                      <w:shd w:val="clear" w:color="auto" w:fill="FFFFFF"/>
                      <w:vertAlign w:val="subscript"/>
                    </w:rPr>
                    <w:t>8</w:t>
                  </w:r>
                </w:p>
              </w:tc>
              <w:tc>
                <w:tcPr>
                  <w:tcW w:w="762" w:type="dxa"/>
                  <w:vAlign w:val="center"/>
                </w:tcPr>
                <w:p w14:paraId="58D515C5">
                  <w:pPr>
                    <w:jc w:val="center"/>
                    <w:rPr>
                      <w:color w:val="auto"/>
                      <w:sz w:val="18"/>
                      <w:szCs w:val="18"/>
                    </w:rPr>
                  </w:pPr>
                  <w:r>
                    <w:rPr>
                      <w:rFonts w:hint="eastAsia"/>
                      <w:color w:val="auto"/>
                      <w:sz w:val="18"/>
                      <w:szCs w:val="18"/>
                    </w:rPr>
                    <w:t>0.5</w:t>
                  </w:r>
                </w:p>
              </w:tc>
              <w:tc>
                <w:tcPr>
                  <w:tcW w:w="817" w:type="dxa"/>
                  <w:vAlign w:val="center"/>
                </w:tcPr>
                <w:p w14:paraId="01B118FC">
                  <w:pPr>
                    <w:jc w:val="center"/>
                    <w:rPr>
                      <w:color w:val="auto"/>
                      <w:sz w:val="18"/>
                      <w:szCs w:val="18"/>
                    </w:rPr>
                  </w:pPr>
                  <w:r>
                    <w:rPr>
                      <w:rFonts w:hint="eastAsia"/>
                      <w:color w:val="auto"/>
                      <w:sz w:val="18"/>
                      <w:szCs w:val="18"/>
                    </w:rPr>
                    <w:t>0.5</w:t>
                  </w:r>
                </w:p>
              </w:tc>
              <w:tc>
                <w:tcPr>
                  <w:tcW w:w="1387" w:type="dxa"/>
                  <w:vAlign w:val="center"/>
                </w:tcPr>
                <w:p w14:paraId="02183D0A">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76EA52AB">
                  <w:pPr>
                    <w:pStyle w:val="4"/>
                    <w:spacing w:before="0" w:after="0" w:line="240" w:lineRule="auto"/>
                    <w:jc w:val="center"/>
                    <w:rPr>
                      <w:b w:val="0"/>
                      <w:bCs w:val="0"/>
                      <w:color w:val="auto"/>
                      <w:sz w:val="18"/>
                      <w:szCs w:val="18"/>
                    </w:rPr>
                  </w:pPr>
                </w:p>
              </w:tc>
            </w:tr>
            <w:tr w14:paraId="2BAFCB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3B85B700">
                  <w:pPr>
                    <w:jc w:val="center"/>
                    <w:rPr>
                      <w:color w:val="auto"/>
                      <w:sz w:val="18"/>
                      <w:szCs w:val="18"/>
                    </w:rPr>
                  </w:pPr>
                </w:p>
              </w:tc>
              <w:tc>
                <w:tcPr>
                  <w:tcW w:w="809" w:type="dxa"/>
                  <w:vMerge w:val="continue"/>
                  <w:vAlign w:val="center"/>
                </w:tcPr>
                <w:p w14:paraId="13CA5A50">
                  <w:pPr>
                    <w:jc w:val="center"/>
                    <w:rPr>
                      <w:snapToGrid w:val="0"/>
                      <w:color w:val="auto"/>
                      <w:sz w:val="18"/>
                      <w:szCs w:val="18"/>
                    </w:rPr>
                  </w:pPr>
                </w:p>
              </w:tc>
              <w:tc>
                <w:tcPr>
                  <w:tcW w:w="1506" w:type="dxa"/>
                  <w:vAlign w:val="center"/>
                </w:tcPr>
                <w:p w14:paraId="54F76456">
                  <w:pPr>
                    <w:jc w:val="center"/>
                    <w:rPr>
                      <w:color w:val="auto"/>
                      <w:sz w:val="18"/>
                      <w:szCs w:val="18"/>
                    </w:rPr>
                  </w:pPr>
                  <w:r>
                    <w:rPr>
                      <w:rFonts w:hint="eastAsia"/>
                      <w:color w:val="auto"/>
                      <w:sz w:val="18"/>
                      <w:szCs w:val="18"/>
                    </w:rPr>
                    <w:t>铬酸钾</w:t>
                  </w:r>
                </w:p>
              </w:tc>
              <w:tc>
                <w:tcPr>
                  <w:tcW w:w="2052" w:type="dxa"/>
                  <w:vAlign w:val="center"/>
                </w:tcPr>
                <w:p w14:paraId="31D116B4">
                  <w:pPr>
                    <w:jc w:val="center"/>
                    <w:rPr>
                      <w:color w:val="auto"/>
                      <w:sz w:val="18"/>
                      <w:szCs w:val="18"/>
                    </w:rPr>
                  </w:pPr>
                  <w:r>
                    <w:rPr>
                      <w:rFonts w:hint="eastAsia"/>
                      <w:color w:val="auto"/>
                      <w:sz w:val="18"/>
                      <w:szCs w:val="18"/>
                    </w:rPr>
                    <w:t>99.9%，PT</w:t>
                  </w:r>
                  <w:r>
                    <w:rPr>
                      <w:color w:val="auto"/>
                      <w:sz w:val="18"/>
                      <w:szCs w:val="18"/>
                    </w:rPr>
                    <w:t>，</w:t>
                  </w:r>
                  <w:r>
                    <w:rPr>
                      <w:rFonts w:eastAsia="Helvetica"/>
                      <w:color w:val="auto"/>
                      <w:sz w:val="18"/>
                      <w:szCs w:val="18"/>
                      <w:shd w:val="clear" w:color="auto" w:fill="FFFFFF"/>
                    </w:rPr>
                    <w:t>K</w:t>
                  </w:r>
                  <w:r>
                    <w:rPr>
                      <w:rFonts w:eastAsia="Helvetica"/>
                      <w:color w:val="auto"/>
                      <w:sz w:val="18"/>
                      <w:szCs w:val="18"/>
                      <w:shd w:val="clear" w:color="auto" w:fill="FFFFFF"/>
                      <w:vertAlign w:val="subscript"/>
                    </w:rPr>
                    <w:t>2</w:t>
                  </w:r>
                  <w:r>
                    <w:rPr>
                      <w:rFonts w:eastAsia="Helvetica"/>
                      <w:color w:val="auto"/>
                      <w:sz w:val="18"/>
                      <w:szCs w:val="18"/>
                      <w:shd w:val="clear" w:color="auto" w:fill="FFFFFF"/>
                    </w:rPr>
                    <w:t>CrO</w:t>
                  </w:r>
                  <w:r>
                    <w:rPr>
                      <w:rFonts w:eastAsia="Helvetica"/>
                      <w:color w:val="auto"/>
                      <w:sz w:val="18"/>
                      <w:szCs w:val="18"/>
                      <w:shd w:val="clear" w:color="auto" w:fill="FFFFFF"/>
                      <w:vertAlign w:val="subscript"/>
                    </w:rPr>
                    <w:t>4</w:t>
                  </w:r>
                </w:p>
              </w:tc>
              <w:tc>
                <w:tcPr>
                  <w:tcW w:w="762" w:type="dxa"/>
                  <w:vAlign w:val="center"/>
                </w:tcPr>
                <w:p w14:paraId="3D60BA9A">
                  <w:pPr>
                    <w:jc w:val="center"/>
                    <w:rPr>
                      <w:color w:val="auto"/>
                      <w:sz w:val="18"/>
                      <w:szCs w:val="18"/>
                    </w:rPr>
                  </w:pPr>
                  <w:r>
                    <w:rPr>
                      <w:rFonts w:hint="eastAsia"/>
                      <w:color w:val="auto"/>
                      <w:sz w:val="18"/>
                      <w:szCs w:val="18"/>
                    </w:rPr>
                    <w:t>0.5</w:t>
                  </w:r>
                </w:p>
              </w:tc>
              <w:tc>
                <w:tcPr>
                  <w:tcW w:w="817" w:type="dxa"/>
                  <w:vAlign w:val="center"/>
                </w:tcPr>
                <w:p w14:paraId="42E37D29">
                  <w:pPr>
                    <w:jc w:val="center"/>
                    <w:rPr>
                      <w:color w:val="auto"/>
                      <w:sz w:val="18"/>
                      <w:szCs w:val="18"/>
                    </w:rPr>
                  </w:pPr>
                  <w:r>
                    <w:rPr>
                      <w:rFonts w:hint="eastAsia"/>
                      <w:color w:val="auto"/>
                      <w:sz w:val="18"/>
                      <w:szCs w:val="18"/>
                    </w:rPr>
                    <w:t>0.5</w:t>
                  </w:r>
                </w:p>
              </w:tc>
              <w:tc>
                <w:tcPr>
                  <w:tcW w:w="1387" w:type="dxa"/>
                  <w:vAlign w:val="center"/>
                </w:tcPr>
                <w:p w14:paraId="2C457838">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0021CC85">
                  <w:pPr>
                    <w:pStyle w:val="4"/>
                    <w:spacing w:before="0" w:after="0" w:line="240" w:lineRule="auto"/>
                    <w:jc w:val="center"/>
                    <w:rPr>
                      <w:b w:val="0"/>
                      <w:bCs w:val="0"/>
                      <w:color w:val="auto"/>
                      <w:sz w:val="18"/>
                      <w:szCs w:val="18"/>
                    </w:rPr>
                  </w:pPr>
                </w:p>
              </w:tc>
            </w:tr>
            <w:tr w14:paraId="589C98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121C0EE3">
                  <w:pPr>
                    <w:jc w:val="center"/>
                    <w:rPr>
                      <w:color w:val="auto"/>
                      <w:sz w:val="18"/>
                      <w:szCs w:val="18"/>
                    </w:rPr>
                  </w:pPr>
                </w:p>
              </w:tc>
              <w:tc>
                <w:tcPr>
                  <w:tcW w:w="809" w:type="dxa"/>
                  <w:vMerge w:val="continue"/>
                  <w:vAlign w:val="center"/>
                </w:tcPr>
                <w:p w14:paraId="5973C6BF">
                  <w:pPr>
                    <w:jc w:val="center"/>
                    <w:rPr>
                      <w:snapToGrid w:val="0"/>
                      <w:color w:val="auto"/>
                      <w:sz w:val="18"/>
                      <w:szCs w:val="18"/>
                    </w:rPr>
                  </w:pPr>
                </w:p>
              </w:tc>
              <w:tc>
                <w:tcPr>
                  <w:tcW w:w="1506" w:type="dxa"/>
                  <w:vAlign w:val="center"/>
                </w:tcPr>
                <w:p w14:paraId="499C74A3">
                  <w:pPr>
                    <w:jc w:val="center"/>
                    <w:rPr>
                      <w:color w:val="auto"/>
                      <w:sz w:val="18"/>
                      <w:szCs w:val="18"/>
                    </w:rPr>
                  </w:pPr>
                  <w:r>
                    <w:rPr>
                      <w:rFonts w:hint="eastAsia"/>
                      <w:color w:val="auto"/>
                      <w:sz w:val="18"/>
                      <w:szCs w:val="18"/>
                    </w:rPr>
                    <w:t>碘化钾</w:t>
                  </w:r>
                </w:p>
              </w:tc>
              <w:tc>
                <w:tcPr>
                  <w:tcW w:w="2052" w:type="dxa"/>
                  <w:vAlign w:val="center"/>
                </w:tcPr>
                <w:p w14:paraId="12337699">
                  <w:pPr>
                    <w:jc w:val="center"/>
                    <w:rPr>
                      <w:color w:val="auto"/>
                      <w:sz w:val="18"/>
                      <w:szCs w:val="18"/>
                    </w:rPr>
                  </w:pPr>
                  <w:r>
                    <w:rPr>
                      <w:rFonts w:hint="eastAsia"/>
                      <w:color w:val="auto"/>
                      <w:sz w:val="18"/>
                      <w:szCs w:val="18"/>
                    </w:rPr>
                    <w:t>99.0%，AR</w:t>
                  </w:r>
                  <w:r>
                    <w:rPr>
                      <w:color w:val="auto"/>
                      <w:sz w:val="18"/>
                      <w:szCs w:val="18"/>
                    </w:rPr>
                    <w:t>，</w:t>
                  </w:r>
                  <w:r>
                    <w:rPr>
                      <w:rFonts w:eastAsia="Helvetica"/>
                      <w:color w:val="auto"/>
                      <w:sz w:val="18"/>
                      <w:szCs w:val="18"/>
                      <w:shd w:val="clear" w:color="auto" w:fill="FFFFFF"/>
                    </w:rPr>
                    <w:t>KI</w:t>
                  </w:r>
                </w:p>
              </w:tc>
              <w:tc>
                <w:tcPr>
                  <w:tcW w:w="762" w:type="dxa"/>
                  <w:vAlign w:val="center"/>
                </w:tcPr>
                <w:p w14:paraId="5B5975D7">
                  <w:pPr>
                    <w:jc w:val="center"/>
                    <w:rPr>
                      <w:color w:val="auto"/>
                      <w:sz w:val="18"/>
                      <w:szCs w:val="18"/>
                    </w:rPr>
                  </w:pPr>
                  <w:r>
                    <w:rPr>
                      <w:rFonts w:hint="eastAsia"/>
                      <w:color w:val="auto"/>
                      <w:sz w:val="18"/>
                      <w:szCs w:val="18"/>
                    </w:rPr>
                    <w:t>1</w:t>
                  </w:r>
                </w:p>
              </w:tc>
              <w:tc>
                <w:tcPr>
                  <w:tcW w:w="817" w:type="dxa"/>
                  <w:vAlign w:val="center"/>
                </w:tcPr>
                <w:p w14:paraId="120AA408">
                  <w:pPr>
                    <w:jc w:val="center"/>
                    <w:rPr>
                      <w:color w:val="auto"/>
                      <w:sz w:val="18"/>
                      <w:szCs w:val="18"/>
                    </w:rPr>
                  </w:pPr>
                  <w:r>
                    <w:rPr>
                      <w:rFonts w:hint="eastAsia"/>
                      <w:color w:val="auto"/>
                      <w:sz w:val="18"/>
                      <w:szCs w:val="18"/>
                    </w:rPr>
                    <w:t>0.5</w:t>
                  </w:r>
                </w:p>
              </w:tc>
              <w:tc>
                <w:tcPr>
                  <w:tcW w:w="1387" w:type="dxa"/>
                  <w:vAlign w:val="center"/>
                </w:tcPr>
                <w:p w14:paraId="3D43821A">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61E2E5F3">
                  <w:pPr>
                    <w:pStyle w:val="4"/>
                    <w:spacing w:before="0" w:after="0" w:line="240" w:lineRule="auto"/>
                    <w:jc w:val="center"/>
                    <w:rPr>
                      <w:b w:val="0"/>
                      <w:bCs w:val="0"/>
                      <w:color w:val="auto"/>
                      <w:sz w:val="18"/>
                      <w:szCs w:val="18"/>
                    </w:rPr>
                  </w:pPr>
                </w:p>
              </w:tc>
            </w:tr>
            <w:tr w14:paraId="25F421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0A957467">
                  <w:pPr>
                    <w:jc w:val="center"/>
                    <w:rPr>
                      <w:color w:val="auto"/>
                      <w:sz w:val="18"/>
                      <w:szCs w:val="18"/>
                    </w:rPr>
                  </w:pPr>
                </w:p>
              </w:tc>
              <w:tc>
                <w:tcPr>
                  <w:tcW w:w="809" w:type="dxa"/>
                  <w:vMerge w:val="continue"/>
                  <w:vAlign w:val="center"/>
                </w:tcPr>
                <w:p w14:paraId="229F4DB7">
                  <w:pPr>
                    <w:jc w:val="center"/>
                    <w:rPr>
                      <w:snapToGrid w:val="0"/>
                      <w:color w:val="auto"/>
                      <w:sz w:val="18"/>
                      <w:szCs w:val="18"/>
                    </w:rPr>
                  </w:pPr>
                </w:p>
              </w:tc>
              <w:tc>
                <w:tcPr>
                  <w:tcW w:w="1506" w:type="dxa"/>
                  <w:vAlign w:val="center"/>
                </w:tcPr>
                <w:p w14:paraId="54752518">
                  <w:pPr>
                    <w:jc w:val="center"/>
                    <w:rPr>
                      <w:color w:val="auto"/>
                      <w:sz w:val="18"/>
                      <w:szCs w:val="18"/>
                    </w:rPr>
                  </w:pPr>
                  <w:r>
                    <w:rPr>
                      <w:color w:val="auto"/>
                      <w:sz w:val="18"/>
                      <w:szCs w:val="18"/>
                    </w:rPr>
                    <w:t>碘酸钾</w:t>
                  </w:r>
                </w:p>
              </w:tc>
              <w:tc>
                <w:tcPr>
                  <w:tcW w:w="2052" w:type="dxa"/>
                  <w:vAlign w:val="center"/>
                </w:tcPr>
                <w:p w14:paraId="2D1CEBBA">
                  <w:pPr>
                    <w:jc w:val="center"/>
                    <w:rPr>
                      <w:color w:val="auto"/>
                      <w:sz w:val="18"/>
                      <w:szCs w:val="18"/>
                    </w:rPr>
                  </w:pPr>
                  <w:r>
                    <w:rPr>
                      <w:rFonts w:hint="eastAsia"/>
                      <w:color w:val="auto"/>
                      <w:sz w:val="18"/>
                      <w:szCs w:val="18"/>
                    </w:rPr>
                    <w:t>99.0%，AR</w:t>
                  </w:r>
                  <w:r>
                    <w:rPr>
                      <w:color w:val="auto"/>
                      <w:sz w:val="18"/>
                      <w:szCs w:val="18"/>
                    </w:rPr>
                    <w:t>，</w:t>
                  </w:r>
                  <w:r>
                    <w:rPr>
                      <w:rFonts w:eastAsia="Helvetica"/>
                      <w:color w:val="auto"/>
                      <w:sz w:val="18"/>
                      <w:szCs w:val="18"/>
                      <w:shd w:val="clear" w:color="auto" w:fill="FFFFFF"/>
                    </w:rPr>
                    <w:t>KIO</w:t>
                  </w:r>
                  <w:r>
                    <w:rPr>
                      <w:rFonts w:eastAsia="Helvetica"/>
                      <w:color w:val="auto"/>
                      <w:sz w:val="18"/>
                      <w:szCs w:val="18"/>
                      <w:shd w:val="clear" w:color="auto" w:fill="FFFFFF"/>
                      <w:vertAlign w:val="subscript"/>
                    </w:rPr>
                    <w:t>3</w:t>
                  </w:r>
                </w:p>
              </w:tc>
              <w:tc>
                <w:tcPr>
                  <w:tcW w:w="762" w:type="dxa"/>
                  <w:vAlign w:val="center"/>
                </w:tcPr>
                <w:p w14:paraId="498C0886">
                  <w:pPr>
                    <w:jc w:val="center"/>
                    <w:rPr>
                      <w:color w:val="auto"/>
                      <w:sz w:val="18"/>
                      <w:szCs w:val="18"/>
                    </w:rPr>
                  </w:pPr>
                  <w:r>
                    <w:rPr>
                      <w:rFonts w:hint="eastAsia"/>
                      <w:color w:val="auto"/>
                      <w:sz w:val="18"/>
                      <w:szCs w:val="18"/>
                    </w:rPr>
                    <w:t>0.5</w:t>
                  </w:r>
                </w:p>
              </w:tc>
              <w:tc>
                <w:tcPr>
                  <w:tcW w:w="817" w:type="dxa"/>
                  <w:vAlign w:val="center"/>
                </w:tcPr>
                <w:p w14:paraId="1C2FE13C">
                  <w:pPr>
                    <w:jc w:val="center"/>
                    <w:rPr>
                      <w:color w:val="auto"/>
                      <w:sz w:val="18"/>
                      <w:szCs w:val="18"/>
                    </w:rPr>
                  </w:pPr>
                  <w:r>
                    <w:rPr>
                      <w:rFonts w:hint="eastAsia"/>
                      <w:color w:val="auto"/>
                      <w:sz w:val="18"/>
                      <w:szCs w:val="18"/>
                    </w:rPr>
                    <w:t>0.5</w:t>
                  </w:r>
                </w:p>
              </w:tc>
              <w:tc>
                <w:tcPr>
                  <w:tcW w:w="1387" w:type="dxa"/>
                  <w:vAlign w:val="center"/>
                </w:tcPr>
                <w:p w14:paraId="73E08B7E">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085452AB">
                  <w:pPr>
                    <w:pStyle w:val="4"/>
                    <w:spacing w:before="0" w:after="0" w:line="240" w:lineRule="auto"/>
                    <w:jc w:val="center"/>
                    <w:rPr>
                      <w:b w:val="0"/>
                      <w:bCs w:val="0"/>
                      <w:color w:val="auto"/>
                      <w:sz w:val="18"/>
                      <w:szCs w:val="18"/>
                    </w:rPr>
                  </w:pPr>
                </w:p>
              </w:tc>
            </w:tr>
            <w:tr w14:paraId="710DCE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21AA420C">
                  <w:pPr>
                    <w:jc w:val="center"/>
                    <w:rPr>
                      <w:color w:val="auto"/>
                      <w:sz w:val="18"/>
                      <w:szCs w:val="18"/>
                    </w:rPr>
                  </w:pPr>
                </w:p>
              </w:tc>
              <w:tc>
                <w:tcPr>
                  <w:tcW w:w="809" w:type="dxa"/>
                  <w:vMerge w:val="continue"/>
                  <w:vAlign w:val="center"/>
                </w:tcPr>
                <w:p w14:paraId="1BB499C2">
                  <w:pPr>
                    <w:jc w:val="center"/>
                    <w:rPr>
                      <w:snapToGrid w:val="0"/>
                      <w:color w:val="auto"/>
                      <w:sz w:val="18"/>
                      <w:szCs w:val="18"/>
                    </w:rPr>
                  </w:pPr>
                </w:p>
              </w:tc>
              <w:tc>
                <w:tcPr>
                  <w:tcW w:w="1506" w:type="dxa"/>
                  <w:vAlign w:val="center"/>
                </w:tcPr>
                <w:p w14:paraId="7A7B6151">
                  <w:pPr>
                    <w:jc w:val="center"/>
                    <w:rPr>
                      <w:color w:val="auto"/>
                      <w:sz w:val="18"/>
                      <w:szCs w:val="18"/>
                    </w:rPr>
                  </w:pPr>
                  <w:r>
                    <w:rPr>
                      <w:color w:val="auto"/>
                      <w:sz w:val="18"/>
                      <w:szCs w:val="18"/>
                    </w:rPr>
                    <w:t>碘酸氢钾</w:t>
                  </w:r>
                </w:p>
              </w:tc>
              <w:tc>
                <w:tcPr>
                  <w:tcW w:w="2052" w:type="dxa"/>
                  <w:vAlign w:val="center"/>
                </w:tcPr>
                <w:p w14:paraId="6A516951">
                  <w:pPr>
                    <w:jc w:val="center"/>
                    <w:rPr>
                      <w:color w:val="auto"/>
                      <w:sz w:val="18"/>
                      <w:szCs w:val="18"/>
                    </w:rPr>
                  </w:pPr>
                  <w:r>
                    <w:rPr>
                      <w:rFonts w:hint="eastAsia"/>
                      <w:color w:val="auto"/>
                      <w:sz w:val="18"/>
                      <w:szCs w:val="18"/>
                    </w:rPr>
                    <w:t>99.8%，AR</w:t>
                  </w:r>
                  <w:r>
                    <w:rPr>
                      <w:color w:val="auto"/>
                      <w:sz w:val="18"/>
                      <w:szCs w:val="18"/>
                    </w:rPr>
                    <w:t>，</w:t>
                  </w:r>
                  <w:r>
                    <w:rPr>
                      <w:rFonts w:eastAsia="Helvetica"/>
                      <w:color w:val="auto"/>
                      <w:sz w:val="18"/>
                      <w:szCs w:val="18"/>
                      <w:shd w:val="clear" w:color="auto" w:fill="FFFFFF"/>
                    </w:rPr>
                    <w:t>KH(IO</w:t>
                  </w:r>
                  <w:r>
                    <w:rPr>
                      <w:rFonts w:eastAsia="Helvetica"/>
                      <w:color w:val="auto"/>
                      <w:sz w:val="18"/>
                      <w:szCs w:val="18"/>
                      <w:shd w:val="clear" w:color="auto" w:fill="FFFFFF"/>
                      <w:vertAlign w:val="subscript"/>
                    </w:rPr>
                    <w:t>3</w:t>
                  </w:r>
                  <w:r>
                    <w:rPr>
                      <w:rFonts w:eastAsia="Helvetica"/>
                      <w:color w:val="auto"/>
                      <w:sz w:val="18"/>
                      <w:szCs w:val="18"/>
                      <w:shd w:val="clear" w:color="auto" w:fill="FFFFFF"/>
                    </w:rPr>
                    <w:t>)</w:t>
                  </w:r>
                  <w:r>
                    <w:rPr>
                      <w:rFonts w:eastAsia="Helvetica"/>
                      <w:color w:val="auto"/>
                      <w:sz w:val="18"/>
                      <w:szCs w:val="18"/>
                      <w:shd w:val="clear" w:color="auto" w:fill="FFFFFF"/>
                      <w:vertAlign w:val="subscript"/>
                    </w:rPr>
                    <w:t>2</w:t>
                  </w:r>
                </w:p>
              </w:tc>
              <w:tc>
                <w:tcPr>
                  <w:tcW w:w="762" w:type="dxa"/>
                  <w:vAlign w:val="center"/>
                </w:tcPr>
                <w:p w14:paraId="5042433C">
                  <w:pPr>
                    <w:jc w:val="center"/>
                    <w:rPr>
                      <w:color w:val="auto"/>
                      <w:sz w:val="18"/>
                      <w:szCs w:val="18"/>
                    </w:rPr>
                  </w:pPr>
                  <w:r>
                    <w:rPr>
                      <w:rFonts w:hint="eastAsia"/>
                      <w:color w:val="auto"/>
                      <w:sz w:val="18"/>
                      <w:szCs w:val="18"/>
                    </w:rPr>
                    <w:t>0.5</w:t>
                  </w:r>
                </w:p>
              </w:tc>
              <w:tc>
                <w:tcPr>
                  <w:tcW w:w="817" w:type="dxa"/>
                  <w:vAlign w:val="center"/>
                </w:tcPr>
                <w:p w14:paraId="191A2379">
                  <w:pPr>
                    <w:jc w:val="center"/>
                    <w:rPr>
                      <w:color w:val="auto"/>
                      <w:sz w:val="18"/>
                      <w:szCs w:val="18"/>
                    </w:rPr>
                  </w:pPr>
                  <w:r>
                    <w:rPr>
                      <w:rFonts w:hint="eastAsia"/>
                      <w:color w:val="auto"/>
                      <w:sz w:val="18"/>
                      <w:szCs w:val="18"/>
                    </w:rPr>
                    <w:t>0.5</w:t>
                  </w:r>
                </w:p>
              </w:tc>
              <w:tc>
                <w:tcPr>
                  <w:tcW w:w="1387" w:type="dxa"/>
                  <w:vAlign w:val="center"/>
                </w:tcPr>
                <w:p w14:paraId="1ACFA829">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2B72E026">
                  <w:pPr>
                    <w:pStyle w:val="4"/>
                    <w:spacing w:before="0" w:after="0" w:line="240" w:lineRule="auto"/>
                    <w:jc w:val="center"/>
                    <w:rPr>
                      <w:b w:val="0"/>
                      <w:bCs w:val="0"/>
                      <w:color w:val="auto"/>
                      <w:sz w:val="18"/>
                      <w:szCs w:val="18"/>
                    </w:rPr>
                  </w:pPr>
                </w:p>
              </w:tc>
            </w:tr>
            <w:tr w14:paraId="7BAE8D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39BA9CCB">
                  <w:pPr>
                    <w:jc w:val="center"/>
                    <w:rPr>
                      <w:color w:val="auto"/>
                      <w:sz w:val="18"/>
                      <w:szCs w:val="18"/>
                    </w:rPr>
                  </w:pPr>
                </w:p>
              </w:tc>
              <w:tc>
                <w:tcPr>
                  <w:tcW w:w="809" w:type="dxa"/>
                  <w:vMerge w:val="continue"/>
                  <w:vAlign w:val="center"/>
                </w:tcPr>
                <w:p w14:paraId="471DE4FF">
                  <w:pPr>
                    <w:jc w:val="center"/>
                    <w:rPr>
                      <w:snapToGrid w:val="0"/>
                      <w:color w:val="auto"/>
                      <w:sz w:val="18"/>
                      <w:szCs w:val="18"/>
                    </w:rPr>
                  </w:pPr>
                </w:p>
              </w:tc>
              <w:tc>
                <w:tcPr>
                  <w:tcW w:w="1506" w:type="dxa"/>
                  <w:vAlign w:val="center"/>
                </w:tcPr>
                <w:p w14:paraId="60E6EEE4">
                  <w:pPr>
                    <w:jc w:val="center"/>
                    <w:rPr>
                      <w:color w:val="auto"/>
                      <w:sz w:val="18"/>
                      <w:szCs w:val="18"/>
                    </w:rPr>
                  </w:pPr>
                  <w:r>
                    <w:rPr>
                      <w:rFonts w:hint="eastAsia"/>
                      <w:color w:val="auto"/>
                      <w:sz w:val="18"/>
                      <w:szCs w:val="18"/>
                    </w:rPr>
                    <w:t>溴化钾</w:t>
                  </w:r>
                </w:p>
              </w:tc>
              <w:tc>
                <w:tcPr>
                  <w:tcW w:w="2052" w:type="dxa"/>
                  <w:vAlign w:val="center"/>
                </w:tcPr>
                <w:p w14:paraId="16677C05">
                  <w:pPr>
                    <w:jc w:val="center"/>
                    <w:rPr>
                      <w:color w:val="auto"/>
                      <w:sz w:val="18"/>
                      <w:szCs w:val="18"/>
                    </w:rPr>
                  </w:pPr>
                  <w:r>
                    <w:rPr>
                      <w:rFonts w:hint="eastAsia"/>
                      <w:color w:val="auto"/>
                      <w:sz w:val="18"/>
                      <w:szCs w:val="18"/>
                    </w:rPr>
                    <w:t>99.0%，AR</w:t>
                  </w:r>
                  <w:r>
                    <w:rPr>
                      <w:color w:val="auto"/>
                      <w:sz w:val="18"/>
                      <w:szCs w:val="18"/>
                    </w:rPr>
                    <w:t>，</w:t>
                  </w:r>
                  <w:r>
                    <w:rPr>
                      <w:rFonts w:eastAsia="Helvetica"/>
                      <w:color w:val="auto"/>
                      <w:sz w:val="18"/>
                      <w:szCs w:val="18"/>
                      <w:shd w:val="clear" w:color="auto" w:fill="FFFFFF"/>
                    </w:rPr>
                    <w:t>KBr</w:t>
                  </w:r>
                </w:p>
              </w:tc>
              <w:tc>
                <w:tcPr>
                  <w:tcW w:w="762" w:type="dxa"/>
                  <w:vAlign w:val="center"/>
                </w:tcPr>
                <w:p w14:paraId="1B0D8178">
                  <w:pPr>
                    <w:jc w:val="center"/>
                    <w:rPr>
                      <w:color w:val="auto"/>
                      <w:sz w:val="18"/>
                      <w:szCs w:val="18"/>
                    </w:rPr>
                  </w:pPr>
                  <w:r>
                    <w:rPr>
                      <w:rFonts w:hint="eastAsia"/>
                      <w:color w:val="auto"/>
                      <w:sz w:val="18"/>
                      <w:szCs w:val="18"/>
                    </w:rPr>
                    <w:t>0.5</w:t>
                  </w:r>
                </w:p>
              </w:tc>
              <w:tc>
                <w:tcPr>
                  <w:tcW w:w="817" w:type="dxa"/>
                  <w:vAlign w:val="center"/>
                </w:tcPr>
                <w:p w14:paraId="702C8E2A">
                  <w:pPr>
                    <w:jc w:val="center"/>
                    <w:rPr>
                      <w:color w:val="auto"/>
                      <w:sz w:val="18"/>
                      <w:szCs w:val="18"/>
                    </w:rPr>
                  </w:pPr>
                  <w:r>
                    <w:rPr>
                      <w:rFonts w:hint="eastAsia"/>
                      <w:color w:val="auto"/>
                      <w:sz w:val="18"/>
                      <w:szCs w:val="18"/>
                    </w:rPr>
                    <w:t>0.5</w:t>
                  </w:r>
                </w:p>
              </w:tc>
              <w:tc>
                <w:tcPr>
                  <w:tcW w:w="1387" w:type="dxa"/>
                  <w:vAlign w:val="center"/>
                </w:tcPr>
                <w:p w14:paraId="7856DC96">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37596619">
                  <w:pPr>
                    <w:pStyle w:val="4"/>
                    <w:spacing w:before="0" w:after="0" w:line="240" w:lineRule="auto"/>
                    <w:jc w:val="center"/>
                    <w:rPr>
                      <w:b w:val="0"/>
                      <w:bCs w:val="0"/>
                      <w:color w:val="auto"/>
                      <w:sz w:val="18"/>
                      <w:szCs w:val="18"/>
                    </w:rPr>
                  </w:pPr>
                </w:p>
              </w:tc>
            </w:tr>
            <w:tr w14:paraId="2D302D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72752960">
                  <w:pPr>
                    <w:jc w:val="center"/>
                    <w:rPr>
                      <w:color w:val="auto"/>
                      <w:sz w:val="18"/>
                      <w:szCs w:val="18"/>
                    </w:rPr>
                  </w:pPr>
                </w:p>
              </w:tc>
              <w:tc>
                <w:tcPr>
                  <w:tcW w:w="809" w:type="dxa"/>
                  <w:vMerge w:val="continue"/>
                  <w:vAlign w:val="center"/>
                </w:tcPr>
                <w:p w14:paraId="13C13580">
                  <w:pPr>
                    <w:jc w:val="center"/>
                    <w:rPr>
                      <w:snapToGrid w:val="0"/>
                      <w:color w:val="auto"/>
                      <w:sz w:val="18"/>
                      <w:szCs w:val="18"/>
                    </w:rPr>
                  </w:pPr>
                </w:p>
              </w:tc>
              <w:tc>
                <w:tcPr>
                  <w:tcW w:w="1506" w:type="dxa"/>
                  <w:vAlign w:val="center"/>
                </w:tcPr>
                <w:p w14:paraId="762E1915">
                  <w:pPr>
                    <w:jc w:val="center"/>
                    <w:rPr>
                      <w:color w:val="auto"/>
                      <w:sz w:val="18"/>
                      <w:szCs w:val="18"/>
                    </w:rPr>
                  </w:pPr>
                  <w:r>
                    <w:rPr>
                      <w:rFonts w:hint="eastAsia"/>
                      <w:color w:val="auto"/>
                      <w:sz w:val="18"/>
                      <w:szCs w:val="18"/>
                    </w:rPr>
                    <w:t>二氧化锰</w:t>
                  </w:r>
                </w:p>
              </w:tc>
              <w:tc>
                <w:tcPr>
                  <w:tcW w:w="2052" w:type="dxa"/>
                  <w:vAlign w:val="center"/>
                </w:tcPr>
                <w:p w14:paraId="61853390">
                  <w:pPr>
                    <w:jc w:val="center"/>
                    <w:rPr>
                      <w:color w:val="auto"/>
                      <w:sz w:val="18"/>
                      <w:szCs w:val="18"/>
                    </w:rPr>
                  </w:pPr>
                  <w:r>
                    <w:rPr>
                      <w:rFonts w:hint="eastAsia"/>
                      <w:color w:val="auto"/>
                      <w:sz w:val="18"/>
                      <w:szCs w:val="18"/>
                    </w:rPr>
                    <w:t>85%，AR</w:t>
                  </w:r>
                  <w:r>
                    <w:rPr>
                      <w:color w:val="auto"/>
                      <w:sz w:val="18"/>
                      <w:szCs w:val="18"/>
                    </w:rPr>
                    <w:t>，</w:t>
                  </w:r>
                  <w:r>
                    <w:rPr>
                      <w:rFonts w:eastAsia="Helvetica"/>
                      <w:color w:val="auto"/>
                      <w:sz w:val="18"/>
                      <w:szCs w:val="18"/>
                      <w:shd w:val="clear" w:color="auto" w:fill="FFFFFF"/>
                    </w:rPr>
                    <w:t>MnO</w:t>
                  </w:r>
                  <w:r>
                    <w:rPr>
                      <w:rFonts w:eastAsia="Helvetica"/>
                      <w:color w:val="auto"/>
                      <w:sz w:val="18"/>
                      <w:szCs w:val="18"/>
                      <w:shd w:val="clear" w:color="auto" w:fill="FFFFFF"/>
                      <w:vertAlign w:val="subscript"/>
                    </w:rPr>
                    <w:t>2</w:t>
                  </w:r>
                </w:p>
              </w:tc>
              <w:tc>
                <w:tcPr>
                  <w:tcW w:w="762" w:type="dxa"/>
                  <w:vAlign w:val="center"/>
                </w:tcPr>
                <w:p w14:paraId="4E17FBBF">
                  <w:pPr>
                    <w:jc w:val="center"/>
                    <w:rPr>
                      <w:color w:val="auto"/>
                      <w:sz w:val="18"/>
                      <w:szCs w:val="18"/>
                    </w:rPr>
                  </w:pPr>
                  <w:r>
                    <w:rPr>
                      <w:rFonts w:hint="eastAsia"/>
                      <w:color w:val="auto"/>
                      <w:sz w:val="18"/>
                      <w:szCs w:val="18"/>
                    </w:rPr>
                    <w:t>0.5</w:t>
                  </w:r>
                </w:p>
              </w:tc>
              <w:tc>
                <w:tcPr>
                  <w:tcW w:w="817" w:type="dxa"/>
                  <w:vAlign w:val="center"/>
                </w:tcPr>
                <w:p w14:paraId="09219F76">
                  <w:pPr>
                    <w:jc w:val="center"/>
                    <w:rPr>
                      <w:color w:val="auto"/>
                      <w:sz w:val="18"/>
                      <w:szCs w:val="18"/>
                    </w:rPr>
                  </w:pPr>
                  <w:r>
                    <w:rPr>
                      <w:rFonts w:hint="eastAsia"/>
                      <w:color w:val="auto"/>
                      <w:sz w:val="18"/>
                      <w:szCs w:val="18"/>
                    </w:rPr>
                    <w:t>0.5</w:t>
                  </w:r>
                </w:p>
              </w:tc>
              <w:tc>
                <w:tcPr>
                  <w:tcW w:w="1387" w:type="dxa"/>
                  <w:vAlign w:val="center"/>
                </w:tcPr>
                <w:p w14:paraId="69EF39DF">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198C0F35">
                  <w:pPr>
                    <w:pStyle w:val="4"/>
                    <w:spacing w:before="0" w:after="0" w:line="240" w:lineRule="auto"/>
                    <w:jc w:val="center"/>
                    <w:rPr>
                      <w:b w:val="0"/>
                      <w:bCs w:val="0"/>
                      <w:color w:val="auto"/>
                      <w:sz w:val="18"/>
                      <w:szCs w:val="18"/>
                    </w:rPr>
                  </w:pPr>
                </w:p>
              </w:tc>
            </w:tr>
            <w:tr w14:paraId="771733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2C3B8DE1">
                  <w:pPr>
                    <w:jc w:val="center"/>
                    <w:rPr>
                      <w:color w:val="auto"/>
                      <w:sz w:val="18"/>
                      <w:szCs w:val="18"/>
                    </w:rPr>
                  </w:pPr>
                </w:p>
              </w:tc>
              <w:tc>
                <w:tcPr>
                  <w:tcW w:w="809" w:type="dxa"/>
                  <w:vMerge w:val="continue"/>
                  <w:vAlign w:val="center"/>
                </w:tcPr>
                <w:p w14:paraId="03BEB6A6">
                  <w:pPr>
                    <w:jc w:val="center"/>
                    <w:rPr>
                      <w:snapToGrid w:val="0"/>
                      <w:color w:val="auto"/>
                      <w:sz w:val="18"/>
                      <w:szCs w:val="18"/>
                    </w:rPr>
                  </w:pPr>
                </w:p>
              </w:tc>
              <w:tc>
                <w:tcPr>
                  <w:tcW w:w="1506" w:type="dxa"/>
                  <w:vAlign w:val="center"/>
                </w:tcPr>
                <w:p w14:paraId="4671C3D7">
                  <w:pPr>
                    <w:jc w:val="center"/>
                    <w:rPr>
                      <w:color w:val="auto"/>
                      <w:sz w:val="18"/>
                      <w:szCs w:val="18"/>
                    </w:rPr>
                  </w:pPr>
                  <w:r>
                    <w:rPr>
                      <w:rFonts w:hint="eastAsia"/>
                      <w:color w:val="auto"/>
                      <w:sz w:val="18"/>
                      <w:szCs w:val="18"/>
                    </w:rPr>
                    <w:t>氯化钙</w:t>
                  </w:r>
                </w:p>
              </w:tc>
              <w:tc>
                <w:tcPr>
                  <w:tcW w:w="2052" w:type="dxa"/>
                  <w:vAlign w:val="center"/>
                </w:tcPr>
                <w:p w14:paraId="1572D82A">
                  <w:pPr>
                    <w:jc w:val="center"/>
                    <w:rPr>
                      <w:color w:val="auto"/>
                      <w:sz w:val="18"/>
                      <w:szCs w:val="18"/>
                    </w:rPr>
                  </w:pPr>
                  <w:r>
                    <w:rPr>
                      <w:rFonts w:hint="eastAsia"/>
                      <w:color w:val="auto"/>
                      <w:sz w:val="18"/>
                      <w:szCs w:val="18"/>
                    </w:rPr>
                    <w:t>99.0%，BR</w:t>
                  </w:r>
                  <w:r>
                    <w:rPr>
                      <w:rFonts w:hint="eastAsia"/>
                      <w:color w:val="auto"/>
                      <w:sz w:val="18"/>
                      <w:szCs w:val="18"/>
                      <w:shd w:val="clear" w:color="auto" w:fill="FFFFFF"/>
                    </w:rPr>
                    <w:t>，</w:t>
                  </w:r>
                  <w:r>
                    <w:rPr>
                      <w:rFonts w:eastAsia="Helvetica"/>
                      <w:color w:val="auto"/>
                      <w:sz w:val="18"/>
                      <w:szCs w:val="18"/>
                      <w:shd w:val="clear" w:color="auto" w:fill="FFFFFF"/>
                    </w:rPr>
                    <w:t>CaCl</w:t>
                  </w:r>
                  <w:r>
                    <w:rPr>
                      <w:rFonts w:eastAsia="Helvetica"/>
                      <w:color w:val="auto"/>
                      <w:sz w:val="18"/>
                      <w:szCs w:val="18"/>
                      <w:shd w:val="clear" w:color="auto" w:fill="FFFFFF"/>
                      <w:vertAlign w:val="subscript"/>
                    </w:rPr>
                    <w:t>2</w:t>
                  </w:r>
                </w:p>
              </w:tc>
              <w:tc>
                <w:tcPr>
                  <w:tcW w:w="762" w:type="dxa"/>
                  <w:vAlign w:val="center"/>
                </w:tcPr>
                <w:p w14:paraId="71DB7A8D">
                  <w:pPr>
                    <w:jc w:val="center"/>
                    <w:rPr>
                      <w:color w:val="auto"/>
                      <w:sz w:val="18"/>
                      <w:szCs w:val="18"/>
                    </w:rPr>
                  </w:pPr>
                  <w:r>
                    <w:rPr>
                      <w:rFonts w:hint="eastAsia"/>
                      <w:color w:val="auto"/>
                      <w:sz w:val="18"/>
                      <w:szCs w:val="18"/>
                    </w:rPr>
                    <w:t>2</w:t>
                  </w:r>
                </w:p>
              </w:tc>
              <w:tc>
                <w:tcPr>
                  <w:tcW w:w="817" w:type="dxa"/>
                  <w:vAlign w:val="center"/>
                </w:tcPr>
                <w:p w14:paraId="0BF97560">
                  <w:pPr>
                    <w:jc w:val="center"/>
                    <w:rPr>
                      <w:color w:val="auto"/>
                      <w:sz w:val="18"/>
                      <w:szCs w:val="18"/>
                    </w:rPr>
                  </w:pPr>
                  <w:r>
                    <w:rPr>
                      <w:rFonts w:hint="eastAsia"/>
                      <w:color w:val="auto"/>
                      <w:sz w:val="18"/>
                      <w:szCs w:val="18"/>
                    </w:rPr>
                    <w:t>1</w:t>
                  </w:r>
                </w:p>
              </w:tc>
              <w:tc>
                <w:tcPr>
                  <w:tcW w:w="1387" w:type="dxa"/>
                  <w:vAlign w:val="center"/>
                </w:tcPr>
                <w:p w14:paraId="7C18AAFB">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5964477C">
                  <w:pPr>
                    <w:pStyle w:val="4"/>
                    <w:spacing w:before="0" w:after="0" w:line="240" w:lineRule="auto"/>
                    <w:jc w:val="center"/>
                    <w:rPr>
                      <w:b w:val="0"/>
                      <w:bCs w:val="0"/>
                      <w:color w:val="auto"/>
                      <w:sz w:val="18"/>
                      <w:szCs w:val="18"/>
                    </w:rPr>
                  </w:pPr>
                </w:p>
              </w:tc>
            </w:tr>
            <w:tr w14:paraId="7244D4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502E957B">
                  <w:pPr>
                    <w:jc w:val="center"/>
                    <w:rPr>
                      <w:color w:val="auto"/>
                      <w:sz w:val="18"/>
                      <w:szCs w:val="18"/>
                    </w:rPr>
                  </w:pPr>
                </w:p>
              </w:tc>
              <w:tc>
                <w:tcPr>
                  <w:tcW w:w="809" w:type="dxa"/>
                  <w:vMerge w:val="continue"/>
                  <w:vAlign w:val="center"/>
                </w:tcPr>
                <w:p w14:paraId="26298001">
                  <w:pPr>
                    <w:jc w:val="center"/>
                    <w:rPr>
                      <w:snapToGrid w:val="0"/>
                      <w:color w:val="auto"/>
                      <w:sz w:val="18"/>
                      <w:szCs w:val="18"/>
                    </w:rPr>
                  </w:pPr>
                </w:p>
              </w:tc>
              <w:tc>
                <w:tcPr>
                  <w:tcW w:w="1506" w:type="dxa"/>
                  <w:vAlign w:val="center"/>
                </w:tcPr>
                <w:p w14:paraId="2120648E">
                  <w:pPr>
                    <w:jc w:val="center"/>
                    <w:rPr>
                      <w:color w:val="auto"/>
                      <w:sz w:val="18"/>
                      <w:szCs w:val="18"/>
                    </w:rPr>
                  </w:pPr>
                  <w:r>
                    <w:rPr>
                      <w:rFonts w:hint="eastAsia"/>
                      <w:color w:val="auto"/>
                      <w:sz w:val="18"/>
                      <w:szCs w:val="18"/>
                    </w:rPr>
                    <w:t>氯化钴</w:t>
                  </w:r>
                </w:p>
              </w:tc>
              <w:tc>
                <w:tcPr>
                  <w:tcW w:w="2052" w:type="dxa"/>
                  <w:vAlign w:val="center"/>
                </w:tcPr>
                <w:p w14:paraId="72BE6C48">
                  <w:pPr>
                    <w:jc w:val="center"/>
                    <w:rPr>
                      <w:color w:val="auto"/>
                      <w:sz w:val="18"/>
                      <w:szCs w:val="18"/>
                    </w:rPr>
                  </w:pPr>
                  <w:r>
                    <w:rPr>
                      <w:rFonts w:hint="eastAsia"/>
                      <w:color w:val="auto"/>
                      <w:sz w:val="18"/>
                      <w:szCs w:val="18"/>
                    </w:rPr>
                    <w:t>99.0%，AR</w:t>
                  </w:r>
                  <w:r>
                    <w:rPr>
                      <w:color w:val="auto"/>
                      <w:sz w:val="18"/>
                      <w:szCs w:val="18"/>
                    </w:rPr>
                    <w:t>，</w:t>
                  </w:r>
                  <w:r>
                    <w:rPr>
                      <w:rFonts w:eastAsia="Helvetica"/>
                      <w:color w:val="auto"/>
                      <w:sz w:val="18"/>
                      <w:szCs w:val="18"/>
                      <w:shd w:val="clear" w:color="auto" w:fill="FFFFFF"/>
                    </w:rPr>
                    <w:t>CoCl</w:t>
                  </w:r>
                  <w:r>
                    <w:rPr>
                      <w:rFonts w:eastAsia="Helvetica"/>
                      <w:color w:val="auto"/>
                      <w:sz w:val="18"/>
                      <w:szCs w:val="18"/>
                      <w:shd w:val="clear" w:color="auto" w:fill="FFFFFF"/>
                      <w:vertAlign w:val="subscript"/>
                    </w:rPr>
                    <w:t>2</w:t>
                  </w:r>
                </w:p>
              </w:tc>
              <w:tc>
                <w:tcPr>
                  <w:tcW w:w="762" w:type="dxa"/>
                  <w:vAlign w:val="center"/>
                </w:tcPr>
                <w:p w14:paraId="0E4CF80D">
                  <w:pPr>
                    <w:jc w:val="center"/>
                    <w:rPr>
                      <w:color w:val="auto"/>
                      <w:sz w:val="18"/>
                      <w:szCs w:val="18"/>
                    </w:rPr>
                  </w:pPr>
                  <w:r>
                    <w:rPr>
                      <w:rFonts w:hint="eastAsia"/>
                      <w:color w:val="auto"/>
                      <w:sz w:val="18"/>
                      <w:szCs w:val="18"/>
                    </w:rPr>
                    <w:t>0.5</w:t>
                  </w:r>
                </w:p>
              </w:tc>
              <w:tc>
                <w:tcPr>
                  <w:tcW w:w="817" w:type="dxa"/>
                  <w:vAlign w:val="center"/>
                </w:tcPr>
                <w:p w14:paraId="39D4C1CC">
                  <w:pPr>
                    <w:jc w:val="center"/>
                    <w:rPr>
                      <w:color w:val="auto"/>
                      <w:sz w:val="18"/>
                      <w:szCs w:val="18"/>
                    </w:rPr>
                  </w:pPr>
                  <w:r>
                    <w:rPr>
                      <w:rFonts w:hint="eastAsia"/>
                      <w:color w:val="auto"/>
                      <w:sz w:val="18"/>
                      <w:szCs w:val="18"/>
                    </w:rPr>
                    <w:t>0.5</w:t>
                  </w:r>
                </w:p>
              </w:tc>
              <w:tc>
                <w:tcPr>
                  <w:tcW w:w="1387" w:type="dxa"/>
                  <w:vAlign w:val="center"/>
                </w:tcPr>
                <w:p w14:paraId="321B75FE">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628A64AB">
                  <w:pPr>
                    <w:pStyle w:val="4"/>
                    <w:spacing w:before="0" w:after="0" w:line="240" w:lineRule="auto"/>
                    <w:jc w:val="center"/>
                    <w:rPr>
                      <w:b w:val="0"/>
                      <w:bCs w:val="0"/>
                      <w:color w:val="auto"/>
                      <w:sz w:val="18"/>
                      <w:szCs w:val="18"/>
                    </w:rPr>
                  </w:pPr>
                </w:p>
              </w:tc>
            </w:tr>
            <w:tr w14:paraId="2FEA0C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55927D0C">
                  <w:pPr>
                    <w:jc w:val="center"/>
                    <w:rPr>
                      <w:color w:val="auto"/>
                      <w:sz w:val="18"/>
                      <w:szCs w:val="18"/>
                    </w:rPr>
                  </w:pPr>
                </w:p>
              </w:tc>
              <w:tc>
                <w:tcPr>
                  <w:tcW w:w="809" w:type="dxa"/>
                  <w:vMerge w:val="continue"/>
                  <w:vAlign w:val="center"/>
                </w:tcPr>
                <w:p w14:paraId="6FD409CD">
                  <w:pPr>
                    <w:jc w:val="center"/>
                    <w:rPr>
                      <w:snapToGrid w:val="0"/>
                      <w:color w:val="auto"/>
                      <w:sz w:val="18"/>
                      <w:szCs w:val="18"/>
                    </w:rPr>
                  </w:pPr>
                </w:p>
              </w:tc>
              <w:tc>
                <w:tcPr>
                  <w:tcW w:w="1506" w:type="dxa"/>
                  <w:vAlign w:val="center"/>
                </w:tcPr>
                <w:p w14:paraId="3488F283">
                  <w:pPr>
                    <w:jc w:val="center"/>
                    <w:rPr>
                      <w:color w:val="auto"/>
                      <w:sz w:val="18"/>
                      <w:szCs w:val="18"/>
                    </w:rPr>
                  </w:pPr>
                  <w:r>
                    <w:rPr>
                      <w:rFonts w:hint="eastAsia"/>
                      <w:color w:val="auto"/>
                      <w:sz w:val="18"/>
                      <w:szCs w:val="18"/>
                    </w:rPr>
                    <w:t>氯化铁</w:t>
                  </w:r>
                </w:p>
              </w:tc>
              <w:tc>
                <w:tcPr>
                  <w:tcW w:w="2052" w:type="dxa"/>
                  <w:vAlign w:val="center"/>
                </w:tcPr>
                <w:p w14:paraId="04CC5AF1">
                  <w:pPr>
                    <w:jc w:val="center"/>
                    <w:rPr>
                      <w:color w:val="auto"/>
                      <w:sz w:val="18"/>
                      <w:szCs w:val="18"/>
                    </w:rPr>
                  </w:pPr>
                  <w:r>
                    <w:rPr>
                      <w:rFonts w:hint="eastAsia"/>
                      <w:color w:val="auto"/>
                      <w:sz w:val="18"/>
                      <w:szCs w:val="18"/>
                    </w:rPr>
                    <w:t>99.0%，AR</w:t>
                  </w:r>
                  <w:r>
                    <w:rPr>
                      <w:color w:val="auto"/>
                      <w:sz w:val="18"/>
                      <w:szCs w:val="18"/>
                    </w:rPr>
                    <w:t>，F</w:t>
                  </w:r>
                  <w:r>
                    <w:rPr>
                      <w:rFonts w:eastAsia="Helvetica"/>
                      <w:color w:val="auto"/>
                      <w:sz w:val="18"/>
                      <w:szCs w:val="18"/>
                      <w:shd w:val="clear" w:color="auto" w:fill="FFFFFF"/>
                    </w:rPr>
                    <w:t>eCl</w:t>
                  </w:r>
                  <w:r>
                    <w:rPr>
                      <w:rFonts w:eastAsia="Helvetica"/>
                      <w:color w:val="auto"/>
                      <w:sz w:val="18"/>
                      <w:szCs w:val="18"/>
                      <w:shd w:val="clear" w:color="auto" w:fill="FFFFFF"/>
                      <w:vertAlign w:val="subscript"/>
                    </w:rPr>
                    <w:t>3</w:t>
                  </w:r>
                </w:p>
              </w:tc>
              <w:tc>
                <w:tcPr>
                  <w:tcW w:w="762" w:type="dxa"/>
                  <w:vAlign w:val="center"/>
                </w:tcPr>
                <w:p w14:paraId="2EC990BD">
                  <w:pPr>
                    <w:jc w:val="center"/>
                    <w:rPr>
                      <w:color w:val="auto"/>
                      <w:sz w:val="18"/>
                      <w:szCs w:val="18"/>
                    </w:rPr>
                  </w:pPr>
                  <w:r>
                    <w:rPr>
                      <w:rFonts w:hint="eastAsia"/>
                      <w:color w:val="auto"/>
                      <w:sz w:val="18"/>
                      <w:szCs w:val="18"/>
                    </w:rPr>
                    <w:t>1</w:t>
                  </w:r>
                </w:p>
              </w:tc>
              <w:tc>
                <w:tcPr>
                  <w:tcW w:w="817" w:type="dxa"/>
                  <w:vAlign w:val="center"/>
                </w:tcPr>
                <w:p w14:paraId="05C27D8D">
                  <w:pPr>
                    <w:jc w:val="center"/>
                    <w:rPr>
                      <w:color w:val="auto"/>
                      <w:sz w:val="18"/>
                      <w:szCs w:val="18"/>
                    </w:rPr>
                  </w:pPr>
                  <w:r>
                    <w:rPr>
                      <w:rFonts w:hint="eastAsia"/>
                      <w:color w:val="auto"/>
                      <w:sz w:val="18"/>
                      <w:szCs w:val="18"/>
                    </w:rPr>
                    <w:t>0.5</w:t>
                  </w:r>
                </w:p>
              </w:tc>
              <w:tc>
                <w:tcPr>
                  <w:tcW w:w="1387" w:type="dxa"/>
                  <w:vAlign w:val="center"/>
                </w:tcPr>
                <w:p w14:paraId="11574A5D">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5CCC97D7">
                  <w:pPr>
                    <w:pStyle w:val="4"/>
                    <w:spacing w:before="0" w:after="0" w:line="240" w:lineRule="auto"/>
                    <w:jc w:val="center"/>
                    <w:rPr>
                      <w:b w:val="0"/>
                      <w:bCs w:val="0"/>
                      <w:color w:val="auto"/>
                      <w:sz w:val="18"/>
                      <w:szCs w:val="18"/>
                    </w:rPr>
                  </w:pPr>
                </w:p>
              </w:tc>
            </w:tr>
            <w:tr w14:paraId="0D8AC5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40FF3A5D">
                  <w:pPr>
                    <w:jc w:val="center"/>
                    <w:rPr>
                      <w:color w:val="auto"/>
                      <w:sz w:val="18"/>
                      <w:szCs w:val="18"/>
                    </w:rPr>
                  </w:pPr>
                </w:p>
              </w:tc>
              <w:tc>
                <w:tcPr>
                  <w:tcW w:w="809" w:type="dxa"/>
                  <w:vMerge w:val="continue"/>
                  <w:vAlign w:val="center"/>
                </w:tcPr>
                <w:p w14:paraId="1A6EE033">
                  <w:pPr>
                    <w:jc w:val="center"/>
                    <w:rPr>
                      <w:snapToGrid w:val="0"/>
                      <w:color w:val="auto"/>
                      <w:sz w:val="18"/>
                      <w:szCs w:val="18"/>
                    </w:rPr>
                  </w:pPr>
                </w:p>
              </w:tc>
              <w:tc>
                <w:tcPr>
                  <w:tcW w:w="1506" w:type="dxa"/>
                  <w:vAlign w:val="center"/>
                </w:tcPr>
                <w:p w14:paraId="2A9BB2E9">
                  <w:pPr>
                    <w:jc w:val="center"/>
                    <w:rPr>
                      <w:color w:val="auto"/>
                      <w:sz w:val="18"/>
                      <w:szCs w:val="18"/>
                    </w:rPr>
                  </w:pPr>
                  <w:r>
                    <w:rPr>
                      <w:rFonts w:hint="eastAsia"/>
                      <w:color w:val="auto"/>
                      <w:sz w:val="18"/>
                      <w:szCs w:val="18"/>
                    </w:rPr>
                    <w:t>氯化亚铁</w:t>
                  </w:r>
                </w:p>
              </w:tc>
              <w:tc>
                <w:tcPr>
                  <w:tcW w:w="2052" w:type="dxa"/>
                  <w:vAlign w:val="center"/>
                </w:tcPr>
                <w:p w14:paraId="322B58D5">
                  <w:pPr>
                    <w:jc w:val="center"/>
                    <w:rPr>
                      <w:color w:val="auto"/>
                      <w:sz w:val="18"/>
                      <w:szCs w:val="18"/>
                    </w:rPr>
                  </w:pPr>
                  <w:r>
                    <w:rPr>
                      <w:rFonts w:hint="eastAsia"/>
                      <w:color w:val="auto"/>
                      <w:sz w:val="18"/>
                      <w:szCs w:val="18"/>
                    </w:rPr>
                    <w:t>99.0%，AR</w:t>
                  </w:r>
                  <w:r>
                    <w:rPr>
                      <w:color w:val="auto"/>
                      <w:sz w:val="18"/>
                      <w:szCs w:val="18"/>
                    </w:rPr>
                    <w:t>，</w:t>
                  </w:r>
                  <w:r>
                    <w:rPr>
                      <w:rFonts w:eastAsia="Helvetica"/>
                      <w:color w:val="auto"/>
                      <w:sz w:val="18"/>
                      <w:szCs w:val="18"/>
                      <w:shd w:val="clear" w:color="auto" w:fill="FFFFFF"/>
                    </w:rPr>
                    <w:t>FeCl</w:t>
                  </w:r>
                  <w:r>
                    <w:rPr>
                      <w:rFonts w:eastAsia="Helvetica"/>
                      <w:color w:val="auto"/>
                      <w:sz w:val="18"/>
                      <w:szCs w:val="18"/>
                      <w:shd w:val="clear" w:color="auto" w:fill="FFFFFF"/>
                      <w:vertAlign w:val="subscript"/>
                    </w:rPr>
                    <w:t>2</w:t>
                  </w:r>
                </w:p>
              </w:tc>
              <w:tc>
                <w:tcPr>
                  <w:tcW w:w="762" w:type="dxa"/>
                  <w:vAlign w:val="center"/>
                </w:tcPr>
                <w:p w14:paraId="43FBA218">
                  <w:pPr>
                    <w:jc w:val="center"/>
                    <w:rPr>
                      <w:color w:val="auto"/>
                      <w:sz w:val="18"/>
                      <w:szCs w:val="18"/>
                    </w:rPr>
                  </w:pPr>
                  <w:r>
                    <w:rPr>
                      <w:rFonts w:hint="eastAsia"/>
                      <w:color w:val="auto"/>
                      <w:sz w:val="18"/>
                      <w:szCs w:val="18"/>
                    </w:rPr>
                    <w:t>1</w:t>
                  </w:r>
                </w:p>
              </w:tc>
              <w:tc>
                <w:tcPr>
                  <w:tcW w:w="817" w:type="dxa"/>
                  <w:vAlign w:val="center"/>
                </w:tcPr>
                <w:p w14:paraId="27864DD5">
                  <w:pPr>
                    <w:jc w:val="center"/>
                    <w:rPr>
                      <w:color w:val="auto"/>
                      <w:sz w:val="18"/>
                      <w:szCs w:val="18"/>
                    </w:rPr>
                  </w:pPr>
                  <w:r>
                    <w:rPr>
                      <w:rFonts w:hint="eastAsia"/>
                      <w:color w:val="auto"/>
                      <w:sz w:val="18"/>
                      <w:szCs w:val="18"/>
                    </w:rPr>
                    <w:t>0.5</w:t>
                  </w:r>
                </w:p>
              </w:tc>
              <w:tc>
                <w:tcPr>
                  <w:tcW w:w="1387" w:type="dxa"/>
                  <w:vAlign w:val="center"/>
                </w:tcPr>
                <w:p w14:paraId="6664B96C">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412A444B">
                  <w:pPr>
                    <w:pStyle w:val="4"/>
                    <w:spacing w:before="0" w:after="0" w:line="240" w:lineRule="auto"/>
                    <w:jc w:val="center"/>
                    <w:rPr>
                      <w:b w:val="0"/>
                      <w:bCs w:val="0"/>
                      <w:color w:val="auto"/>
                      <w:sz w:val="18"/>
                      <w:szCs w:val="18"/>
                    </w:rPr>
                  </w:pPr>
                </w:p>
              </w:tc>
            </w:tr>
            <w:tr w14:paraId="55D0A5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1FD4A5B8">
                  <w:pPr>
                    <w:jc w:val="center"/>
                    <w:rPr>
                      <w:color w:val="auto"/>
                      <w:sz w:val="18"/>
                      <w:szCs w:val="18"/>
                    </w:rPr>
                  </w:pPr>
                </w:p>
              </w:tc>
              <w:tc>
                <w:tcPr>
                  <w:tcW w:w="809" w:type="dxa"/>
                  <w:vMerge w:val="continue"/>
                  <w:vAlign w:val="center"/>
                </w:tcPr>
                <w:p w14:paraId="3BE64ACD">
                  <w:pPr>
                    <w:jc w:val="center"/>
                    <w:rPr>
                      <w:snapToGrid w:val="0"/>
                      <w:color w:val="auto"/>
                      <w:sz w:val="18"/>
                      <w:szCs w:val="18"/>
                    </w:rPr>
                  </w:pPr>
                </w:p>
              </w:tc>
              <w:tc>
                <w:tcPr>
                  <w:tcW w:w="1506" w:type="dxa"/>
                  <w:vAlign w:val="center"/>
                </w:tcPr>
                <w:p w14:paraId="0CD074D7">
                  <w:pPr>
                    <w:jc w:val="center"/>
                    <w:rPr>
                      <w:color w:val="auto"/>
                      <w:sz w:val="18"/>
                      <w:szCs w:val="18"/>
                    </w:rPr>
                  </w:pPr>
                  <w:r>
                    <w:rPr>
                      <w:rFonts w:hint="eastAsia"/>
                      <w:color w:val="auto"/>
                      <w:sz w:val="18"/>
                      <w:szCs w:val="18"/>
                    </w:rPr>
                    <w:t>氯化钾</w:t>
                  </w:r>
                </w:p>
              </w:tc>
              <w:tc>
                <w:tcPr>
                  <w:tcW w:w="2052" w:type="dxa"/>
                  <w:vAlign w:val="center"/>
                </w:tcPr>
                <w:p w14:paraId="341F11D5">
                  <w:pPr>
                    <w:jc w:val="center"/>
                    <w:rPr>
                      <w:color w:val="auto"/>
                      <w:sz w:val="18"/>
                      <w:szCs w:val="18"/>
                    </w:rPr>
                  </w:pPr>
                  <w:r>
                    <w:rPr>
                      <w:rFonts w:hint="eastAsia"/>
                      <w:color w:val="auto"/>
                      <w:sz w:val="18"/>
                      <w:szCs w:val="18"/>
                    </w:rPr>
                    <w:t>99.5%，AR</w:t>
                  </w:r>
                  <w:r>
                    <w:rPr>
                      <w:color w:val="auto"/>
                      <w:sz w:val="18"/>
                      <w:szCs w:val="18"/>
                    </w:rPr>
                    <w:t>，</w:t>
                  </w:r>
                  <w:r>
                    <w:rPr>
                      <w:rFonts w:eastAsia="Helvetica"/>
                      <w:color w:val="auto"/>
                      <w:sz w:val="18"/>
                      <w:szCs w:val="18"/>
                      <w:shd w:val="clear" w:color="auto" w:fill="FFFFFF"/>
                    </w:rPr>
                    <w:t>KCl</w:t>
                  </w:r>
                </w:p>
              </w:tc>
              <w:tc>
                <w:tcPr>
                  <w:tcW w:w="762" w:type="dxa"/>
                  <w:vAlign w:val="center"/>
                </w:tcPr>
                <w:p w14:paraId="26FBD4EC">
                  <w:pPr>
                    <w:jc w:val="center"/>
                    <w:rPr>
                      <w:color w:val="auto"/>
                      <w:sz w:val="18"/>
                      <w:szCs w:val="18"/>
                    </w:rPr>
                  </w:pPr>
                  <w:r>
                    <w:rPr>
                      <w:rFonts w:hint="eastAsia"/>
                      <w:color w:val="auto"/>
                      <w:sz w:val="18"/>
                      <w:szCs w:val="18"/>
                    </w:rPr>
                    <w:t>2</w:t>
                  </w:r>
                </w:p>
              </w:tc>
              <w:tc>
                <w:tcPr>
                  <w:tcW w:w="817" w:type="dxa"/>
                  <w:vAlign w:val="center"/>
                </w:tcPr>
                <w:p w14:paraId="26243295">
                  <w:pPr>
                    <w:jc w:val="center"/>
                    <w:rPr>
                      <w:color w:val="auto"/>
                      <w:sz w:val="18"/>
                      <w:szCs w:val="18"/>
                    </w:rPr>
                  </w:pPr>
                  <w:r>
                    <w:rPr>
                      <w:rFonts w:hint="eastAsia"/>
                      <w:color w:val="auto"/>
                      <w:sz w:val="18"/>
                      <w:szCs w:val="18"/>
                    </w:rPr>
                    <w:t>0.5</w:t>
                  </w:r>
                </w:p>
              </w:tc>
              <w:tc>
                <w:tcPr>
                  <w:tcW w:w="1387" w:type="dxa"/>
                  <w:vAlign w:val="center"/>
                </w:tcPr>
                <w:p w14:paraId="55B55798">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28EE376A">
                  <w:pPr>
                    <w:pStyle w:val="4"/>
                    <w:spacing w:before="0" w:after="0" w:line="240" w:lineRule="auto"/>
                    <w:jc w:val="center"/>
                    <w:rPr>
                      <w:b w:val="0"/>
                      <w:bCs w:val="0"/>
                      <w:color w:val="auto"/>
                      <w:sz w:val="18"/>
                      <w:szCs w:val="18"/>
                    </w:rPr>
                  </w:pPr>
                </w:p>
              </w:tc>
            </w:tr>
            <w:tr w14:paraId="2CD77B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405C226E">
                  <w:pPr>
                    <w:jc w:val="center"/>
                    <w:rPr>
                      <w:color w:val="auto"/>
                      <w:sz w:val="18"/>
                      <w:szCs w:val="18"/>
                    </w:rPr>
                  </w:pPr>
                </w:p>
              </w:tc>
              <w:tc>
                <w:tcPr>
                  <w:tcW w:w="809" w:type="dxa"/>
                  <w:vMerge w:val="continue"/>
                  <w:vAlign w:val="center"/>
                </w:tcPr>
                <w:p w14:paraId="29A1B353">
                  <w:pPr>
                    <w:jc w:val="center"/>
                    <w:rPr>
                      <w:snapToGrid w:val="0"/>
                      <w:color w:val="auto"/>
                      <w:sz w:val="18"/>
                      <w:szCs w:val="18"/>
                    </w:rPr>
                  </w:pPr>
                </w:p>
              </w:tc>
              <w:tc>
                <w:tcPr>
                  <w:tcW w:w="1506" w:type="dxa"/>
                  <w:vAlign w:val="center"/>
                </w:tcPr>
                <w:p w14:paraId="3B693711">
                  <w:pPr>
                    <w:jc w:val="center"/>
                    <w:rPr>
                      <w:color w:val="auto"/>
                      <w:sz w:val="18"/>
                      <w:szCs w:val="18"/>
                    </w:rPr>
                  </w:pPr>
                  <w:r>
                    <w:rPr>
                      <w:rFonts w:hint="eastAsia"/>
                      <w:color w:val="auto"/>
                      <w:sz w:val="18"/>
                      <w:szCs w:val="18"/>
                    </w:rPr>
                    <w:t>氯化铵</w:t>
                  </w:r>
                </w:p>
              </w:tc>
              <w:tc>
                <w:tcPr>
                  <w:tcW w:w="2052" w:type="dxa"/>
                  <w:vAlign w:val="center"/>
                </w:tcPr>
                <w:p w14:paraId="4E725EB1">
                  <w:pPr>
                    <w:jc w:val="center"/>
                    <w:rPr>
                      <w:color w:val="auto"/>
                      <w:sz w:val="18"/>
                      <w:szCs w:val="18"/>
                    </w:rPr>
                  </w:pPr>
                  <w:r>
                    <w:rPr>
                      <w:rFonts w:hint="eastAsia"/>
                      <w:color w:val="auto"/>
                      <w:sz w:val="18"/>
                      <w:szCs w:val="18"/>
                    </w:rPr>
                    <w:t>99.5%，AR</w:t>
                  </w:r>
                  <w:r>
                    <w:rPr>
                      <w:color w:val="auto"/>
                      <w:sz w:val="18"/>
                      <w:szCs w:val="18"/>
                    </w:rPr>
                    <w:t>，</w:t>
                  </w:r>
                  <w:r>
                    <w:rPr>
                      <w:rFonts w:eastAsia="Helvetica"/>
                      <w:color w:val="auto"/>
                      <w:sz w:val="18"/>
                      <w:szCs w:val="18"/>
                      <w:shd w:val="clear" w:color="auto" w:fill="FFFFFF"/>
                    </w:rPr>
                    <w:t>NH</w:t>
                  </w:r>
                  <w:r>
                    <w:rPr>
                      <w:rFonts w:eastAsia="Helvetica"/>
                      <w:color w:val="auto"/>
                      <w:sz w:val="18"/>
                      <w:szCs w:val="18"/>
                      <w:shd w:val="clear" w:color="auto" w:fill="FFFFFF"/>
                      <w:vertAlign w:val="subscript"/>
                    </w:rPr>
                    <w:t>4</w:t>
                  </w:r>
                  <w:r>
                    <w:rPr>
                      <w:rFonts w:eastAsia="Helvetica"/>
                      <w:color w:val="auto"/>
                      <w:sz w:val="18"/>
                      <w:szCs w:val="18"/>
                      <w:shd w:val="clear" w:color="auto" w:fill="FFFFFF"/>
                    </w:rPr>
                    <w:t>Cl</w:t>
                  </w:r>
                </w:p>
              </w:tc>
              <w:tc>
                <w:tcPr>
                  <w:tcW w:w="762" w:type="dxa"/>
                  <w:vAlign w:val="center"/>
                </w:tcPr>
                <w:p w14:paraId="14A78C23">
                  <w:pPr>
                    <w:jc w:val="center"/>
                    <w:rPr>
                      <w:color w:val="auto"/>
                      <w:sz w:val="18"/>
                      <w:szCs w:val="18"/>
                    </w:rPr>
                  </w:pPr>
                  <w:r>
                    <w:rPr>
                      <w:rFonts w:hint="eastAsia"/>
                      <w:color w:val="auto"/>
                      <w:sz w:val="18"/>
                      <w:szCs w:val="18"/>
                    </w:rPr>
                    <w:t>2</w:t>
                  </w:r>
                </w:p>
              </w:tc>
              <w:tc>
                <w:tcPr>
                  <w:tcW w:w="817" w:type="dxa"/>
                  <w:vAlign w:val="center"/>
                </w:tcPr>
                <w:p w14:paraId="7AB7DA67">
                  <w:pPr>
                    <w:jc w:val="center"/>
                    <w:rPr>
                      <w:color w:val="auto"/>
                      <w:sz w:val="18"/>
                      <w:szCs w:val="18"/>
                    </w:rPr>
                  </w:pPr>
                  <w:r>
                    <w:rPr>
                      <w:rFonts w:hint="eastAsia"/>
                      <w:color w:val="auto"/>
                      <w:sz w:val="18"/>
                      <w:szCs w:val="18"/>
                    </w:rPr>
                    <w:t>1</w:t>
                  </w:r>
                </w:p>
              </w:tc>
              <w:tc>
                <w:tcPr>
                  <w:tcW w:w="1387" w:type="dxa"/>
                  <w:vAlign w:val="center"/>
                </w:tcPr>
                <w:p w14:paraId="7A428A64">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65C40A99">
                  <w:pPr>
                    <w:pStyle w:val="4"/>
                    <w:spacing w:before="0" w:after="0" w:line="240" w:lineRule="auto"/>
                    <w:jc w:val="center"/>
                    <w:rPr>
                      <w:b w:val="0"/>
                      <w:bCs w:val="0"/>
                      <w:color w:val="auto"/>
                      <w:sz w:val="18"/>
                      <w:szCs w:val="18"/>
                    </w:rPr>
                  </w:pPr>
                </w:p>
              </w:tc>
            </w:tr>
            <w:tr w14:paraId="67CC2D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14BC0F7E">
                  <w:pPr>
                    <w:jc w:val="center"/>
                    <w:rPr>
                      <w:color w:val="auto"/>
                      <w:sz w:val="18"/>
                      <w:szCs w:val="18"/>
                    </w:rPr>
                  </w:pPr>
                </w:p>
              </w:tc>
              <w:tc>
                <w:tcPr>
                  <w:tcW w:w="809" w:type="dxa"/>
                  <w:vMerge w:val="continue"/>
                  <w:vAlign w:val="center"/>
                </w:tcPr>
                <w:p w14:paraId="0DAB1CA2">
                  <w:pPr>
                    <w:jc w:val="center"/>
                    <w:rPr>
                      <w:snapToGrid w:val="0"/>
                      <w:color w:val="auto"/>
                      <w:sz w:val="18"/>
                      <w:szCs w:val="18"/>
                    </w:rPr>
                  </w:pPr>
                </w:p>
              </w:tc>
              <w:tc>
                <w:tcPr>
                  <w:tcW w:w="1506" w:type="dxa"/>
                  <w:vAlign w:val="center"/>
                </w:tcPr>
                <w:p w14:paraId="78762DBE">
                  <w:pPr>
                    <w:jc w:val="center"/>
                    <w:rPr>
                      <w:color w:val="auto"/>
                      <w:sz w:val="18"/>
                      <w:szCs w:val="18"/>
                    </w:rPr>
                  </w:pPr>
                  <w:r>
                    <w:rPr>
                      <w:color w:val="auto"/>
                      <w:sz w:val="18"/>
                      <w:szCs w:val="18"/>
                    </w:rPr>
                    <w:t>氯化镁</w:t>
                  </w:r>
                </w:p>
              </w:tc>
              <w:tc>
                <w:tcPr>
                  <w:tcW w:w="2052" w:type="dxa"/>
                  <w:vAlign w:val="center"/>
                </w:tcPr>
                <w:p w14:paraId="68C5C962">
                  <w:pPr>
                    <w:jc w:val="center"/>
                    <w:rPr>
                      <w:color w:val="auto"/>
                      <w:sz w:val="18"/>
                      <w:szCs w:val="18"/>
                    </w:rPr>
                  </w:pPr>
                  <w:r>
                    <w:rPr>
                      <w:rFonts w:hint="eastAsia"/>
                      <w:color w:val="auto"/>
                      <w:sz w:val="18"/>
                      <w:szCs w:val="18"/>
                    </w:rPr>
                    <w:t>98.0%，AR</w:t>
                  </w:r>
                  <w:r>
                    <w:rPr>
                      <w:color w:val="auto"/>
                      <w:sz w:val="18"/>
                      <w:szCs w:val="18"/>
                    </w:rPr>
                    <w:t>，</w:t>
                  </w:r>
                  <w:r>
                    <w:rPr>
                      <w:rFonts w:eastAsia="Helvetica"/>
                      <w:color w:val="auto"/>
                      <w:sz w:val="18"/>
                      <w:szCs w:val="18"/>
                      <w:shd w:val="clear" w:color="auto" w:fill="FFFFFF"/>
                    </w:rPr>
                    <w:t>MgCl2</w:t>
                  </w:r>
                </w:p>
              </w:tc>
              <w:tc>
                <w:tcPr>
                  <w:tcW w:w="762" w:type="dxa"/>
                  <w:vAlign w:val="center"/>
                </w:tcPr>
                <w:p w14:paraId="06CB9C15">
                  <w:pPr>
                    <w:jc w:val="center"/>
                    <w:rPr>
                      <w:color w:val="auto"/>
                      <w:sz w:val="18"/>
                      <w:szCs w:val="18"/>
                    </w:rPr>
                  </w:pPr>
                  <w:r>
                    <w:rPr>
                      <w:rFonts w:hint="eastAsia"/>
                      <w:color w:val="auto"/>
                      <w:sz w:val="18"/>
                      <w:szCs w:val="18"/>
                    </w:rPr>
                    <w:t>2</w:t>
                  </w:r>
                </w:p>
              </w:tc>
              <w:tc>
                <w:tcPr>
                  <w:tcW w:w="817" w:type="dxa"/>
                  <w:vAlign w:val="center"/>
                </w:tcPr>
                <w:p w14:paraId="4C2F7F2F">
                  <w:pPr>
                    <w:jc w:val="center"/>
                    <w:rPr>
                      <w:color w:val="auto"/>
                      <w:sz w:val="18"/>
                      <w:szCs w:val="18"/>
                    </w:rPr>
                  </w:pPr>
                  <w:r>
                    <w:rPr>
                      <w:rFonts w:hint="eastAsia"/>
                      <w:color w:val="auto"/>
                      <w:sz w:val="18"/>
                      <w:szCs w:val="18"/>
                    </w:rPr>
                    <w:t>1</w:t>
                  </w:r>
                </w:p>
              </w:tc>
              <w:tc>
                <w:tcPr>
                  <w:tcW w:w="1387" w:type="dxa"/>
                  <w:vAlign w:val="center"/>
                </w:tcPr>
                <w:p w14:paraId="552F18B2">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0AD350B7">
                  <w:pPr>
                    <w:pStyle w:val="4"/>
                    <w:spacing w:before="0" w:after="0" w:line="240" w:lineRule="auto"/>
                    <w:jc w:val="center"/>
                    <w:rPr>
                      <w:b w:val="0"/>
                      <w:bCs w:val="0"/>
                      <w:color w:val="auto"/>
                      <w:sz w:val="18"/>
                      <w:szCs w:val="18"/>
                    </w:rPr>
                  </w:pPr>
                </w:p>
              </w:tc>
            </w:tr>
            <w:tr w14:paraId="493847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1EEB6098">
                  <w:pPr>
                    <w:jc w:val="center"/>
                    <w:rPr>
                      <w:color w:val="auto"/>
                      <w:sz w:val="18"/>
                      <w:szCs w:val="18"/>
                    </w:rPr>
                  </w:pPr>
                </w:p>
              </w:tc>
              <w:tc>
                <w:tcPr>
                  <w:tcW w:w="809" w:type="dxa"/>
                  <w:vMerge w:val="continue"/>
                  <w:vAlign w:val="center"/>
                </w:tcPr>
                <w:p w14:paraId="46E55D64">
                  <w:pPr>
                    <w:jc w:val="center"/>
                    <w:rPr>
                      <w:snapToGrid w:val="0"/>
                      <w:color w:val="auto"/>
                      <w:sz w:val="18"/>
                      <w:szCs w:val="18"/>
                    </w:rPr>
                  </w:pPr>
                </w:p>
              </w:tc>
              <w:tc>
                <w:tcPr>
                  <w:tcW w:w="1506" w:type="dxa"/>
                  <w:vAlign w:val="center"/>
                </w:tcPr>
                <w:p w14:paraId="683CABAE">
                  <w:pPr>
                    <w:jc w:val="center"/>
                    <w:rPr>
                      <w:color w:val="auto"/>
                      <w:sz w:val="18"/>
                      <w:szCs w:val="18"/>
                    </w:rPr>
                  </w:pPr>
                  <w:r>
                    <w:rPr>
                      <w:rFonts w:hint="eastAsia"/>
                      <w:color w:val="auto"/>
                      <w:sz w:val="18"/>
                      <w:szCs w:val="18"/>
                    </w:rPr>
                    <w:t>氯化镍（Ⅱ）</w:t>
                  </w:r>
                </w:p>
              </w:tc>
              <w:tc>
                <w:tcPr>
                  <w:tcW w:w="2052" w:type="dxa"/>
                  <w:vAlign w:val="center"/>
                </w:tcPr>
                <w:p w14:paraId="7A9310B1">
                  <w:pPr>
                    <w:jc w:val="center"/>
                    <w:rPr>
                      <w:color w:val="auto"/>
                      <w:sz w:val="18"/>
                      <w:szCs w:val="18"/>
                    </w:rPr>
                  </w:pPr>
                  <w:r>
                    <w:rPr>
                      <w:rFonts w:hint="eastAsia"/>
                      <w:color w:val="auto"/>
                      <w:sz w:val="18"/>
                      <w:szCs w:val="18"/>
                    </w:rPr>
                    <w:t>98.0%，AR，NiCl2</w:t>
                  </w:r>
                </w:p>
              </w:tc>
              <w:tc>
                <w:tcPr>
                  <w:tcW w:w="762" w:type="dxa"/>
                  <w:vAlign w:val="center"/>
                </w:tcPr>
                <w:p w14:paraId="76F45860">
                  <w:pPr>
                    <w:jc w:val="center"/>
                    <w:rPr>
                      <w:color w:val="auto"/>
                      <w:sz w:val="18"/>
                      <w:szCs w:val="18"/>
                    </w:rPr>
                  </w:pPr>
                  <w:r>
                    <w:rPr>
                      <w:rFonts w:hint="eastAsia"/>
                      <w:color w:val="auto"/>
                      <w:sz w:val="18"/>
                      <w:szCs w:val="18"/>
                    </w:rPr>
                    <w:t>0.5</w:t>
                  </w:r>
                </w:p>
              </w:tc>
              <w:tc>
                <w:tcPr>
                  <w:tcW w:w="817" w:type="dxa"/>
                  <w:vAlign w:val="center"/>
                </w:tcPr>
                <w:p w14:paraId="16EF414E">
                  <w:pPr>
                    <w:jc w:val="center"/>
                    <w:rPr>
                      <w:color w:val="auto"/>
                      <w:sz w:val="18"/>
                      <w:szCs w:val="18"/>
                    </w:rPr>
                  </w:pPr>
                  <w:r>
                    <w:rPr>
                      <w:rFonts w:hint="eastAsia"/>
                      <w:color w:val="auto"/>
                      <w:sz w:val="18"/>
                      <w:szCs w:val="18"/>
                    </w:rPr>
                    <w:t>0.5</w:t>
                  </w:r>
                </w:p>
              </w:tc>
              <w:tc>
                <w:tcPr>
                  <w:tcW w:w="1387" w:type="dxa"/>
                  <w:vAlign w:val="center"/>
                </w:tcPr>
                <w:p w14:paraId="73A90C7F">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3751690F">
                  <w:pPr>
                    <w:pStyle w:val="4"/>
                    <w:spacing w:before="0" w:after="0" w:line="240" w:lineRule="auto"/>
                    <w:jc w:val="center"/>
                    <w:rPr>
                      <w:b w:val="0"/>
                      <w:bCs w:val="0"/>
                      <w:color w:val="auto"/>
                      <w:sz w:val="18"/>
                      <w:szCs w:val="18"/>
                    </w:rPr>
                  </w:pPr>
                </w:p>
              </w:tc>
            </w:tr>
            <w:tr w14:paraId="31EEB7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0F135F0A">
                  <w:pPr>
                    <w:jc w:val="center"/>
                    <w:rPr>
                      <w:color w:val="auto"/>
                      <w:sz w:val="18"/>
                      <w:szCs w:val="18"/>
                    </w:rPr>
                  </w:pPr>
                </w:p>
              </w:tc>
              <w:tc>
                <w:tcPr>
                  <w:tcW w:w="809" w:type="dxa"/>
                  <w:vMerge w:val="continue"/>
                  <w:vAlign w:val="center"/>
                </w:tcPr>
                <w:p w14:paraId="7531B9DA">
                  <w:pPr>
                    <w:jc w:val="center"/>
                    <w:rPr>
                      <w:snapToGrid w:val="0"/>
                      <w:color w:val="auto"/>
                      <w:sz w:val="18"/>
                      <w:szCs w:val="18"/>
                    </w:rPr>
                  </w:pPr>
                </w:p>
              </w:tc>
              <w:tc>
                <w:tcPr>
                  <w:tcW w:w="1506" w:type="dxa"/>
                  <w:vAlign w:val="center"/>
                </w:tcPr>
                <w:p w14:paraId="0FB3DB61">
                  <w:pPr>
                    <w:jc w:val="center"/>
                    <w:rPr>
                      <w:color w:val="auto"/>
                      <w:sz w:val="18"/>
                      <w:szCs w:val="18"/>
                    </w:rPr>
                  </w:pPr>
                  <w:r>
                    <w:rPr>
                      <w:rFonts w:hint="eastAsia"/>
                      <w:color w:val="auto"/>
                      <w:sz w:val="18"/>
                      <w:szCs w:val="18"/>
                    </w:rPr>
                    <w:t>氯化亚锡</w:t>
                  </w:r>
                </w:p>
              </w:tc>
              <w:tc>
                <w:tcPr>
                  <w:tcW w:w="2052" w:type="dxa"/>
                  <w:vAlign w:val="center"/>
                </w:tcPr>
                <w:p w14:paraId="01F3E365">
                  <w:pPr>
                    <w:jc w:val="center"/>
                    <w:rPr>
                      <w:color w:val="auto"/>
                      <w:sz w:val="18"/>
                      <w:szCs w:val="18"/>
                    </w:rPr>
                  </w:pPr>
                  <w:r>
                    <w:rPr>
                      <w:rFonts w:hint="eastAsia"/>
                      <w:color w:val="auto"/>
                      <w:sz w:val="18"/>
                      <w:szCs w:val="18"/>
                    </w:rPr>
                    <w:t>98.0%，AR，SnCl2</w:t>
                  </w:r>
                </w:p>
              </w:tc>
              <w:tc>
                <w:tcPr>
                  <w:tcW w:w="762" w:type="dxa"/>
                  <w:vAlign w:val="center"/>
                </w:tcPr>
                <w:p w14:paraId="0467544A">
                  <w:pPr>
                    <w:jc w:val="center"/>
                    <w:rPr>
                      <w:color w:val="auto"/>
                      <w:sz w:val="18"/>
                      <w:szCs w:val="18"/>
                    </w:rPr>
                  </w:pPr>
                  <w:r>
                    <w:rPr>
                      <w:rFonts w:hint="eastAsia"/>
                      <w:color w:val="auto"/>
                      <w:sz w:val="18"/>
                      <w:szCs w:val="18"/>
                    </w:rPr>
                    <w:t>1</w:t>
                  </w:r>
                </w:p>
              </w:tc>
              <w:tc>
                <w:tcPr>
                  <w:tcW w:w="817" w:type="dxa"/>
                  <w:vAlign w:val="center"/>
                </w:tcPr>
                <w:p w14:paraId="0B195003">
                  <w:pPr>
                    <w:jc w:val="center"/>
                    <w:rPr>
                      <w:color w:val="auto"/>
                      <w:sz w:val="18"/>
                      <w:szCs w:val="18"/>
                    </w:rPr>
                  </w:pPr>
                  <w:r>
                    <w:rPr>
                      <w:rFonts w:hint="eastAsia"/>
                      <w:color w:val="auto"/>
                      <w:sz w:val="18"/>
                      <w:szCs w:val="18"/>
                    </w:rPr>
                    <w:t>0.5</w:t>
                  </w:r>
                </w:p>
              </w:tc>
              <w:tc>
                <w:tcPr>
                  <w:tcW w:w="1387" w:type="dxa"/>
                  <w:vAlign w:val="center"/>
                </w:tcPr>
                <w:p w14:paraId="651F453D">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7BB03503">
                  <w:pPr>
                    <w:pStyle w:val="4"/>
                    <w:spacing w:before="0" w:after="0" w:line="240" w:lineRule="auto"/>
                    <w:jc w:val="center"/>
                    <w:rPr>
                      <w:b w:val="0"/>
                      <w:bCs w:val="0"/>
                      <w:color w:val="auto"/>
                      <w:sz w:val="18"/>
                      <w:szCs w:val="18"/>
                    </w:rPr>
                  </w:pPr>
                </w:p>
              </w:tc>
            </w:tr>
            <w:tr w14:paraId="008346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2DF1CE22">
                  <w:pPr>
                    <w:jc w:val="center"/>
                    <w:rPr>
                      <w:color w:val="auto"/>
                      <w:sz w:val="18"/>
                      <w:szCs w:val="18"/>
                    </w:rPr>
                  </w:pPr>
                </w:p>
              </w:tc>
              <w:tc>
                <w:tcPr>
                  <w:tcW w:w="809" w:type="dxa"/>
                  <w:vMerge w:val="continue"/>
                  <w:vAlign w:val="center"/>
                </w:tcPr>
                <w:p w14:paraId="307DC8B7">
                  <w:pPr>
                    <w:jc w:val="center"/>
                    <w:rPr>
                      <w:snapToGrid w:val="0"/>
                      <w:color w:val="auto"/>
                      <w:sz w:val="18"/>
                      <w:szCs w:val="18"/>
                    </w:rPr>
                  </w:pPr>
                </w:p>
              </w:tc>
              <w:tc>
                <w:tcPr>
                  <w:tcW w:w="1506" w:type="dxa"/>
                  <w:vAlign w:val="center"/>
                </w:tcPr>
                <w:p w14:paraId="6489F091">
                  <w:pPr>
                    <w:jc w:val="center"/>
                    <w:rPr>
                      <w:color w:val="auto"/>
                      <w:sz w:val="18"/>
                      <w:szCs w:val="18"/>
                    </w:rPr>
                  </w:pPr>
                  <w:r>
                    <w:rPr>
                      <w:color w:val="auto"/>
                      <w:sz w:val="18"/>
                      <w:szCs w:val="18"/>
                    </w:rPr>
                    <w:t>氯化铜</w:t>
                  </w:r>
                </w:p>
              </w:tc>
              <w:tc>
                <w:tcPr>
                  <w:tcW w:w="2052" w:type="dxa"/>
                  <w:vAlign w:val="center"/>
                </w:tcPr>
                <w:p w14:paraId="1ADECD95">
                  <w:pPr>
                    <w:jc w:val="center"/>
                    <w:rPr>
                      <w:color w:val="auto"/>
                      <w:sz w:val="18"/>
                      <w:szCs w:val="18"/>
                    </w:rPr>
                  </w:pPr>
                  <w:r>
                    <w:rPr>
                      <w:rFonts w:hint="eastAsia"/>
                      <w:color w:val="auto"/>
                      <w:sz w:val="18"/>
                      <w:szCs w:val="18"/>
                    </w:rPr>
                    <w:t>98.0%，AR</w:t>
                  </w:r>
                  <w:r>
                    <w:rPr>
                      <w:color w:val="auto"/>
                      <w:sz w:val="18"/>
                      <w:szCs w:val="18"/>
                    </w:rPr>
                    <w:t>，</w:t>
                  </w:r>
                  <w:r>
                    <w:rPr>
                      <w:rFonts w:eastAsia="Helvetica"/>
                      <w:color w:val="auto"/>
                      <w:sz w:val="18"/>
                      <w:szCs w:val="18"/>
                      <w:shd w:val="clear" w:color="auto" w:fill="FFFFFF"/>
                    </w:rPr>
                    <w:t>CuCl</w:t>
                  </w:r>
                  <w:r>
                    <w:rPr>
                      <w:rFonts w:eastAsia="Helvetica"/>
                      <w:color w:val="auto"/>
                      <w:sz w:val="18"/>
                      <w:szCs w:val="18"/>
                      <w:shd w:val="clear" w:color="auto" w:fill="FFFFFF"/>
                      <w:vertAlign w:val="subscript"/>
                    </w:rPr>
                    <w:t>2</w:t>
                  </w:r>
                </w:p>
              </w:tc>
              <w:tc>
                <w:tcPr>
                  <w:tcW w:w="762" w:type="dxa"/>
                  <w:vAlign w:val="center"/>
                </w:tcPr>
                <w:p w14:paraId="70819DF9">
                  <w:pPr>
                    <w:jc w:val="center"/>
                    <w:rPr>
                      <w:color w:val="auto"/>
                      <w:sz w:val="18"/>
                      <w:szCs w:val="18"/>
                    </w:rPr>
                  </w:pPr>
                  <w:r>
                    <w:rPr>
                      <w:rFonts w:hint="eastAsia"/>
                      <w:color w:val="auto"/>
                      <w:sz w:val="18"/>
                      <w:szCs w:val="18"/>
                    </w:rPr>
                    <w:t>2</w:t>
                  </w:r>
                </w:p>
              </w:tc>
              <w:tc>
                <w:tcPr>
                  <w:tcW w:w="817" w:type="dxa"/>
                  <w:vAlign w:val="center"/>
                </w:tcPr>
                <w:p w14:paraId="37965949">
                  <w:pPr>
                    <w:jc w:val="center"/>
                    <w:rPr>
                      <w:color w:val="auto"/>
                      <w:sz w:val="18"/>
                      <w:szCs w:val="18"/>
                    </w:rPr>
                  </w:pPr>
                  <w:r>
                    <w:rPr>
                      <w:rFonts w:hint="eastAsia"/>
                      <w:color w:val="auto"/>
                      <w:sz w:val="18"/>
                      <w:szCs w:val="18"/>
                    </w:rPr>
                    <w:t>1</w:t>
                  </w:r>
                </w:p>
              </w:tc>
              <w:tc>
                <w:tcPr>
                  <w:tcW w:w="1387" w:type="dxa"/>
                  <w:vAlign w:val="center"/>
                </w:tcPr>
                <w:p w14:paraId="1DEC1ADE">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05CF65DB">
                  <w:pPr>
                    <w:pStyle w:val="4"/>
                    <w:spacing w:before="0" w:after="0" w:line="240" w:lineRule="auto"/>
                    <w:jc w:val="center"/>
                    <w:rPr>
                      <w:b w:val="0"/>
                      <w:bCs w:val="0"/>
                      <w:color w:val="auto"/>
                      <w:sz w:val="18"/>
                      <w:szCs w:val="18"/>
                    </w:rPr>
                  </w:pPr>
                </w:p>
              </w:tc>
            </w:tr>
            <w:tr w14:paraId="586A38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473AEC3B">
                  <w:pPr>
                    <w:jc w:val="center"/>
                    <w:rPr>
                      <w:color w:val="auto"/>
                      <w:sz w:val="18"/>
                      <w:szCs w:val="18"/>
                    </w:rPr>
                  </w:pPr>
                </w:p>
              </w:tc>
              <w:tc>
                <w:tcPr>
                  <w:tcW w:w="809" w:type="dxa"/>
                  <w:vMerge w:val="continue"/>
                  <w:vAlign w:val="center"/>
                </w:tcPr>
                <w:p w14:paraId="3A8572AB">
                  <w:pPr>
                    <w:jc w:val="center"/>
                    <w:rPr>
                      <w:snapToGrid w:val="0"/>
                      <w:color w:val="auto"/>
                      <w:sz w:val="18"/>
                      <w:szCs w:val="18"/>
                    </w:rPr>
                  </w:pPr>
                </w:p>
              </w:tc>
              <w:tc>
                <w:tcPr>
                  <w:tcW w:w="1506" w:type="dxa"/>
                  <w:vAlign w:val="center"/>
                </w:tcPr>
                <w:p w14:paraId="2C8CEA41">
                  <w:pPr>
                    <w:jc w:val="center"/>
                    <w:rPr>
                      <w:color w:val="auto"/>
                      <w:sz w:val="18"/>
                      <w:szCs w:val="18"/>
                    </w:rPr>
                  </w:pPr>
                  <w:r>
                    <w:rPr>
                      <w:color w:val="auto"/>
                      <w:sz w:val="18"/>
                      <w:szCs w:val="18"/>
                    </w:rPr>
                    <w:t>氯化锌</w:t>
                  </w:r>
                </w:p>
              </w:tc>
              <w:tc>
                <w:tcPr>
                  <w:tcW w:w="2052" w:type="dxa"/>
                  <w:vAlign w:val="center"/>
                </w:tcPr>
                <w:p w14:paraId="35039B2D">
                  <w:pPr>
                    <w:jc w:val="center"/>
                    <w:rPr>
                      <w:color w:val="auto"/>
                      <w:sz w:val="18"/>
                      <w:szCs w:val="18"/>
                    </w:rPr>
                  </w:pPr>
                  <w:r>
                    <w:rPr>
                      <w:rFonts w:hint="eastAsia"/>
                      <w:color w:val="auto"/>
                      <w:sz w:val="18"/>
                      <w:szCs w:val="18"/>
                    </w:rPr>
                    <w:t>99.8%，AR</w:t>
                  </w:r>
                  <w:r>
                    <w:rPr>
                      <w:color w:val="auto"/>
                      <w:sz w:val="18"/>
                      <w:szCs w:val="18"/>
                    </w:rPr>
                    <w:t>，</w:t>
                  </w:r>
                  <w:r>
                    <w:rPr>
                      <w:rFonts w:eastAsia="Helvetica"/>
                      <w:color w:val="auto"/>
                      <w:sz w:val="18"/>
                      <w:szCs w:val="18"/>
                      <w:shd w:val="clear" w:color="auto" w:fill="FFFFFF"/>
                    </w:rPr>
                    <w:t>ZnCl</w:t>
                  </w:r>
                  <w:r>
                    <w:rPr>
                      <w:rFonts w:eastAsia="Helvetica"/>
                      <w:color w:val="auto"/>
                      <w:sz w:val="18"/>
                      <w:szCs w:val="18"/>
                      <w:shd w:val="clear" w:color="auto" w:fill="FFFFFF"/>
                      <w:vertAlign w:val="subscript"/>
                    </w:rPr>
                    <w:t>2</w:t>
                  </w:r>
                </w:p>
              </w:tc>
              <w:tc>
                <w:tcPr>
                  <w:tcW w:w="762" w:type="dxa"/>
                  <w:vAlign w:val="center"/>
                </w:tcPr>
                <w:p w14:paraId="6664E5D6">
                  <w:pPr>
                    <w:jc w:val="center"/>
                    <w:rPr>
                      <w:color w:val="auto"/>
                      <w:sz w:val="18"/>
                      <w:szCs w:val="18"/>
                    </w:rPr>
                  </w:pPr>
                  <w:r>
                    <w:rPr>
                      <w:rFonts w:hint="eastAsia"/>
                      <w:color w:val="auto"/>
                      <w:sz w:val="18"/>
                      <w:szCs w:val="18"/>
                    </w:rPr>
                    <w:t>1</w:t>
                  </w:r>
                </w:p>
              </w:tc>
              <w:tc>
                <w:tcPr>
                  <w:tcW w:w="817" w:type="dxa"/>
                  <w:vAlign w:val="center"/>
                </w:tcPr>
                <w:p w14:paraId="47D23070">
                  <w:pPr>
                    <w:jc w:val="center"/>
                    <w:rPr>
                      <w:color w:val="auto"/>
                      <w:sz w:val="18"/>
                      <w:szCs w:val="18"/>
                    </w:rPr>
                  </w:pPr>
                  <w:r>
                    <w:rPr>
                      <w:rFonts w:hint="eastAsia"/>
                      <w:color w:val="auto"/>
                      <w:sz w:val="18"/>
                      <w:szCs w:val="18"/>
                    </w:rPr>
                    <w:t>0.5</w:t>
                  </w:r>
                </w:p>
              </w:tc>
              <w:tc>
                <w:tcPr>
                  <w:tcW w:w="1387" w:type="dxa"/>
                  <w:vAlign w:val="center"/>
                </w:tcPr>
                <w:p w14:paraId="65990F87">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3BF59BE3">
                  <w:pPr>
                    <w:pStyle w:val="4"/>
                    <w:spacing w:before="0" w:after="0" w:line="240" w:lineRule="auto"/>
                    <w:jc w:val="center"/>
                    <w:rPr>
                      <w:b w:val="0"/>
                      <w:bCs w:val="0"/>
                      <w:color w:val="auto"/>
                      <w:sz w:val="18"/>
                      <w:szCs w:val="18"/>
                    </w:rPr>
                  </w:pPr>
                </w:p>
              </w:tc>
            </w:tr>
            <w:tr w14:paraId="24E7C9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7DFC881F">
                  <w:pPr>
                    <w:jc w:val="center"/>
                    <w:rPr>
                      <w:color w:val="auto"/>
                      <w:sz w:val="18"/>
                      <w:szCs w:val="18"/>
                    </w:rPr>
                  </w:pPr>
                </w:p>
              </w:tc>
              <w:tc>
                <w:tcPr>
                  <w:tcW w:w="809" w:type="dxa"/>
                  <w:vMerge w:val="continue"/>
                  <w:vAlign w:val="center"/>
                </w:tcPr>
                <w:p w14:paraId="5BFF1927">
                  <w:pPr>
                    <w:jc w:val="center"/>
                    <w:rPr>
                      <w:snapToGrid w:val="0"/>
                      <w:color w:val="auto"/>
                      <w:sz w:val="18"/>
                      <w:szCs w:val="18"/>
                    </w:rPr>
                  </w:pPr>
                </w:p>
              </w:tc>
              <w:tc>
                <w:tcPr>
                  <w:tcW w:w="1506" w:type="dxa"/>
                  <w:vAlign w:val="center"/>
                </w:tcPr>
                <w:p w14:paraId="6474CBCD">
                  <w:pPr>
                    <w:jc w:val="center"/>
                    <w:rPr>
                      <w:color w:val="auto"/>
                      <w:sz w:val="18"/>
                      <w:szCs w:val="18"/>
                    </w:rPr>
                  </w:pPr>
                  <w:r>
                    <w:rPr>
                      <w:rFonts w:hint="eastAsia"/>
                      <w:color w:val="auto"/>
                      <w:sz w:val="18"/>
                      <w:szCs w:val="18"/>
                    </w:rPr>
                    <w:t>硫酸镍</w:t>
                  </w:r>
                </w:p>
              </w:tc>
              <w:tc>
                <w:tcPr>
                  <w:tcW w:w="2052" w:type="dxa"/>
                  <w:vAlign w:val="center"/>
                </w:tcPr>
                <w:p w14:paraId="6FBB611E">
                  <w:pPr>
                    <w:jc w:val="center"/>
                    <w:rPr>
                      <w:color w:val="auto"/>
                      <w:sz w:val="18"/>
                      <w:szCs w:val="18"/>
                    </w:rPr>
                  </w:pPr>
                  <w:r>
                    <w:rPr>
                      <w:rFonts w:hint="eastAsia"/>
                      <w:color w:val="auto"/>
                      <w:sz w:val="18"/>
                      <w:szCs w:val="18"/>
                    </w:rPr>
                    <w:t>98.5%，AR</w:t>
                  </w:r>
                  <w:r>
                    <w:rPr>
                      <w:color w:val="auto"/>
                      <w:sz w:val="18"/>
                      <w:szCs w:val="18"/>
                    </w:rPr>
                    <w:t>，</w:t>
                  </w:r>
                  <w:r>
                    <w:rPr>
                      <w:rFonts w:eastAsia="Helvetica"/>
                      <w:color w:val="auto"/>
                      <w:sz w:val="18"/>
                      <w:szCs w:val="18"/>
                      <w:shd w:val="clear" w:color="auto" w:fill="FFFFFF"/>
                    </w:rPr>
                    <w:t>NiSO</w:t>
                  </w:r>
                  <w:r>
                    <w:rPr>
                      <w:rFonts w:eastAsia="Helvetica"/>
                      <w:color w:val="auto"/>
                      <w:sz w:val="18"/>
                      <w:szCs w:val="18"/>
                      <w:shd w:val="clear" w:color="auto" w:fill="FFFFFF"/>
                      <w:vertAlign w:val="subscript"/>
                    </w:rPr>
                    <w:t>4</w:t>
                  </w:r>
                </w:p>
              </w:tc>
              <w:tc>
                <w:tcPr>
                  <w:tcW w:w="762" w:type="dxa"/>
                  <w:vAlign w:val="center"/>
                </w:tcPr>
                <w:p w14:paraId="0289C073">
                  <w:pPr>
                    <w:jc w:val="center"/>
                    <w:rPr>
                      <w:color w:val="auto"/>
                      <w:sz w:val="18"/>
                      <w:szCs w:val="18"/>
                    </w:rPr>
                  </w:pPr>
                  <w:r>
                    <w:rPr>
                      <w:rFonts w:hint="eastAsia"/>
                      <w:color w:val="auto"/>
                      <w:sz w:val="18"/>
                      <w:szCs w:val="18"/>
                    </w:rPr>
                    <w:t>2</w:t>
                  </w:r>
                </w:p>
              </w:tc>
              <w:tc>
                <w:tcPr>
                  <w:tcW w:w="817" w:type="dxa"/>
                  <w:vAlign w:val="center"/>
                </w:tcPr>
                <w:p w14:paraId="79A8BBB0">
                  <w:pPr>
                    <w:jc w:val="center"/>
                    <w:rPr>
                      <w:color w:val="auto"/>
                      <w:sz w:val="18"/>
                      <w:szCs w:val="18"/>
                    </w:rPr>
                  </w:pPr>
                  <w:r>
                    <w:rPr>
                      <w:rFonts w:hint="eastAsia"/>
                      <w:color w:val="auto"/>
                      <w:sz w:val="18"/>
                      <w:szCs w:val="18"/>
                    </w:rPr>
                    <w:t>1</w:t>
                  </w:r>
                </w:p>
              </w:tc>
              <w:tc>
                <w:tcPr>
                  <w:tcW w:w="1387" w:type="dxa"/>
                  <w:vAlign w:val="center"/>
                </w:tcPr>
                <w:p w14:paraId="59354CD1">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6CD0E4D6">
                  <w:pPr>
                    <w:pStyle w:val="4"/>
                    <w:spacing w:before="0" w:after="0" w:line="240" w:lineRule="auto"/>
                    <w:jc w:val="center"/>
                    <w:rPr>
                      <w:b w:val="0"/>
                      <w:bCs w:val="0"/>
                      <w:color w:val="auto"/>
                      <w:sz w:val="18"/>
                      <w:szCs w:val="18"/>
                    </w:rPr>
                  </w:pPr>
                </w:p>
              </w:tc>
            </w:tr>
            <w:tr w14:paraId="74FA78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6B31977D">
                  <w:pPr>
                    <w:jc w:val="center"/>
                    <w:rPr>
                      <w:color w:val="auto"/>
                      <w:sz w:val="18"/>
                      <w:szCs w:val="18"/>
                    </w:rPr>
                  </w:pPr>
                </w:p>
              </w:tc>
              <w:tc>
                <w:tcPr>
                  <w:tcW w:w="809" w:type="dxa"/>
                  <w:vMerge w:val="continue"/>
                  <w:vAlign w:val="center"/>
                </w:tcPr>
                <w:p w14:paraId="688D90D7">
                  <w:pPr>
                    <w:jc w:val="center"/>
                    <w:rPr>
                      <w:snapToGrid w:val="0"/>
                      <w:color w:val="auto"/>
                      <w:sz w:val="18"/>
                      <w:szCs w:val="18"/>
                    </w:rPr>
                  </w:pPr>
                </w:p>
              </w:tc>
              <w:tc>
                <w:tcPr>
                  <w:tcW w:w="1506" w:type="dxa"/>
                  <w:vAlign w:val="center"/>
                </w:tcPr>
                <w:p w14:paraId="19FA80D1">
                  <w:pPr>
                    <w:jc w:val="center"/>
                    <w:rPr>
                      <w:color w:val="auto"/>
                      <w:sz w:val="18"/>
                      <w:szCs w:val="18"/>
                    </w:rPr>
                  </w:pPr>
                  <w:r>
                    <w:rPr>
                      <w:rFonts w:hint="eastAsia"/>
                      <w:color w:val="auto"/>
                      <w:sz w:val="18"/>
                      <w:szCs w:val="18"/>
                    </w:rPr>
                    <w:t>硫酸铅</w:t>
                  </w:r>
                </w:p>
              </w:tc>
              <w:tc>
                <w:tcPr>
                  <w:tcW w:w="2052" w:type="dxa"/>
                  <w:vAlign w:val="center"/>
                </w:tcPr>
                <w:p w14:paraId="3A2C9D4E">
                  <w:pPr>
                    <w:jc w:val="center"/>
                    <w:rPr>
                      <w:color w:val="auto"/>
                      <w:sz w:val="18"/>
                      <w:szCs w:val="18"/>
                    </w:rPr>
                  </w:pPr>
                  <w:r>
                    <w:rPr>
                      <w:rFonts w:hint="eastAsia"/>
                      <w:color w:val="auto"/>
                      <w:sz w:val="18"/>
                      <w:szCs w:val="18"/>
                    </w:rPr>
                    <w:t>99.0%，AR</w:t>
                  </w:r>
                  <w:r>
                    <w:rPr>
                      <w:color w:val="auto"/>
                      <w:sz w:val="18"/>
                      <w:szCs w:val="18"/>
                    </w:rPr>
                    <w:t>，</w:t>
                  </w:r>
                  <w:r>
                    <w:rPr>
                      <w:rFonts w:eastAsia="Helvetica"/>
                      <w:color w:val="auto"/>
                      <w:sz w:val="18"/>
                      <w:szCs w:val="18"/>
                      <w:shd w:val="clear" w:color="auto" w:fill="FFFFFF"/>
                    </w:rPr>
                    <w:t>PbSO</w:t>
                  </w:r>
                  <w:r>
                    <w:rPr>
                      <w:rFonts w:eastAsia="Helvetica"/>
                      <w:color w:val="auto"/>
                      <w:sz w:val="18"/>
                      <w:szCs w:val="18"/>
                      <w:shd w:val="clear" w:color="auto" w:fill="FFFFFF"/>
                      <w:vertAlign w:val="subscript"/>
                    </w:rPr>
                    <w:t>4</w:t>
                  </w:r>
                </w:p>
              </w:tc>
              <w:tc>
                <w:tcPr>
                  <w:tcW w:w="762" w:type="dxa"/>
                  <w:vAlign w:val="center"/>
                </w:tcPr>
                <w:p w14:paraId="5C9B88D5">
                  <w:pPr>
                    <w:jc w:val="center"/>
                    <w:rPr>
                      <w:color w:val="auto"/>
                      <w:sz w:val="18"/>
                      <w:szCs w:val="18"/>
                    </w:rPr>
                  </w:pPr>
                  <w:r>
                    <w:rPr>
                      <w:rFonts w:hint="eastAsia"/>
                      <w:color w:val="auto"/>
                      <w:sz w:val="18"/>
                      <w:szCs w:val="18"/>
                    </w:rPr>
                    <w:t>1</w:t>
                  </w:r>
                </w:p>
              </w:tc>
              <w:tc>
                <w:tcPr>
                  <w:tcW w:w="817" w:type="dxa"/>
                  <w:vAlign w:val="center"/>
                </w:tcPr>
                <w:p w14:paraId="55DD48DE">
                  <w:pPr>
                    <w:jc w:val="center"/>
                    <w:rPr>
                      <w:color w:val="auto"/>
                      <w:sz w:val="18"/>
                      <w:szCs w:val="18"/>
                    </w:rPr>
                  </w:pPr>
                  <w:r>
                    <w:rPr>
                      <w:rFonts w:hint="eastAsia"/>
                      <w:color w:val="auto"/>
                      <w:sz w:val="18"/>
                      <w:szCs w:val="18"/>
                    </w:rPr>
                    <w:t>0.5</w:t>
                  </w:r>
                </w:p>
              </w:tc>
              <w:tc>
                <w:tcPr>
                  <w:tcW w:w="1387" w:type="dxa"/>
                  <w:vAlign w:val="center"/>
                </w:tcPr>
                <w:p w14:paraId="25413F4C">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5326077F">
                  <w:pPr>
                    <w:pStyle w:val="4"/>
                    <w:spacing w:before="0" w:after="0" w:line="240" w:lineRule="auto"/>
                    <w:jc w:val="center"/>
                    <w:rPr>
                      <w:b w:val="0"/>
                      <w:bCs w:val="0"/>
                      <w:color w:val="auto"/>
                      <w:sz w:val="18"/>
                      <w:szCs w:val="18"/>
                    </w:rPr>
                  </w:pPr>
                </w:p>
              </w:tc>
            </w:tr>
            <w:tr w14:paraId="2396BB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47EE3093">
                  <w:pPr>
                    <w:jc w:val="center"/>
                    <w:rPr>
                      <w:color w:val="auto"/>
                      <w:sz w:val="18"/>
                      <w:szCs w:val="18"/>
                    </w:rPr>
                  </w:pPr>
                </w:p>
              </w:tc>
              <w:tc>
                <w:tcPr>
                  <w:tcW w:w="809" w:type="dxa"/>
                  <w:vMerge w:val="continue"/>
                  <w:vAlign w:val="center"/>
                </w:tcPr>
                <w:p w14:paraId="17CA6254">
                  <w:pPr>
                    <w:jc w:val="center"/>
                    <w:rPr>
                      <w:snapToGrid w:val="0"/>
                      <w:color w:val="auto"/>
                      <w:sz w:val="18"/>
                      <w:szCs w:val="18"/>
                    </w:rPr>
                  </w:pPr>
                </w:p>
              </w:tc>
              <w:tc>
                <w:tcPr>
                  <w:tcW w:w="1506" w:type="dxa"/>
                  <w:vAlign w:val="center"/>
                </w:tcPr>
                <w:p w14:paraId="4A2AEBB5">
                  <w:pPr>
                    <w:jc w:val="center"/>
                    <w:rPr>
                      <w:color w:val="auto"/>
                      <w:sz w:val="18"/>
                      <w:szCs w:val="18"/>
                    </w:rPr>
                  </w:pPr>
                  <w:r>
                    <w:rPr>
                      <w:rFonts w:hint="eastAsia"/>
                      <w:color w:val="auto"/>
                      <w:sz w:val="18"/>
                      <w:szCs w:val="18"/>
                    </w:rPr>
                    <w:t>硫酸锰</w:t>
                  </w:r>
                </w:p>
              </w:tc>
              <w:tc>
                <w:tcPr>
                  <w:tcW w:w="2052" w:type="dxa"/>
                  <w:vAlign w:val="center"/>
                </w:tcPr>
                <w:p w14:paraId="6BA16B9F">
                  <w:pPr>
                    <w:jc w:val="center"/>
                    <w:rPr>
                      <w:color w:val="auto"/>
                      <w:sz w:val="18"/>
                      <w:szCs w:val="18"/>
                    </w:rPr>
                  </w:pPr>
                  <w:r>
                    <w:rPr>
                      <w:rFonts w:hint="eastAsia"/>
                      <w:color w:val="auto"/>
                      <w:sz w:val="18"/>
                      <w:szCs w:val="18"/>
                    </w:rPr>
                    <w:t>99.0%，AR</w:t>
                  </w:r>
                  <w:r>
                    <w:rPr>
                      <w:color w:val="auto"/>
                      <w:sz w:val="18"/>
                      <w:szCs w:val="18"/>
                    </w:rPr>
                    <w:t>，</w:t>
                  </w:r>
                  <w:r>
                    <w:rPr>
                      <w:rFonts w:eastAsia="Helvetica"/>
                      <w:color w:val="auto"/>
                      <w:sz w:val="18"/>
                      <w:szCs w:val="18"/>
                      <w:shd w:val="clear" w:color="auto" w:fill="FFFFFF"/>
                    </w:rPr>
                    <w:t>MnSO</w:t>
                  </w:r>
                  <w:r>
                    <w:rPr>
                      <w:rFonts w:eastAsia="Helvetica"/>
                      <w:color w:val="auto"/>
                      <w:sz w:val="18"/>
                      <w:szCs w:val="18"/>
                      <w:shd w:val="clear" w:color="auto" w:fill="FFFFFF"/>
                      <w:vertAlign w:val="subscript"/>
                    </w:rPr>
                    <w:t>4</w:t>
                  </w:r>
                </w:p>
              </w:tc>
              <w:tc>
                <w:tcPr>
                  <w:tcW w:w="762" w:type="dxa"/>
                  <w:vAlign w:val="center"/>
                </w:tcPr>
                <w:p w14:paraId="2AAAB00B">
                  <w:pPr>
                    <w:jc w:val="center"/>
                    <w:rPr>
                      <w:color w:val="auto"/>
                      <w:sz w:val="18"/>
                      <w:szCs w:val="18"/>
                    </w:rPr>
                  </w:pPr>
                  <w:r>
                    <w:rPr>
                      <w:rFonts w:hint="eastAsia"/>
                      <w:color w:val="auto"/>
                      <w:sz w:val="18"/>
                      <w:szCs w:val="18"/>
                    </w:rPr>
                    <w:t>1</w:t>
                  </w:r>
                </w:p>
              </w:tc>
              <w:tc>
                <w:tcPr>
                  <w:tcW w:w="817" w:type="dxa"/>
                  <w:vAlign w:val="center"/>
                </w:tcPr>
                <w:p w14:paraId="71306471">
                  <w:pPr>
                    <w:jc w:val="center"/>
                    <w:rPr>
                      <w:color w:val="auto"/>
                      <w:sz w:val="18"/>
                      <w:szCs w:val="18"/>
                    </w:rPr>
                  </w:pPr>
                  <w:r>
                    <w:rPr>
                      <w:rFonts w:hint="eastAsia"/>
                      <w:color w:val="auto"/>
                      <w:sz w:val="18"/>
                      <w:szCs w:val="18"/>
                    </w:rPr>
                    <w:t>0.5</w:t>
                  </w:r>
                </w:p>
              </w:tc>
              <w:tc>
                <w:tcPr>
                  <w:tcW w:w="1387" w:type="dxa"/>
                  <w:vAlign w:val="center"/>
                </w:tcPr>
                <w:p w14:paraId="688A4A12">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1C487AAB">
                  <w:pPr>
                    <w:pStyle w:val="4"/>
                    <w:spacing w:before="0" w:after="0" w:line="240" w:lineRule="auto"/>
                    <w:jc w:val="center"/>
                    <w:rPr>
                      <w:b w:val="0"/>
                      <w:bCs w:val="0"/>
                      <w:color w:val="auto"/>
                      <w:sz w:val="18"/>
                      <w:szCs w:val="18"/>
                    </w:rPr>
                  </w:pPr>
                </w:p>
              </w:tc>
            </w:tr>
            <w:tr w14:paraId="349BA8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69" w:type="dxa"/>
                  <w:vMerge w:val="continue"/>
                  <w:vAlign w:val="center"/>
                </w:tcPr>
                <w:p w14:paraId="68ABAA1A">
                  <w:pPr>
                    <w:jc w:val="center"/>
                    <w:rPr>
                      <w:color w:val="auto"/>
                      <w:sz w:val="18"/>
                      <w:szCs w:val="18"/>
                    </w:rPr>
                  </w:pPr>
                </w:p>
              </w:tc>
              <w:tc>
                <w:tcPr>
                  <w:tcW w:w="809" w:type="dxa"/>
                  <w:vMerge w:val="continue"/>
                  <w:vAlign w:val="center"/>
                </w:tcPr>
                <w:p w14:paraId="1CA98CC0">
                  <w:pPr>
                    <w:jc w:val="center"/>
                    <w:rPr>
                      <w:snapToGrid w:val="0"/>
                      <w:color w:val="auto"/>
                      <w:sz w:val="18"/>
                      <w:szCs w:val="18"/>
                    </w:rPr>
                  </w:pPr>
                </w:p>
              </w:tc>
              <w:tc>
                <w:tcPr>
                  <w:tcW w:w="1506" w:type="dxa"/>
                  <w:vAlign w:val="center"/>
                </w:tcPr>
                <w:p w14:paraId="2F896B68">
                  <w:pPr>
                    <w:jc w:val="center"/>
                    <w:rPr>
                      <w:color w:val="auto"/>
                      <w:sz w:val="18"/>
                      <w:szCs w:val="18"/>
                    </w:rPr>
                  </w:pPr>
                  <w:r>
                    <w:rPr>
                      <w:color w:val="auto"/>
                      <w:sz w:val="18"/>
                      <w:szCs w:val="18"/>
                    </w:rPr>
                    <w:t>硫酸镁</w:t>
                  </w:r>
                </w:p>
              </w:tc>
              <w:tc>
                <w:tcPr>
                  <w:tcW w:w="2052" w:type="dxa"/>
                  <w:vAlign w:val="center"/>
                </w:tcPr>
                <w:p w14:paraId="45EA3D76">
                  <w:pPr>
                    <w:jc w:val="center"/>
                    <w:rPr>
                      <w:color w:val="auto"/>
                      <w:sz w:val="18"/>
                      <w:szCs w:val="18"/>
                    </w:rPr>
                  </w:pPr>
                  <w:r>
                    <w:rPr>
                      <w:rFonts w:hint="eastAsia"/>
                      <w:color w:val="auto"/>
                      <w:sz w:val="18"/>
                      <w:szCs w:val="18"/>
                    </w:rPr>
                    <w:t>99.0%，AR</w:t>
                  </w:r>
                  <w:r>
                    <w:rPr>
                      <w:color w:val="auto"/>
                      <w:sz w:val="18"/>
                      <w:szCs w:val="18"/>
                    </w:rPr>
                    <w:t>，</w:t>
                  </w:r>
                  <w:r>
                    <w:rPr>
                      <w:rFonts w:eastAsia="Helvetica"/>
                      <w:color w:val="auto"/>
                      <w:sz w:val="18"/>
                      <w:szCs w:val="18"/>
                      <w:shd w:val="clear" w:color="auto" w:fill="F5F5F5"/>
                    </w:rPr>
                    <w:t>MgSO</w:t>
                  </w:r>
                  <w:r>
                    <w:rPr>
                      <w:rFonts w:eastAsia="Helvetica"/>
                      <w:color w:val="auto"/>
                      <w:sz w:val="18"/>
                      <w:szCs w:val="18"/>
                      <w:shd w:val="clear" w:color="auto" w:fill="F5F5F5"/>
                      <w:vertAlign w:val="subscript"/>
                    </w:rPr>
                    <w:t>4</w:t>
                  </w:r>
                </w:p>
              </w:tc>
              <w:tc>
                <w:tcPr>
                  <w:tcW w:w="762" w:type="dxa"/>
                  <w:vAlign w:val="center"/>
                </w:tcPr>
                <w:p w14:paraId="4644B90D">
                  <w:pPr>
                    <w:jc w:val="center"/>
                    <w:rPr>
                      <w:color w:val="auto"/>
                      <w:sz w:val="18"/>
                      <w:szCs w:val="18"/>
                    </w:rPr>
                  </w:pPr>
                  <w:r>
                    <w:rPr>
                      <w:rFonts w:hint="eastAsia"/>
                      <w:color w:val="auto"/>
                      <w:sz w:val="18"/>
                      <w:szCs w:val="18"/>
                    </w:rPr>
                    <w:t>2</w:t>
                  </w:r>
                </w:p>
              </w:tc>
              <w:tc>
                <w:tcPr>
                  <w:tcW w:w="817" w:type="dxa"/>
                  <w:vAlign w:val="center"/>
                </w:tcPr>
                <w:p w14:paraId="557BF1C0">
                  <w:pPr>
                    <w:jc w:val="center"/>
                    <w:rPr>
                      <w:color w:val="auto"/>
                      <w:sz w:val="18"/>
                      <w:szCs w:val="18"/>
                    </w:rPr>
                  </w:pPr>
                  <w:r>
                    <w:rPr>
                      <w:rFonts w:hint="eastAsia"/>
                      <w:color w:val="auto"/>
                      <w:sz w:val="18"/>
                      <w:szCs w:val="18"/>
                    </w:rPr>
                    <w:t>1</w:t>
                  </w:r>
                </w:p>
              </w:tc>
              <w:tc>
                <w:tcPr>
                  <w:tcW w:w="1387" w:type="dxa"/>
                  <w:vAlign w:val="center"/>
                </w:tcPr>
                <w:p w14:paraId="0EF63E47">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17BFD002">
                  <w:pPr>
                    <w:pStyle w:val="4"/>
                    <w:spacing w:before="0" w:after="0" w:line="240" w:lineRule="auto"/>
                    <w:jc w:val="center"/>
                    <w:rPr>
                      <w:b w:val="0"/>
                      <w:bCs w:val="0"/>
                      <w:color w:val="auto"/>
                      <w:sz w:val="18"/>
                      <w:szCs w:val="18"/>
                    </w:rPr>
                  </w:pPr>
                </w:p>
              </w:tc>
            </w:tr>
            <w:tr w14:paraId="52D501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52A10267">
                  <w:pPr>
                    <w:jc w:val="center"/>
                    <w:rPr>
                      <w:color w:val="auto"/>
                      <w:sz w:val="18"/>
                      <w:szCs w:val="18"/>
                    </w:rPr>
                  </w:pPr>
                </w:p>
              </w:tc>
              <w:tc>
                <w:tcPr>
                  <w:tcW w:w="809" w:type="dxa"/>
                  <w:vMerge w:val="continue"/>
                  <w:vAlign w:val="center"/>
                </w:tcPr>
                <w:p w14:paraId="05E60210">
                  <w:pPr>
                    <w:jc w:val="center"/>
                    <w:rPr>
                      <w:snapToGrid w:val="0"/>
                      <w:color w:val="auto"/>
                      <w:sz w:val="18"/>
                      <w:szCs w:val="18"/>
                    </w:rPr>
                  </w:pPr>
                </w:p>
              </w:tc>
              <w:tc>
                <w:tcPr>
                  <w:tcW w:w="1506" w:type="dxa"/>
                  <w:vAlign w:val="center"/>
                </w:tcPr>
                <w:p w14:paraId="63E9CEB7">
                  <w:pPr>
                    <w:jc w:val="center"/>
                    <w:rPr>
                      <w:color w:val="auto"/>
                      <w:sz w:val="18"/>
                      <w:szCs w:val="18"/>
                    </w:rPr>
                  </w:pPr>
                  <w:r>
                    <w:rPr>
                      <w:color w:val="auto"/>
                      <w:sz w:val="18"/>
                      <w:szCs w:val="18"/>
                    </w:rPr>
                    <w:t>硫酸铈</w:t>
                  </w:r>
                </w:p>
              </w:tc>
              <w:tc>
                <w:tcPr>
                  <w:tcW w:w="2052" w:type="dxa"/>
                  <w:vAlign w:val="center"/>
                </w:tcPr>
                <w:p w14:paraId="1BAC3772">
                  <w:pPr>
                    <w:jc w:val="center"/>
                    <w:rPr>
                      <w:color w:val="auto"/>
                      <w:sz w:val="18"/>
                      <w:szCs w:val="18"/>
                    </w:rPr>
                  </w:pPr>
                  <w:r>
                    <w:rPr>
                      <w:rFonts w:hint="eastAsia"/>
                      <w:color w:val="auto"/>
                      <w:sz w:val="18"/>
                      <w:szCs w:val="18"/>
                    </w:rPr>
                    <w:t>98.0%，AR</w:t>
                  </w:r>
                  <w:r>
                    <w:rPr>
                      <w:color w:val="auto"/>
                      <w:sz w:val="18"/>
                      <w:szCs w:val="18"/>
                    </w:rPr>
                    <w:t>，</w:t>
                  </w:r>
                  <w:r>
                    <w:rPr>
                      <w:rFonts w:eastAsia="Helvetica"/>
                      <w:color w:val="auto"/>
                      <w:sz w:val="18"/>
                      <w:szCs w:val="18"/>
                      <w:shd w:val="clear" w:color="auto" w:fill="FFFFFF"/>
                    </w:rPr>
                    <w:t>Ce</w:t>
                  </w:r>
                  <w:r>
                    <w:rPr>
                      <w:rFonts w:eastAsia="Helvetica"/>
                      <w:color w:val="auto"/>
                      <w:sz w:val="18"/>
                      <w:szCs w:val="18"/>
                      <w:shd w:val="clear" w:color="auto" w:fill="FFFFFF"/>
                      <w:vertAlign w:val="subscript"/>
                    </w:rPr>
                    <w:t>2</w:t>
                  </w:r>
                  <w:r>
                    <w:rPr>
                      <w:rFonts w:eastAsia="Helvetica"/>
                      <w:color w:val="auto"/>
                      <w:sz w:val="18"/>
                      <w:szCs w:val="18"/>
                      <w:shd w:val="clear" w:color="auto" w:fill="FFFFFF"/>
                    </w:rPr>
                    <w:t>(SO</w:t>
                  </w:r>
                  <w:r>
                    <w:rPr>
                      <w:rFonts w:eastAsia="Helvetica"/>
                      <w:color w:val="auto"/>
                      <w:sz w:val="18"/>
                      <w:szCs w:val="18"/>
                      <w:shd w:val="clear" w:color="auto" w:fill="FFFFFF"/>
                      <w:vertAlign w:val="subscript"/>
                    </w:rPr>
                    <w:t>4</w:t>
                  </w:r>
                  <w:r>
                    <w:rPr>
                      <w:rFonts w:eastAsia="Helvetica"/>
                      <w:color w:val="auto"/>
                      <w:sz w:val="18"/>
                      <w:szCs w:val="18"/>
                      <w:shd w:val="clear" w:color="auto" w:fill="FFFFFF"/>
                    </w:rPr>
                    <w:t>)</w:t>
                  </w:r>
                  <w:r>
                    <w:rPr>
                      <w:rFonts w:eastAsia="Helvetica"/>
                      <w:color w:val="auto"/>
                      <w:sz w:val="18"/>
                      <w:szCs w:val="18"/>
                      <w:shd w:val="clear" w:color="auto" w:fill="FFFFFF"/>
                      <w:vertAlign w:val="subscript"/>
                    </w:rPr>
                    <w:t>3</w:t>
                  </w:r>
                </w:p>
              </w:tc>
              <w:tc>
                <w:tcPr>
                  <w:tcW w:w="762" w:type="dxa"/>
                  <w:vAlign w:val="center"/>
                </w:tcPr>
                <w:p w14:paraId="38D7D8A5">
                  <w:pPr>
                    <w:jc w:val="center"/>
                    <w:rPr>
                      <w:color w:val="auto"/>
                      <w:sz w:val="18"/>
                      <w:szCs w:val="18"/>
                    </w:rPr>
                  </w:pPr>
                  <w:r>
                    <w:rPr>
                      <w:rFonts w:hint="eastAsia"/>
                      <w:color w:val="auto"/>
                      <w:sz w:val="18"/>
                      <w:szCs w:val="18"/>
                    </w:rPr>
                    <w:t>0.5</w:t>
                  </w:r>
                </w:p>
              </w:tc>
              <w:tc>
                <w:tcPr>
                  <w:tcW w:w="817" w:type="dxa"/>
                  <w:vAlign w:val="center"/>
                </w:tcPr>
                <w:p w14:paraId="4B9F0FAD">
                  <w:pPr>
                    <w:jc w:val="center"/>
                    <w:rPr>
                      <w:color w:val="auto"/>
                      <w:sz w:val="18"/>
                      <w:szCs w:val="18"/>
                    </w:rPr>
                  </w:pPr>
                  <w:r>
                    <w:rPr>
                      <w:rFonts w:hint="eastAsia"/>
                      <w:color w:val="auto"/>
                      <w:sz w:val="18"/>
                      <w:szCs w:val="18"/>
                    </w:rPr>
                    <w:t>0.5</w:t>
                  </w:r>
                </w:p>
              </w:tc>
              <w:tc>
                <w:tcPr>
                  <w:tcW w:w="1387" w:type="dxa"/>
                  <w:vAlign w:val="center"/>
                </w:tcPr>
                <w:p w14:paraId="3029429B">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39ECF738">
                  <w:pPr>
                    <w:pStyle w:val="4"/>
                    <w:spacing w:before="0" w:after="0" w:line="240" w:lineRule="auto"/>
                    <w:jc w:val="center"/>
                    <w:rPr>
                      <w:b w:val="0"/>
                      <w:bCs w:val="0"/>
                      <w:color w:val="auto"/>
                      <w:sz w:val="18"/>
                      <w:szCs w:val="18"/>
                    </w:rPr>
                  </w:pPr>
                </w:p>
              </w:tc>
            </w:tr>
            <w:tr w14:paraId="35089A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5096242B">
                  <w:pPr>
                    <w:jc w:val="center"/>
                    <w:rPr>
                      <w:color w:val="auto"/>
                      <w:sz w:val="18"/>
                      <w:szCs w:val="18"/>
                    </w:rPr>
                  </w:pPr>
                </w:p>
              </w:tc>
              <w:tc>
                <w:tcPr>
                  <w:tcW w:w="809" w:type="dxa"/>
                  <w:vMerge w:val="continue"/>
                  <w:vAlign w:val="center"/>
                </w:tcPr>
                <w:p w14:paraId="2AF6544C">
                  <w:pPr>
                    <w:jc w:val="center"/>
                    <w:rPr>
                      <w:snapToGrid w:val="0"/>
                      <w:color w:val="auto"/>
                      <w:sz w:val="18"/>
                      <w:szCs w:val="18"/>
                    </w:rPr>
                  </w:pPr>
                </w:p>
              </w:tc>
              <w:tc>
                <w:tcPr>
                  <w:tcW w:w="1506" w:type="dxa"/>
                  <w:vAlign w:val="center"/>
                </w:tcPr>
                <w:p w14:paraId="470CB6CF">
                  <w:pPr>
                    <w:jc w:val="center"/>
                    <w:rPr>
                      <w:color w:val="auto"/>
                      <w:sz w:val="18"/>
                      <w:szCs w:val="18"/>
                    </w:rPr>
                  </w:pPr>
                  <w:r>
                    <w:rPr>
                      <w:rFonts w:hint="eastAsia"/>
                      <w:color w:val="auto"/>
                      <w:sz w:val="18"/>
                      <w:szCs w:val="18"/>
                    </w:rPr>
                    <w:t>硝酸铬</w:t>
                  </w:r>
                </w:p>
              </w:tc>
              <w:tc>
                <w:tcPr>
                  <w:tcW w:w="2052" w:type="dxa"/>
                  <w:vAlign w:val="center"/>
                </w:tcPr>
                <w:p w14:paraId="4DCDFCD0">
                  <w:pPr>
                    <w:jc w:val="center"/>
                    <w:rPr>
                      <w:color w:val="auto"/>
                      <w:sz w:val="18"/>
                      <w:szCs w:val="18"/>
                    </w:rPr>
                  </w:pPr>
                  <w:r>
                    <w:rPr>
                      <w:rFonts w:hint="eastAsia"/>
                      <w:color w:val="auto"/>
                      <w:sz w:val="18"/>
                      <w:szCs w:val="18"/>
                    </w:rPr>
                    <w:t>99.0%，AR</w:t>
                  </w:r>
                  <w:r>
                    <w:rPr>
                      <w:color w:val="auto"/>
                      <w:sz w:val="18"/>
                      <w:szCs w:val="18"/>
                    </w:rPr>
                    <w:t>，</w:t>
                  </w:r>
                  <w:r>
                    <w:rPr>
                      <w:rFonts w:eastAsia="Helvetica"/>
                      <w:color w:val="auto"/>
                      <w:sz w:val="18"/>
                      <w:szCs w:val="18"/>
                      <w:shd w:val="clear" w:color="auto" w:fill="FFFFFF"/>
                    </w:rPr>
                    <w:t>Cr(NO</w:t>
                  </w:r>
                  <w:r>
                    <w:rPr>
                      <w:rFonts w:eastAsia="Helvetica"/>
                      <w:color w:val="auto"/>
                      <w:sz w:val="18"/>
                      <w:szCs w:val="18"/>
                      <w:shd w:val="clear" w:color="auto" w:fill="FFFFFF"/>
                      <w:vertAlign w:val="subscript"/>
                    </w:rPr>
                    <w:t>3</w:t>
                  </w:r>
                  <w:r>
                    <w:rPr>
                      <w:rFonts w:eastAsia="Helvetica"/>
                      <w:color w:val="auto"/>
                      <w:sz w:val="18"/>
                      <w:szCs w:val="18"/>
                      <w:shd w:val="clear" w:color="auto" w:fill="FFFFFF"/>
                    </w:rPr>
                    <w:t>)</w:t>
                  </w:r>
                  <w:r>
                    <w:rPr>
                      <w:rFonts w:eastAsia="Helvetica"/>
                      <w:color w:val="auto"/>
                      <w:sz w:val="18"/>
                      <w:szCs w:val="18"/>
                      <w:shd w:val="clear" w:color="auto" w:fill="FFFFFF"/>
                      <w:vertAlign w:val="subscript"/>
                    </w:rPr>
                    <w:t>3</w:t>
                  </w:r>
                </w:p>
              </w:tc>
              <w:tc>
                <w:tcPr>
                  <w:tcW w:w="762" w:type="dxa"/>
                  <w:vAlign w:val="center"/>
                </w:tcPr>
                <w:p w14:paraId="72689AB1">
                  <w:pPr>
                    <w:jc w:val="center"/>
                    <w:rPr>
                      <w:color w:val="auto"/>
                      <w:sz w:val="18"/>
                      <w:szCs w:val="18"/>
                    </w:rPr>
                  </w:pPr>
                  <w:r>
                    <w:rPr>
                      <w:rFonts w:hint="eastAsia"/>
                      <w:color w:val="auto"/>
                      <w:sz w:val="18"/>
                      <w:szCs w:val="18"/>
                    </w:rPr>
                    <w:t>2</w:t>
                  </w:r>
                </w:p>
              </w:tc>
              <w:tc>
                <w:tcPr>
                  <w:tcW w:w="817" w:type="dxa"/>
                  <w:vAlign w:val="center"/>
                </w:tcPr>
                <w:p w14:paraId="32035E0E">
                  <w:pPr>
                    <w:jc w:val="center"/>
                    <w:rPr>
                      <w:color w:val="auto"/>
                      <w:sz w:val="18"/>
                      <w:szCs w:val="18"/>
                    </w:rPr>
                  </w:pPr>
                  <w:r>
                    <w:rPr>
                      <w:rFonts w:hint="eastAsia"/>
                      <w:color w:val="auto"/>
                      <w:sz w:val="18"/>
                      <w:szCs w:val="18"/>
                    </w:rPr>
                    <w:t>1</w:t>
                  </w:r>
                </w:p>
              </w:tc>
              <w:tc>
                <w:tcPr>
                  <w:tcW w:w="1387" w:type="dxa"/>
                  <w:vAlign w:val="center"/>
                </w:tcPr>
                <w:p w14:paraId="463C0C56">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08B22380">
                  <w:pPr>
                    <w:pStyle w:val="4"/>
                    <w:spacing w:before="0" w:after="0" w:line="240" w:lineRule="auto"/>
                    <w:jc w:val="center"/>
                    <w:rPr>
                      <w:b w:val="0"/>
                      <w:bCs w:val="0"/>
                      <w:color w:val="auto"/>
                      <w:sz w:val="18"/>
                      <w:szCs w:val="18"/>
                    </w:rPr>
                  </w:pPr>
                </w:p>
              </w:tc>
            </w:tr>
            <w:tr w14:paraId="2BD7D7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26153E2B">
                  <w:pPr>
                    <w:jc w:val="center"/>
                    <w:rPr>
                      <w:color w:val="auto"/>
                      <w:sz w:val="18"/>
                      <w:szCs w:val="18"/>
                    </w:rPr>
                  </w:pPr>
                </w:p>
              </w:tc>
              <w:tc>
                <w:tcPr>
                  <w:tcW w:w="809" w:type="dxa"/>
                  <w:vMerge w:val="continue"/>
                  <w:vAlign w:val="center"/>
                </w:tcPr>
                <w:p w14:paraId="17FEAD33">
                  <w:pPr>
                    <w:jc w:val="center"/>
                    <w:rPr>
                      <w:snapToGrid w:val="0"/>
                      <w:color w:val="auto"/>
                      <w:sz w:val="18"/>
                      <w:szCs w:val="18"/>
                    </w:rPr>
                  </w:pPr>
                </w:p>
              </w:tc>
              <w:tc>
                <w:tcPr>
                  <w:tcW w:w="1506" w:type="dxa"/>
                  <w:vAlign w:val="center"/>
                </w:tcPr>
                <w:p w14:paraId="20472C23">
                  <w:pPr>
                    <w:jc w:val="center"/>
                    <w:rPr>
                      <w:color w:val="auto"/>
                      <w:sz w:val="18"/>
                      <w:szCs w:val="18"/>
                    </w:rPr>
                  </w:pPr>
                  <w:r>
                    <w:rPr>
                      <w:rFonts w:hint="eastAsia"/>
                      <w:color w:val="auto"/>
                      <w:sz w:val="18"/>
                      <w:szCs w:val="18"/>
                    </w:rPr>
                    <w:t>硝酸钴</w:t>
                  </w:r>
                </w:p>
              </w:tc>
              <w:tc>
                <w:tcPr>
                  <w:tcW w:w="2052" w:type="dxa"/>
                  <w:vAlign w:val="center"/>
                </w:tcPr>
                <w:p w14:paraId="6574ED70">
                  <w:pPr>
                    <w:jc w:val="center"/>
                    <w:rPr>
                      <w:color w:val="auto"/>
                      <w:sz w:val="18"/>
                      <w:szCs w:val="18"/>
                    </w:rPr>
                  </w:pPr>
                  <w:r>
                    <w:rPr>
                      <w:rFonts w:hint="eastAsia"/>
                      <w:color w:val="auto"/>
                      <w:sz w:val="18"/>
                      <w:szCs w:val="18"/>
                    </w:rPr>
                    <w:t>99.0%，AR</w:t>
                  </w:r>
                  <w:r>
                    <w:rPr>
                      <w:color w:val="auto"/>
                      <w:sz w:val="18"/>
                      <w:szCs w:val="18"/>
                    </w:rPr>
                    <w:t>，</w:t>
                  </w:r>
                  <w:r>
                    <w:rPr>
                      <w:rFonts w:eastAsia="Helvetica"/>
                      <w:color w:val="auto"/>
                      <w:sz w:val="18"/>
                      <w:szCs w:val="18"/>
                      <w:shd w:val="clear" w:color="auto" w:fill="FFFFFF"/>
                    </w:rPr>
                    <w:t>Co(NO</w:t>
                  </w:r>
                  <w:r>
                    <w:rPr>
                      <w:rFonts w:eastAsia="Helvetica"/>
                      <w:color w:val="auto"/>
                      <w:sz w:val="18"/>
                      <w:szCs w:val="18"/>
                      <w:shd w:val="clear" w:color="auto" w:fill="FFFFFF"/>
                      <w:vertAlign w:val="subscript"/>
                    </w:rPr>
                    <w:t>3</w:t>
                  </w:r>
                  <w:r>
                    <w:rPr>
                      <w:rFonts w:eastAsia="Helvetica"/>
                      <w:color w:val="auto"/>
                      <w:sz w:val="18"/>
                      <w:szCs w:val="18"/>
                      <w:shd w:val="clear" w:color="auto" w:fill="FFFFFF"/>
                    </w:rPr>
                    <w:t>)</w:t>
                  </w:r>
                  <w:r>
                    <w:rPr>
                      <w:rFonts w:eastAsia="Helvetica"/>
                      <w:color w:val="auto"/>
                      <w:sz w:val="18"/>
                      <w:szCs w:val="18"/>
                      <w:shd w:val="clear" w:color="auto" w:fill="FFFFFF"/>
                      <w:vertAlign w:val="subscript"/>
                    </w:rPr>
                    <w:t>2</w:t>
                  </w:r>
                </w:p>
              </w:tc>
              <w:tc>
                <w:tcPr>
                  <w:tcW w:w="762" w:type="dxa"/>
                  <w:vAlign w:val="center"/>
                </w:tcPr>
                <w:p w14:paraId="51C5E0C4">
                  <w:pPr>
                    <w:jc w:val="center"/>
                    <w:rPr>
                      <w:color w:val="auto"/>
                      <w:sz w:val="18"/>
                      <w:szCs w:val="18"/>
                    </w:rPr>
                  </w:pPr>
                  <w:r>
                    <w:rPr>
                      <w:rFonts w:hint="eastAsia"/>
                      <w:color w:val="auto"/>
                      <w:sz w:val="18"/>
                      <w:szCs w:val="18"/>
                    </w:rPr>
                    <w:t>2</w:t>
                  </w:r>
                </w:p>
              </w:tc>
              <w:tc>
                <w:tcPr>
                  <w:tcW w:w="817" w:type="dxa"/>
                  <w:vAlign w:val="center"/>
                </w:tcPr>
                <w:p w14:paraId="2F4C9B71">
                  <w:pPr>
                    <w:jc w:val="center"/>
                    <w:rPr>
                      <w:color w:val="auto"/>
                      <w:sz w:val="18"/>
                      <w:szCs w:val="18"/>
                    </w:rPr>
                  </w:pPr>
                  <w:r>
                    <w:rPr>
                      <w:rFonts w:hint="eastAsia"/>
                      <w:color w:val="auto"/>
                      <w:sz w:val="18"/>
                      <w:szCs w:val="18"/>
                    </w:rPr>
                    <w:t>1</w:t>
                  </w:r>
                </w:p>
              </w:tc>
              <w:tc>
                <w:tcPr>
                  <w:tcW w:w="1387" w:type="dxa"/>
                  <w:vAlign w:val="center"/>
                </w:tcPr>
                <w:p w14:paraId="28F40888">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34F81203">
                  <w:pPr>
                    <w:pStyle w:val="4"/>
                    <w:spacing w:before="0" w:after="0" w:line="240" w:lineRule="auto"/>
                    <w:jc w:val="center"/>
                    <w:rPr>
                      <w:b w:val="0"/>
                      <w:bCs w:val="0"/>
                      <w:color w:val="auto"/>
                      <w:sz w:val="18"/>
                      <w:szCs w:val="18"/>
                    </w:rPr>
                  </w:pPr>
                </w:p>
              </w:tc>
            </w:tr>
            <w:tr w14:paraId="5E2495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126B997D">
                  <w:pPr>
                    <w:jc w:val="center"/>
                    <w:rPr>
                      <w:color w:val="auto"/>
                      <w:sz w:val="18"/>
                      <w:szCs w:val="18"/>
                    </w:rPr>
                  </w:pPr>
                </w:p>
              </w:tc>
              <w:tc>
                <w:tcPr>
                  <w:tcW w:w="809" w:type="dxa"/>
                  <w:vMerge w:val="continue"/>
                  <w:vAlign w:val="center"/>
                </w:tcPr>
                <w:p w14:paraId="44EC1532">
                  <w:pPr>
                    <w:jc w:val="center"/>
                    <w:rPr>
                      <w:snapToGrid w:val="0"/>
                      <w:color w:val="auto"/>
                      <w:sz w:val="18"/>
                      <w:szCs w:val="18"/>
                    </w:rPr>
                  </w:pPr>
                </w:p>
              </w:tc>
              <w:tc>
                <w:tcPr>
                  <w:tcW w:w="1506" w:type="dxa"/>
                  <w:vAlign w:val="center"/>
                </w:tcPr>
                <w:p w14:paraId="2FF5EF44">
                  <w:pPr>
                    <w:jc w:val="center"/>
                    <w:rPr>
                      <w:color w:val="auto"/>
                      <w:sz w:val="18"/>
                      <w:szCs w:val="18"/>
                    </w:rPr>
                  </w:pPr>
                  <w:r>
                    <w:rPr>
                      <w:color w:val="auto"/>
                      <w:sz w:val="18"/>
                      <w:szCs w:val="18"/>
                    </w:rPr>
                    <w:t>硝酸汞</w:t>
                  </w:r>
                </w:p>
              </w:tc>
              <w:tc>
                <w:tcPr>
                  <w:tcW w:w="2052" w:type="dxa"/>
                  <w:vAlign w:val="center"/>
                </w:tcPr>
                <w:p w14:paraId="08E8BDDA">
                  <w:pPr>
                    <w:jc w:val="center"/>
                    <w:rPr>
                      <w:color w:val="auto"/>
                      <w:sz w:val="18"/>
                      <w:szCs w:val="18"/>
                    </w:rPr>
                  </w:pPr>
                  <w:r>
                    <w:rPr>
                      <w:rFonts w:hint="eastAsia"/>
                      <w:color w:val="auto"/>
                      <w:sz w:val="18"/>
                      <w:szCs w:val="18"/>
                    </w:rPr>
                    <w:t>99.8%，GR</w:t>
                  </w:r>
                  <w:r>
                    <w:rPr>
                      <w:color w:val="auto"/>
                      <w:sz w:val="18"/>
                      <w:szCs w:val="18"/>
                    </w:rPr>
                    <w:t>，</w:t>
                  </w:r>
                  <w:r>
                    <w:rPr>
                      <w:rFonts w:eastAsia="Helvetica"/>
                      <w:color w:val="auto"/>
                      <w:sz w:val="18"/>
                      <w:szCs w:val="18"/>
                      <w:shd w:val="clear" w:color="auto" w:fill="FFFFFF"/>
                    </w:rPr>
                    <w:t>Hg(NO</w:t>
                  </w:r>
                  <w:r>
                    <w:rPr>
                      <w:rFonts w:eastAsia="Helvetica"/>
                      <w:color w:val="auto"/>
                      <w:sz w:val="18"/>
                      <w:szCs w:val="18"/>
                      <w:shd w:val="clear" w:color="auto" w:fill="FFFFFF"/>
                      <w:vertAlign w:val="subscript"/>
                    </w:rPr>
                    <w:t>3</w:t>
                  </w:r>
                  <w:r>
                    <w:rPr>
                      <w:rFonts w:eastAsia="Helvetica"/>
                      <w:color w:val="auto"/>
                      <w:sz w:val="18"/>
                      <w:szCs w:val="18"/>
                      <w:shd w:val="clear" w:color="auto" w:fill="FFFFFF"/>
                    </w:rPr>
                    <w:t>)</w:t>
                  </w:r>
                  <w:r>
                    <w:rPr>
                      <w:rFonts w:eastAsia="Helvetica"/>
                      <w:color w:val="auto"/>
                      <w:sz w:val="18"/>
                      <w:szCs w:val="18"/>
                      <w:shd w:val="clear" w:color="auto" w:fill="FFFFFF"/>
                      <w:vertAlign w:val="subscript"/>
                    </w:rPr>
                    <w:t>2</w:t>
                  </w:r>
                </w:p>
              </w:tc>
              <w:tc>
                <w:tcPr>
                  <w:tcW w:w="762" w:type="dxa"/>
                  <w:vAlign w:val="center"/>
                </w:tcPr>
                <w:p w14:paraId="63C805DF">
                  <w:pPr>
                    <w:jc w:val="center"/>
                    <w:rPr>
                      <w:color w:val="auto"/>
                      <w:sz w:val="18"/>
                      <w:szCs w:val="18"/>
                    </w:rPr>
                  </w:pPr>
                  <w:r>
                    <w:rPr>
                      <w:rFonts w:hint="eastAsia"/>
                      <w:color w:val="auto"/>
                      <w:sz w:val="18"/>
                      <w:szCs w:val="18"/>
                    </w:rPr>
                    <w:t>0.5</w:t>
                  </w:r>
                </w:p>
              </w:tc>
              <w:tc>
                <w:tcPr>
                  <w:tcW w:w="817" w:type="dxa"/>
                  <w:vAlign w:val="center"/>
                </w:tcPr>
                <w:p w14:paraId="0B962643">
                  <w:pPr>
                    <w:jc w:val="center"/>
                    <w:rPr>
                      <w:color w:val="auto"/>
                      <w:sz w:val="18"/>
                      <w:szCs w:val="18"/>
                    </w:rPr>
                  </w:pPr>
                  <w:r>
                    <w:rPr>
                      <w:rFonts w:hint="eastAsia"/>
                      <w:color w:val="auto"/>
                      <w:sz w:val="18"/>
                      <w:szCs w:val="18"/>
                    </w:rPr>
                    <w:t>0.5</w:t>
                  </w:r>
                </w:p>
              </w:tc>
              <w:tc>
                <w:tcPr>
                  <w:tcW w:w="1387" w:type="dxa"/>
                  <w:vAlign w:val="center"/>
                </w:tcPr>
                <w:p w14:paraId="1A46A18C">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22B03D18">
                  <w:pPr>
                    <w:pStyle w:val="4"/>
                    <w:spacing w:before="0" w:after="0" w:line="240" w:lineRule="auto"/>
                    <w:jc w:val="center"/>
                    <w:rPr>
                      <w:b w:val="0"/>
                      <w:bCs w:val="0"/>
                      <w:color w:val="auto"/>
                      <w:sz w:val="18"/>
                      <w:szCs w:val="18"/>
                    </w:rPr>
                  </w:pPr>
                </w:p>
              </w:tc>
            </w:tr>
            <w:tr w14:paraId="4FA119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3C7F197C">
                  <w:pPr>
                    <w:jc w:val="center"/>
                    <w:rPr>
                      <w:color w:val="auto"/>
                      <w:sz w:val="18"/>
                      <w:szCs w:val="18"/>
                    </w:rPr>
                  </w:pPr>
                </w:p>
              </w:tc>
              <w:tc>
                <w:tcPr>
                  <w:tcW w:w="809" w:type="dxa"/>
                  <w:vMerge w:val="continue"/>
                  <w:vAlign w:val="center"/>
                </w:tcPr>
                <w:p w14:paraId="73018455">
                  <w:pPr>
                    <w:jc w:val="center"/>
                    <w:rPr>
                      <w:snapToGrid w:val="0"/>
                      <w:color w:val="auto"/>
                      <w:sz w:val="18"/>
                      <w:szCs w:val="18"/>
                    </w:rPr>
                  </w:pPr>
                </w:p>
              </w:tc>
              <w:tc>
                <w:tcPr>
                  <w:tcW w:w="1506" w:type="dxa"/>
                  <w:vAlign w:val="center"/>
                </w:tcPr>
                <w:p w14:paraId="1C3EAC5D">
                  <w:pPr>
                    <w:jc w:val="center"/>
                    <w:rPr>
                      <w:color w:val="auto"/>
                      <w:sz w:val="18"/>
                      <w:szCs w:val="18"/>
                    </w:rPr>
                  </w:pPr>
                  <w:r>
                    <w:rPr>
                      <w:color w:val="auto"/>
                      <w:sz w:val="18"/>
                      <w:szCs w:val="18"/>
                    </w:rPr>
                    <w:t>硝酸铅</w:t>
                  </w:r>
                </w:p>
              </w:tc>
              <w:tc>
                <w:tcPr>
                  <w:tcW w:w="2052" w:type="dxa"/>
                  <w:vAlign w:val="center"/>
                </w:tcPr>
                <w:p w14:paraId="2B672C73">
                  <w:pPr>
                    <w:jc w:val="center"/>
                    <w:rPr>
                      <w:color w:val="auto"/>
                      <w:sz w:val="18"/>
                      <w:szCs w:val="18"/>
                    </w:rPr>
                  </w:pPr>
                  <w:r>
                    <w:rPr>
                      <w:rFonts w:hint="eastAsia"/>
                      <w:color w:val="auto"/>
                      <w:sz w:val="18"/>
                      <w:szCs w:val="18"/>
                    </w:rPr>
                    <w:t>99.0%，AR</w:t>
                  </w:r>
                  <w:r>
                    <w:rPr>
                      <w:color w:val="auto"/>
                      <w:sz w:val="18"/>
                      <w:szCs w:val="18"/>
                    </w:rPr>
                    <w:t>，</w:t>
                  </w:r>
                  <w:r>
                    <w:rPr>
                      <w:rFonts w:eastAsia="Helvetica"/>
                      <w:color w:val="auto"/>
                      <w:sz w:val="18"/>
                      <w:szCs w:val="18"/>
                      <w:shd w:val="clear" w:color="auto" w:fill="FFFFFF"/>
                    </w:rPr>
                    <w:t>Pb(NO</w:t>
                  </w:r>
                  <w:r>
                    <w:rPr>
                      <w:rFonts w:eastAsia="Helvetica"/>
                      <w:color w:val="auto"/>
                      <w:sz w:val="18"/>
                      <w:szCs w:val="18"/>
                      <w:shd w:val="clear" w:color="auto" w:fill="FFFFFF"/>
                      <w:vertAlign w:val="subscript"/>
                    </w:rPr>
                    <w:t>3</w:t>
                  </w:r>
                  <w:r>
                    <w:rPr>
                      <w:rFonts w:eastAsia="Helvetica"/>
                      <w:color w:val="auto"/>
                      <w:sz w:val="18"/>
                      <w:szCs w:val="18"/>
                      <w:shd w:val="clear" w:color="auto" w:fill="FFFFFF"/>
                    </w:rPr>
                    <w:t>)</w:t>
                  </w:r>
                  <w:r>
                    <w:rPr>
                      <w:rFonts w:eastAsia="Helvetica"/>
                      <w:color w:val="auto"/>
                      <w:sz w:val="18"/>
                      <w:szCs w:val="18"/>
                      <w:shd w:val="clear" w:color="auto" w:fill="FFFFFF"/>
                      <w:vertAlign w:val="subscript"/>
                    </w:rPr>
                    <w:t>2</w:t>
                  </w:r>
                </w:p>
              </w:tc>
              <w:tc>
                <w:tcPr>
                  <w:tcW w:w="762" w:type="dxa"/>
                  <w:vAlign w:val="center"/>
                </w:tcPr>
                <w:p w14:paraId="30210840">
                  <w:pPr>
                    <w:jc w:val="center"/>
                    <w:rPr>
                      <w:color w:val="auto"/>
                      <w:sz w:val="18"/>
                      <w:szCs w:val="18"/>
                    </w:rPr>
                  </w:pPr>
                  <w:r>
                    <w:rPr>
                      <w:rFonts w:hint="eastAsia"/>
                      <w:color w:val="auto"/>
                      <w:sz w:val="18"/>
                      <w:szCs w:val="18"/>
                    </w:rPr>
                    <w:t>0.5</w:t>
                  </w:r>
                </w:p>
              </w:tc>
              <w:tc>
                <w:tcPr>
                  <w:tcW w:w="817" w:type="dxa"/>
                  <w:vAlign w:val="center"/>
                </w:tcPr>
                <w:p w14:paraId="7E465C3C">
                  <w:pPr>
                    <w:jc w:val="center"/>
                    <w:rPr>
                      <w:color w:val="auto"/>
                      <w:sz w:val="18"/>
                      <w:szCs w:val="18"/>
                    </w:rPr>
                  </w:pPr>
                  <w:r>
                    <w:rPr>
                      <w:rFonts w:hint="eastAsia"/>
                      <w:color w:val="auto"/>
                      <w:sz w:val="18"/>
                      <w:szCs w:val="18"/>
                    </w:rPr>
                    <w:t>0.5</w:t>
                  </w:r>
                </w:p>
              </w:tc>
              <w:tc>
                <w:tcPr>
                  <w:tcW w:w="1387" w:type="dxa"/>
                  <w:vAlign w:val="center"/>
                </w:tcPr>
                <w:p w14:paraId="6C4D5398">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6D8CDA56">
                  <w:pPr>
                    <w:pStyle w:val="4"/>
                    <w:spacing w:before="0" w:after="0" w:line="240" w:lineRule="auto"/>
                    <w:jc w:val="center"/>
                    <w:rPr>
                      <w:b w:val="0"/>
                      <w:bCs w:val="0"/>
                      <w:color w:val="auto"/>
                      <w:sz w:val="18"/>
                      <w:szCs w:val="18"/>
                    </w:rPr>
                  </w:pPr>
                </w:p>
              </w:tc>
            </w:tr>
            <w:tr w14:paraId="335209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726180EA">
                  <w:pPr>
                    <w:jc w:val="center"/>
                    <w:rPr>
                      <w:color w:val="auto"/>
                      <w:sz w:val="18"/>
                      <w:szCs w:val="18"/>
                    </w:rPr>
                  </w:pPr>
                </w:p>
              </w:tc>
              <w:tc>
                <w:tcPr>
                  <w:tcW w:w="809" w:type="dxa"/>
                  <w:vMerge w:val="continue"/>
                  <w:vAlign w:val="center"/>
                </w:tcPr>
                <w:p w14:paraId="219B9722">
                  <w:pPr>
                    <w:jc w:val="center"/>
                    <w:rPr>
                      <w:snapToGrid w:val="0"/>
                      <w:color w:val="auto"/>
                      <w:sz w:val="18"/>
                      <w:szCs w:val="18"/>
                    </w:rPr>
                  </w:pPr>
                </w:p>
              </w:tc>
              <w:tc>
                <w:tcPr>
                  <w:tcW w:w="1506" w:type="dxa"/>
                  <w:vAlign w:val="center"/>
                </w:tcPr>
                <w:p w14:paraId="6901AC38">
                  <w:pPr>
                    <w:jc w:val="center"/>
                    <w:rPr>
                      <w:color w:val="auto"/>
                      <w:sz w:val="18"/>
                      <w:szCs w:val="18"/>
                    </w:rPr>
                  </w:pPr>
                  <w:r>
                    <w:rPr>
                      <w:color w:val="auto"/>
                      <w:sz w:val="18"/>
                      <w:szCs w:val="18"/>
                    </w:rPr>
                    <w:t>醋酸铅</w:t>
                  </w:r>
                </w:p>
              </w:tc>
              <w:tc>
                <w:tcPr>
                  <w:tcW w:w="2052" w:type="dxa"/>
                  <w:vAlign w:val="center"/>
                </w:tcPr>
                <w:p w14:paraId="0038DB61">
                  <w:pPr>
                    <w:jc w:val="center"/>
                    <w:rPr>
                      <w:color w:val="auto"/>
                      <w:sz w:val="18"/>
                      <w:szCs w:val="18"/>
                    </w:rPr>
                  </w:pPr>
                  <w:r>
                    <w:rPr>
                      <w:rFonts w:hint="eastAsia"/>
                      <w:color w:val="auto"/>
                      <w:sz w:val="18"/>
                      <w:szCs w:val="18"/>
                    </w:rPr>
                    <w:t>99.5%，AR</w:t>
                  </w:r>
                  <w:r>
                    <w:rPr>
                      <w:color w:val="auto"/>
                      <w:sz w:val="18"/>
                      <w:szCs w:val="18"/>
                    </w:rPr>
                    <w:t>，</w:t>
                  </w:r>
                  <w:r>
                    <w:rPr>
                      <w:rFonts w:eastAsia="Helvetica"/>
                      <w:color w:val="auto"/>
                      <w:sz w:val="18"/>
                      <w:szCs w:val="18"/>
                      <w:shd w:val="clear" w:color="auto" w:fill="FFFFFF"/>
                    </w:rPr>
                    <w:t>(CH</w:t>
                  </w:r>
                  <w:r>
                    <w:rPr>
                      <w:rFonts w:eastAsia="Helvetica"/>
                      <w:color w:val="auto"/>
                      <w:sz w:val="18"/>
                      <w:szCs w:val="18"/>
                      <w:shd w:val="clear" w:color="auto" w:fill="FFFFFF"/>
                      <w:vertAlign w:val="subscript"/>
                    </w:rPr>
                    <w:t>3</w:t>
                  </w:r>
                  <w:r>
                    <w:rPr>
                      <w:rFonts w:eastAsia="Helvetica"/>
                      <w:color w:val="auto"/>
                      <w:sz w:val="18"/>
                      <w:szCs w:val="18"/>
                      <w:shd w:val="clear" w:color="auto" w:fill="FFFFFF"/>
                    </w:rPr>
                    <w:t>COO)</w:t>
                  </w:r>
                  <w:r>
                    <w:rPr>
                      <w:rFonts w:eastAsia="Helvetica"/>
                      <w:color w:val="auto"/>
                      <w:sz w:val="18"/>
                      <w:szCs w:val="18"/>
                      <w:shd w:val="clear" w:color="auto" w:fill="FFFFFF"/>
                      <w:vertAlign w:val="subscript"/>
                    </w:rPr>
                    <w:t>2</w:t>
                  </w:r>
                  <w:r>
                    <w:rPr>
                      <w:rFonts w:eastAsia="Helvetica"/>
                      <w:color w:val="auto"/>
                      <w:sz w:val="18"/>
                      <w:szCs w:val="18"/>
                      <w:shd w:val="clear" w:color="auto" w:fill="FFFFFF"/>
                    </w:rPr>
                    <w:t>Pb</w:t>
                  </w:r>
                </w:p>
              </w:tc>
              <w:tc>
                <w:tcPr>
                  <w:tcW w:w="762" w:type="dxa"/>
                  <w:vAlign w:val="center"/>
                </w:tcPr>
                <w:p w14:paraId="2044D575">
                  <w:pPr>
                    <w:jc w:val="center"/>
                    <w:rPr>
                      <w:color w:val="auto"/>
                      <w:sz w:val="18"/>
                      <w:szCs w:val="18"/>
                    </w:rPr>
                  </w:pPr>
                  <w:r>
                    <w:rPr>
                      <w:rFonts w:hint="eastAsia"/>
                      <w:color w:val="auto"/>
                      <w:sz w:val="18"/>
                      <w:szCs w:val="18"/>
                    </w:rPr>
                    <w:t>0.5</w:t>
                  </w:r>
                </w:p>
              </w:tc>
              <w:tc>
                <w:tcPr>
                  <w:tcW w:w="817" w:type="dxa"/>
                  <w:vAlign w:val="center"/>
                </w:tcPr>
                <w:p w14:paraId="0BBDAC58">
                  <w:pPr>
                    <w:jc w:val="center"/>
                    <w:rPr>
                      <w:color w:val="auto"/>
                      <w:sz w:val="18"/>
                      <w:szCs w:val="18"/>
                    </w:rPr>
                  </w:pPr>
                  <w:r>
                    <w:rPr>
                      <w:rFonts w:hint="eastAsia"/>
                      <w:color w:val="auto"/>
                      <w:sz w:val="18"/>
                      <w:szCs w:val="18"/>
                    </w:rPr>
                    <w:t>0.5</w:t>
                  </w:r>
                </w:p>
              </w:tc>
              <w:tc>
                <w:tcPr>
                  <w:tcW w:w="1387" w:type="dxa"/>
                  <w:vAlign w:val="center"/>
                </w:tcPr>
                <w:p w14:paraId="06896EBC">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6169CFB4">
                  <w:pPr>
                    <w:pStyle w:val="4"/>
                    <w:spacing w:before="0" w:after="0" w:line="240" w:lineRule="auto"/>
                    <w:jc w:val="center"/>
                    <w:rPr>
                      <w:b w:val="0"/>
                      <w:bCs w:val="0"/>
                      <w:color w:val="auto"/>
                      <w:sz w:val="18"/>
                      <w:szCs w:val="18"/>
                    </w:rPr>
                  </w:pPr>
                </w:p>
              </w:tc>
            </w:tr>
            <w:tr w14:paraId="57609E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6D331230">
                  <w:pPr>
                    <w:jc w:val="center"/>
                    <w:rPr>
                      <w:color w:val="auto"/>
                      <w:sz w:val="18"/>
                      <w:szCs w:val="18"/>
                    </w:rPr>
                  </w:pPr>
                </w:p>
              </w:tc>
              <w:tc>
                <w:tcPr>
                  <w:tcW w:w="809" w:type="dxa"/>
                  <w:vMerge w:val="continue"/>
                  <w:vAlign w:val="center"/>
                </w:tcPr>
                <w:p w14:paraId="5B4DB80B">
                  <w:pPr>
                    <w:jc w:val="center"/>
                    <w:rPr>
                      <w:snapToGrid w:val="0"/>
                      <w:color w:val="auto"/>
                      <w:sz w:val="18"/>
                      <w:szCs w:val="18"/>
                    </w:rPr>
                  </w:pPr>
                </w:p>
              </w:tc>
              <w:tc>
                <w:tcPr>
                  <w:tcW w:w="1506" w:type="dxa"/>
                  <w:vAlign w:val="center"/>
                </w:tcPr>
                <w:p w14:paraId="4F9A5A88">
                  <w:pPr>
                    <w:jc w:val="center"/>
                    <w:rPr>
                      <w:color w:val="auto"/>
                      <w:sz w:val="18"/>
                      <w:szCs w:val="18"/>
                    </w:rPr>
                  </w:pPr>
                  <w:r>
                    <w:rPr>
                      <w:color w:val="auto"/>
                      <w:sz w:val="18"/>
                      <w:szCs w:val="18"/>
                    </w:rPr>
                    <w:t>磷酸四丁铵</w:t>
                  </w:r>
                </w:p>
              </w:tc>
              <w:tc>
                <w:tcPr>
                  <w:tcW w:w="2052" w:type="dxa"/>
                  <w:vAlign w:val="center"/>
                </w:tcPr>
                <w:p w14:paraId="6F8FF9C1">
                  <w:pPr>
                    <w:jc w:val="center"/>
                    <w:rPr>
                      <w:color w:val="auto"/>
                      <w:sz w:val="18"/>
                      <w:szCs w:val="18"/>
                    </w:rPr>
                  </w:pPr>
                  <w:r>
                    <w:rPr>
                      <w:rFonts w:hint="eastAsia"/>
                      <w:color w:val="auto"/>
                      <w:sz w:val="18"/>
                      <w:szCs w:val="18"/>
                    </w:rPr>
                    <w:t>98.0%，AR</w:t>
                  </w:r>
                  <w:r>
                    <w:rPr>
                      <w:color w:val="auto"/>
                      <w:sz w:val="18"/>
                      <w:szCs w:val="18"/>
                    </w:rPr>
                    <w:t>，</w:t>
                  </w:r>
                  <w:r>
                    <w:rPr>
                      <w:rFonts w:eastAsia="Arial"/>
                      <w:color w:val="auto"/>
                      <w:sz w:val="18"/>
                      <w:szCs w:val="18"/>
                      <w:shd w:val="clear" w:color="auto" w:fill="FFFFFF"/>
                    </w:rPr>
                    <w:t>C</w:t>
                  </w:r>
                  <w:r>
                    <w:rPr>
                      <w:color w:val="auto"/>
                      <w:sz w:val="18"/>
                      <w:szCs w:val="18"/>
                      <w:shd w:val="clear" w:color="auto" w:fill="FFFFFF"/>
                      <w:vertAlign w:val="subscript"/>
                    </w:rPr>
                    <w:t>16</w:t>
                  </w:r>
                  <w:r>
                    <w:rPr>
                      <w:rFonts w:eastAsia="Arial"/>
                      <w:color w:val="auto"/>
                      <w:sz w:val="18"/>
                      <w:szCs w:val="18"/>
                      <w:shd w:val="clear" w:color="auto" w:fill="FFFFFF"/>
                    </w:rPr>
                    <w:t>H</w:t>
                  </w:r>
                  <w:r>
                    <w:rPr>
                      <w:color w:val="auto"/>
                      <w:sz w:val="18"/>
                      <w:szCs w:val="18"/>
                      <w:shd w:val="clear" w:color="auto" w:fill="FFFFFF"/>
                      <w:vertAlign w:val="subscript"/>
                    </w:rPr>
                    <w:t>36</w:t>
                  </w:r>
                  <w:r>
                    <w:rPr>
                      <w:rFonts w:eastAsia="Arial"/>
                      <w:color w:val="auto"/>
                      <w:sz w:val="18"/>
                      <w:szCs w:val="18"/>
                      <w:shd w:val="clear" w:color="auto" w:fill="FFFFFF"/>
                    </w:rPr>
                    <w:t>N·H</w:t>
                  </w:r>
                  <w:r>
                    <w:rPr>
                      <w:color w:val="auto"/>
                      <w:sz w:val="18"/>
                      <w:szCs w:val="18"/>
                      <w:shd w:val="clear" w:color="auto" w:fill="FFFFFF"/>
                      <w:vertAlign w:val="subscript"/>
                    </w:rPr>
                    <w:t>3</w:t>
                  </w:r>
                  <w:r>
                    <w:rPr>
                      <w:rFonts w:eastAsia="Arial"/>
                      <w:color w:val="auto"/>
                      <w:sz w:val="18"/>
                      <w:szCs w:val="18"/>
                      <w:shd w:val="clear" w:color="auto" w:fill="FFFFFF"/>
                    </w:rPr>
                    <w:t>O</w:t>
                  </w:r>
                  <w:r>
                    <w:rPr>
                      <w:color w:val="auto"/>
                      <w:sz w:val="18"/>
                      <w:szCs w:val="18"/>
                      <w:shd w:val="clear" w:color="auto" w:fill="FFFFFF"/>
                      <w:vertAlign w:val="subscript"/>
                    </w:rPr>
                    <w:t>4</w:t>
                  </w:r>
                  <w:r>
                    <w:rPr>
                      <w:rFonts w:eastAsia="Arial"/>
                      <w:color w:val="auto"/>
                      <w:sz w:val="18"/>
                      <w:szCs w:val="18"/>
                      <w:shd w:val="clear" w:color="auto" w:fill="FFFFFF"/>
                    </w:rPr>
                    <w:t>P</w:t>
                  </w:r>
                </w:p>
              </w:tc>
              <w:tc>
                <w:tcPr>
                  <w:tcW w:w="762" w:type="dxa"/>
                  <w:vAlign w:val="center"/>
                </w:tcPr>
                <w:p w14:paraId="016D65F7">
                  <w:pPr>
                    <w:jc w:val="center"/>
                    <w:rPr>
                      <w:color w:val="auto"/>
                      <w:sz w:val="18"/>
                      <w:szCs w:val="18"/>
                    </w:rPr>
                  </w:pPr>
                  <w:r>
                    <w:rPr>
                      <w:rFonts w:hint="eastAsia"/>
                      <w:color w:val="auto"/>
                      <w:sz w:val="18"/>
                      <w:szCs w:val="18"/>
                    </w:rPr>
                    <w:t>0.5</w:t>
                  </w:r>
                </w:p>
              </w:tc>
              <w:tc>
                <w:tcPr>
                  <w:tcW w:w="817" w:type="dxa"/>
                  <w:vAlign w:val="center"/>
                </w:tcPr>
                <w:p w14:paraId="5CED6A27">
                  <w:pPr>
                    <w:jc w:val="center"/>
                    <w:rPr>
                      <w:color w:val="auto"/>
                      <w:sz w:val="18"/>
                      <w:szCs w:val="18"/>
                    </w:rPr>
                  </w:pPr>
                  <w:r>
                    <w:rPr>
                      <w:rFonts w:hint="eastAsia"/>
                      <w:color w:val="auto"/>
                      <w:sz w:val="18"/>
                      <w:szCs w:val="18"/>
                    </w:rPr>
                    <w:t>0.5</w:t>
                  </w:r>
                </w:p>
              </w:tc>
              <w:tc>
                <w:tcPr>
                  <w:tcW w:w="1387" w:type="dxa"/>
                  <w:vAlign w:val="center"/>
                </w:tcPr>
                <w:p w14:paraId="1B0E4791">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0DDC4C1D">
                  <w:pPr>
                    <w:pStyle w:val="4"/>
                    <w:spacing w:before="0" w:after="0" w:line="240" w:lineRule="auto"/>
                    <w:jc w:val="center"/>
                    <w:rPr>
                      <w:b w:val="0"/>
                      <w:bCs w:val="0"/>
                      <w:color w:val="auto"/>
                      <w:sz w:val="18"/>
                      <w:szCs w:val="18"/>
                    </w:rPr>
                  </w:pPr>
                </w:p>
              </w:tc>
            </w:tr>
            <w:tr w14:paraId="2AC16E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309EDDD5">
                  <w:pPr>
                    <w:jc w:val="center"/>
                    <w:rPr>
                      <w:color w:val="auto"/>
                      <w:sz w:val="18"/>
                      <w:szCs w:val="18"/>
                    </w:rPr>
                  </w:pPr>
                </w:p>
              </w:tc>
              <w:tc>
                <w:tcPr>
                  <w:tcW w:w="809" w:type="dxa"/>
                  <w:vMerge w:val="continue"/>
                  <w:vAlign w:val="center"/>
                </w:tcPr>
                <w:p w14:paraId="59B114A9">
                  <w:pPr>
                    <w:jc w:val="center"/>
                    <w:rPr>
                      <w:snapToGrid w:val="0"/>
                      <w:color w:val="auto"/>
                      <w:sz w:val="18"/>
                      <w:szCs w:val="18"/>
                    </w:rPr>
                  </w:pPr>
                </w:p>
              </w:tc>
              <w:tc>
                <w:tcPr>
                  <w:tcW w:w="1506" w:type="dxa"/>
                  <w:vAlign w:val="center"/>
                </w:tcPr>
                <w:p w14:paraId="797280E4">
                  <w:pPr>
                    <w:jc w:val="center"/>
                    <w:rPr>
                      <w:color w:val="auto"/>
                      <w:sz w:val="18"/>
                      <w:szCs w:val="18"/>
                    </w:rPr>
                  </w:pPr>
                  <w:r>
                    <w:rPr>
                      <w:color w:val="auto"/>
                      <w:sz w:val="18"/>
                      <w:szCs w:val="18"/>
                    </w:rPr>
                    <w:t>硫氰酸钾</w:t>
                  </w:r>
                </w:p>
              </w:tc>
              <w:tc>
                <w:tcPr>
                  <w:tcW w:w="2052" w:type="dxa"/>
                  <w:vAlign w:val="center"/>
                </w:tcPr>
                <w:p w14:paraId="38C7A171">
                  <w:pPr>
                    <w:jc w:val="center"/>
                    <w:rPr>
                      <w:color w:val="auto"/>
                      <w:sz w:val="18"/>
                      <w:szCs w:val="18"/>
                    </w:rPr>
                  </w:pPr>
                  <w:r>
                    <w:rPr>
                      <w:rFonts w:hint="eastAsia"/>
                      <w:color w:val="auto"/>
                      <w:sz w:val="18"/>
                      <w:szCs w:val="18"/>
                    </w:rPr>
                    <w:t>98.0%，AR</w:t>
                  </w:r>
                  <w:r>
                    <w:rPr>
                      <w:color w:val="auto"/>
                      <w:sz w:val="18"/>
                      <w:szCs w:val="18"/>
                    </w:rPr>
                    <w:t>，</w:t>
                  </w:r>
                  <w:r>
                    <w:rPr>
                      <w:rFonts w:eastAsia="Helvetica"/>
                      <w:color w:val="auto"/>
                      <w:sz w:val="18"/>
                      <w:szCs w:val="18"/>
                      <w:shd w:val="clear" w:color="auto" w:fill="FFFFFF"/>
                    </w:rPr>
                    <w:t>KSCN</w:t>
                  </w:r>
                </w:p>
              </w:tc>
              <w:tc>
                <w:tcPr>
                  <w:tcW w:w="762" w:type="dxa"/>
                  <w:vAlign w:val="center"/>
                </w:tcPr>
                <w:p w14:paraId="5D893435">
                  <w:pPr>
                    <w:jc w:val="center"/>
                    <w:rPr>
                      <w:color w:val="auto"/>
                      <w:sz w:val="18"/>
                      <w:szCs w:val="18"/>
                    </w:rPr>
                  </w:pPr>
                  <w:r>
                    <w:rPr>
                      <w:rFonts w:hint="eastAsia"/>
                      <w:color w:val="auto"/>
                      <w:sz w:val="18"/>
                      <w:szCs w:val="18"/>
                    </w:rPr>
                    <w:t>0.5</w:t>
                  </w:r>
                </w:p>
              </w:tc>
              <w:tc>
                <w:tcPr>
                  <w:tcW w:w="817" w:type="dxa"/>
                  <w:vAlign w:val="center"/>
                </w:tcPr>
                <w:p w14:paraId="73A4AC05">
                  <w:pPr>
                    <w:jc w:val="center"/>
                    <w:rPr>
                      <w:color w:val="auto"/>
                      <w:sz w:val="18"/>
                      <w:szCs w:val="18"/>
                    </w:rPr>
                  </w:pPr>
                  <w:r>
                    <w:rPr>
                      <w:rFonts w:hint="eastAsia"/>
                      <w:color w:val="auto"/>
                      <w:sz w:val="18"/>
                      <w:szCs w:val="18"/>
                    </w:rPr>
                    <w:t>0.5</w:t>
                  </w:r>
                </w:p>
              </w:tc>
              <w:tc>
                <w:tcPr>
                  <w:tcW w:w="1387" w:type="dxa"/>
                  <w:vAlign w:val="center"/>
                </w:tcPr>
                <w:p w14:paraId="0F6822B2">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2907C947">
                  <w:pPr>
                    <w:pStyle w:val="4"/>
                    <w:spacing w:before="0" w:after="0" w:line="240" w:lineRule="auto"/>
                    <w:jc w:val="center"/>
                    <w:rPr>
                      <w:b w:val="0"/>
                      <w:bCs w:val="0"/>
                      <w:color w:val="auto"/>
                      <w:sz w:val="18"/>
                      <w:szCs w:val="18"/>
                    </w:rPr>
                  </w:pPr>
                </w:p>
              </w:tc>
            </w:tr>
            <w:tr w14:paraId="12EFDE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59BDD50D">
                  <w:pPr>
                    <w:jc w:val="center"/>
                    <w:rPr>
                      <w:color w:val="auto"/>
                      <w:sz w:val="18"/>
                      <w:szCs w:val="18"/>
                    </w:rPr>
                  </w:pPr>
                </w:p>
              </w:tc>
              <w:tc>
                <w:tcPr>
                  <w:tcW w:w="809" w:type="dxa"/>
                  <w:vMerge w:val="continue"/>
                  <w:vAlign w:val="center"/>
                </w:tcPr>
                <w:p w14:paraId="62A34743">
                  <w:pPr>
                    <w:jc w:val="center"/>
                    <w:rPr>
                      <w:snapToGrid w:val="0"/>
                      <w:color w:val="auto"/>
                      <w:sz w:val="18"/>
                      <w:szCs w:val="18"/>
                    </w:rPr>
                  </w:pPr>
                </w:p>
              </w:tc>
              <w:tc>
                <w:tcPr>
                  <w:tcW w:w="1506" w:type="dxa"/>
                  <w:vAlign w:val="center"/>
                </w:tcPr>
                <w:p w14:paraId="2CF1B2A1">
                  <w:pPr>
                    <w:jc w:val="center"/>
                    <w:rPr>
                      <w:color w:val="auto"/>
                      <w:sz w:val="18"/>
                      <w:szCs w:val="18"/>
                    </w:rPr>
                  </w:pPr>
                  <w:r>
                    <w:rPr>
                      <w:rFonts w:hint="eastAsia"/>
                      <w:color w:val="auto"/>
                      <w:sz w:val="18"/>
                      <w:szCs w:val="18"/>
                    </w:rPr>
                    <w:t>盐酸</w:t>
                  </w:r>
                </w:p>
              </w:tc>
              <w:tc>
                <w:tcPr>
                  <w:tcW w:w="2052" w:type="dxa"/>
                  <w:vAlign w:val="center"/>
                </w:tcPr>
                <w:p w14:paraId="4F5E836F">
                  <w:pPr>
                    <w:jc w:val="center"/>
                    <w:rPr>
                      <w:color w:val="auto"/>
                      <w:sz w:val="18"/>
                      <w:szCs w:val="18"/>
                    </w:rPr>
                  </w:pPr>
                  <w:r>
                    <w:rPr>
                      <w:rFonts w:hint="eastAsia"/>
                      <w:color w:val="auto"/>
                      <w:sz w:val="18"/>
                      <w:szCs w:val="18"/>
                    </w:rPr>
                    <w:t>37%，AR</w:t>
                  </w:r>
                  <w:r>
                    <w:rPr>
                      <w:color w:val="auto"/>
                      <w:sz w:val="18"/>
                      <w:szCs w:val="18"/>
                    </w:rPr>
                    <w:t>，</w:t>
                  </w:r>
                  <w:r>
                    <w:rPr>
                      <w:rFonts w:eastAsia="Helvetica"/>
                      <w:color w:val="auto"/>
                      <w:sz w:val="18"/>
                      <w:szCs w:val="18"/>
                      <w:shd w:val="clear" w:color="auto" w:fill="FFFFFF"/>
                    </w:rPr>
                    <w:t>HCl</w:t>
                  </w:r>
                </w:p>
              </w:tc>
              <w:tc>
                <w:tcPr>
                  <w:tcW w:w="762" w:type="dxa"/>
                  <w:vAlign w:val="center"/>
                </w:tcPr>
                <w:p w14:paraId="77E514F5">
                  <w:pPr>
                    <w:jc w:val="center"/>
                    <w:rPr>
                      <w:color w:val="auto"/>
                      <w:sz w:val="18"/>
                      <w:szCs w:val="18"/>
                    </w:rPr>
                  </w:pPr>
                  <w:r>
                    <w:rPr>
                      <w:rFonts w:hint="eastAsia"/>
                      <w:color w:val="auto"/>
                      <w:sz w:val="18"/>
                      <w:szCs w:val="18"/>
                    </w:rPr>
                    <w:t>6</w:t>
                  </w:r>
                </w:p>
              </w:tc>
              <w:tc>
                <w:tcPr>
                  <w:tcW w:w="817" w:type="dxa"/>
                  <w:vAlign w:val="center"/>
                </w:tcPr>
                <w:p w14:paraId="2A6200D4">
                  <w:pPr>
                    <w:jc w:val="center"/>
                    <w:rPr>
                      <w:color w:val="auto"/>
                      <w:sz w:val="18"/>
                      <w:szCs w:val="18"/>
                    </w:rPr>
                  </w:pPr>
                  <w:r>
                    <w:rPr>
                      <w:rFonts w:hint="eastAsia"/>
                      <w:color w:val="auto"/>
                      <w:sz w:val="18"/>
                      <w:szCs w:val="18"/>
                    </w:rPr>
                    <w:t>2</w:t>
                  </w:r>
                </w:p>
              </w:tc>
              <w:tc>
                <w:tcPr>
                  <w:tcW w:w="1387" w:type="dxa"/>
                  <w:vAlign w:val="center"/>
                </w:tcPr>
                <w:p w14:paraId="0CC68861">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376AB007">
                  <w:pPr>
                    <w:pStyle w:val="4"/>
                    <w:spacing w:before="0" w:after="0" w:line="240" w:lineRule="auto"/>
                    <w:jc w:val="center"/>
                    <w:rPr>
                      <w:b w:val="0"/>
                      <w:bCs w:val="0"/>
                      <w:color w:val="auto"/>
                      <w:sz w:val="18"/>
                      <w:szCs w:val="18"/>
                    </w:rPr>
                  </w:pPr>
                </w:p>
              </w:tc>
            </w:tr>
            <w:tr w14:paraId="0EAC0E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173C710D">
                  <w:pPr>
                    <w:jc w:val="center"/>
                    <w:rPr>
                      <w:color w:val="auto"/>
                      <w:sz w:val="18"/>
                      <w:szCs w:val="18"/>
                    </w:rPr>
                  </w:pPr>
                </w:p>
              </w:tc>
              <w:tc>
                <w:tcPr>
                  <w:tcW w:w="809" w:type="dxa"/>
                  <w:vMerge w:val="continue"/>
                  <w:vAlign w:val="center"/>
                </w:tcPr>
                <w:p w14:paraId="04C9B9CC">
                  <w:pPr>
                    <w:jc w:val="center"/>
                    <w:rPr>
                      <w:snapToGrid w:val="0"/>
                      <w:color w:val="auto"/>
                      <w:sz w:val="18"/>
                      <w:szCs w:val="18"/>
                    </w:rPr>
                  </w:pPr>
                </w:p>
              </w:tc>
              <w:tc>
                <w:tcPr>
                  <w:tcW w:w="1506" w:type="dxa"/>
                  <w:vAlign w:val="center"/>
                </w:tcPr>
                <w:p w14:paraId="49E971D1">
                  <w:pPr>
                    <w:jc w:val="center"/>
                    <w:rPr>
                      <w:color w:val="auto"/>
                      <w:sz w:val="18"/>
                      <w:szCs w:val="18"/>
                    </w:rPr>
                  </w:pPr>
                  <w:r>
                    <w:rPr>
                      <w:rFonts w:hint="eastAsia"/>
                      <w:color w:val="auto"/>
                      <w:sz w:val="18"/>
                      <w:szCs w:val="18"/>
                    </w:rPr>
                    <w:t>硫酸</w:t>
                  </w:r>
                </w:p>
              </w:tc>
              <w:tc>
                <w:tcPr>
                  <w:tcW w:w="2052" w:type="dxa"/>
                  <w:vAlign w:val="center"/>
                </w:tcPr>
                <w:p w14:paraId="1BC04D4C">
                  <w:pPr>
                    <w:jc w:val="center"/>
                    <w:rPr>
                      <w:color w:val="auto"/>
                      <w:sz w:val="18"/>
                      <w:szCs w:val="18"/>
                    </w:rPr>
                  </w:pPr>
                  <w:r>
                    <w:rPr>
                      <w:rFonts w:hint="eastAsia"/>
                      <w:color w:val="auto"/>
                      <w:sz w:val="18"/>
                      <w:szCs w:val="18"/>
                    </w:rPr>
                    <w:t>98%，AR</w:t>
                  </w:r>
                  <w:r>
                    <w:rPr>
                      <w:color w:val="auto"/>
                      <w:sz w:val="18"/>
                      <w:szCs w:val="18"/>
                    </w:rPr>
                    <w:t>，</w:t>
                  </w:r>
                  <w:r>
                    <w:rPr>
                      <w:rFonts w:eastAsia="Helvetica"/>
                      <w:color w:val="auto"/>
                      <w:sz w:val="18"/>
                      <w:szCs w:val="18"/>
                      <w:shd w:val="clear" w:color="auto" w:fill="FFFFFF"/>
                    </w:rPr>
                    <w:t>H</w:t>
                  </w:r>
                  <w:r>
                    <w:rPr>
                      <w:rFonts w:eastAsia="Helvetica"/>
                      <w:color w:val="auto"/>
                      <w:sz w:val="18"/>
                      <w:szCs w:val="18"/>
                      <w:shd w:val="clear" w:color="auto" w:fill="FFFFFF"/>
                      <w:vertAlign w:val="subscript"/>
                    </w:rPr>
                    <w:t>2</w:t>
                  </w:r>
                  <w:r>
                    <w:rPr>
                      <w:rFonts w:eastAsia="Helvetica"/>
                      <w:color w:val="auto"/>
                      <w:sz w:val="18"/>
                      <w:szCs w:val="18"/>
                      <w:shd w:val="clear" w:color="auto" w:fill="FFFFFF"/>
                    </w:rPr>
                    <w:t>SO</w:t>
                  </w:r>
                  <w:r>
                    <w:rPr>
                      <w:rFonts w:eastAsia="Helvetica"/>
                      <w:color w:val="auto"/>
                      <w:sz w:val="18"/>
                      <w:szCs w:val="18"/>
                      <w:shd w:val="clear" w:color="auto" w:fill="FFFFFF"/>
                      <w:vertAlign w:val="subscript"/>
                    </w:rPr>
                    <w:t>4</w:t>
                  </w:r>
                </w:p>
              </w:tc>
              <w:tc>
                <w:tcPr>
                  <w:tcW w:w="762" w:type="dxa"/>
                  <w:vAlign w:val="center"/>
                </w:tcPr>
                <w:p w14:paraId="3B622571">
                  <w:pPr>
                    <w:jc w:val="center"/>
                    <w:rPr>
                      <w:color w:val="auto"/>
                      <w:sz w:val="18"/>
                      <w:szCs w:val="18"/>
                    </w:rPr>
                  </w:pPr>
                  <w:r>
                    <w:rPr>
                      <w:rFonts w:hint="eastAsia"/>
                      <w:color w:val="auto"/>
                      <w:sz w:val="18"/>
                      <w:szCs w:val="18"/>
                    </w:rPr>
                    <w:t>4</w:t>
                  </w:r>
                </w:p>
              </w:tc>
              <w:tc>
                <w:tcPr>
                  <w:tcW w:w="817" w:type="dxa"/>
                  <w:vAlign w:val="center"/>
                </w:tcPr>
                <w:p w14:paraId="3F4328CE">
                  <w:pPr>
                    <w:jc w:val="center"/>
                    <w:rPr>
                      <w:color w:val="auto"/>
                      <w:sz w:val="18"/>
                      <w:szCs w:val="18"/>
                    </w:rPr>
                  </w:pPr>
                  <w:r>
                    <w:rPr>
                      <w:rFonts w:hint="eastAsia"/>
                      <w:color w:val="auto"/>
                      <w:sz w:val="18"/>
                      <w:szCs w:val="18"/>
                    </w:rPr>
                    <w:t>1</w:t>
                  </w:r>
                </w:p>
              </w:tc>
              <w:tc>
                <w:tcPr>
                  <w:tcW w:w="1387" w:type="dxa"/>
                  <w:vAlign w:val="center"/>
                </w:tcPr>
                <w:p w14:paraId="0E814EFD">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11C005D2">
                  <w:pPr>
                    <w:pStyle w:val="4"/>
                    <w:spacing w:before="0" w:after="0" w:line="240" w:lineRule="auto"/>
                    <w:jc w:val="center"/>
                    <w:rPr>
                      <w:b w:val="0"/>
                      <w:bCs w:val="0"/>
                      <w:color w:val="auto"/>
                      <w:sz w:val="18"/>
                      <w:szCs w:val="18"/>
                    </w:rPr>
                  </w:pPr>
                </w:p>
              </w:tc>
            </w:tr>
            <w:tr w14:paraId="41AE1F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79C17DB4">
                  <w:pPr>
                    <w:jc w:val="center"/>
                    <w:rPr>
                      <w:color w:val="auto"/>
                      <w:sz w:val="18"/>
                      <w:szCs w:val="18"/>
                    </w:rPr>
                  </w:pPr>
                </w:p>
              </w:tc>
              <w:tc>
                <w:tcPr>
                  <w:tcW w:w="809" w:type="dxa"/>
                  <w:vMerge w:val="continue"/>
                  <w:vAlign w:val="center"/>
                </w:tcPr>
                <w:p w14:paraId="0F00666B">
                  <w:pPr>
                    <w:jc w:val="center"/>
                    <w:rPr>
                      <w:snapToGrid w:val="0"/>
                      <w:color w:val="auto"/>
                      <w:sz w:val="18"/>
                      <w:szCs w:val="18"/>
                    </w:rPr>
                  </w:pPr>
                </w:p>
              </w:tc>
              <w:tc>
                <w:tcPr>
                  <w:tcW w:w="1506" w:type="dxa"/>
                  <w:vAlign w:val="center"/>
                </w:tcPr>
                <w:p w14:paraId="1D65CC72">
                  <w:pPr>
                    <w:jc w:val="center"/>
                    <w:rPr>
                      <w:color w:val="auto"/>
                      <w:sz w:val="18"/>
                      <w:szCs w:val="18"/>
                    </w:rPr>
                  </w:pPr>
                  <w:r>
                    <w:rPr>
                      <w:rFonts w:hint="eastAsia"/>
                      <w:color w:val="auto"/>
                      <w:sz w:val="18"/>
                      <w:szCs w:val="18"/>
                    </w:rPr>
                    <w:t>硝酸</w:t>
                  </w:r>
                </w:p>
              </w:tc>
              <w:tc>
                <w:tcPr>
                  <w:tcW w:w="2052" w:type="dxa"/>
                  <w:vAlign w:val="center"/>
                </w:tcPr>
                <w:p w14:paraId="65610661">
                  <w:pPr>
                    <w:jc w:val="center"/>
                    <w:rPr>
                      <w:color w:val="auto"/>
                      <w:sz w:val="18"/>
                      <w:szCs w:val="18"/>
                    </w:rPr>
                  </w:pPr>
                  <w:r>
                    <w:rPr>
                      <w:rFonts w:hint="eastAsia"/>
                      <w:color w:val="auto"/>
                      <w:sz w:val="18"/>
                      <w:szCs w:val="18"/>
                    </w:rPr>
                    <w:t>68%，AR</w:t>
                  </w:r>
                  <w:r>
                    <w:rPr>
                      <w:color w:val="auto"/>
                      <w:sz w:val="18"/>
                      <w:szCs w:val="18"/>
                    </w:rPr>
                    <w:t>，</w:t>
                  </w:r>
                  <w:r>
                    <w:rPr>
                      <w:rFonts w:eastAsia="Helvetica"/>
                      <w:color w:val="auto"/>
                      <w:sz w:val="18"/>
                      <w:szCs w:val="18"/>
                      <w:shd w:val="clear" w:color="auto" w:fill="FFFFFF"/>
                    </w:rPr>
                    <w:t>HNO</w:t>
                  </w:r>
                  <w:r>
                    <w:rPr>
                      <w:rFonts w:eastAsia="Helvetica"/>
                      <w:color w:val="auto"/>
                      <w:sz w:val="18"/>
                      <w:szCs w:val="18"/>
                      <w:shd w:val="clear" w:color="auto" w:fill="FFFFFF"/>
                      <w:vertAlign w:val="subscript"/>
                    </w:rPr>
                    <w:t>3</w:t>
                  </w:r>
                </w:p>
              </w:tc>
              <w:tc>
                <w:tcPr>
                  <w:tcW w:w="762" w:type="dxa"/>
                  <w:vAlign w:val="center"/>
                </w:tcPr>
                <w:p w14:paraId="563EB6B1">
                  <w:pPr>
                    <w:jc w:val="center"/>
                    <w:rPr>
                      <w:color w:val="auto"/>
                      <w:sz w:val="18"/>
                      <w:szCs w:val="18"/>
                    </w:rPr>
                  </w:pPr>
                  <w:r>
                    <w:rPr>
                      <w:rFonts w:hint="eastAsia"/>
                      <w:color w:val="auto"/>
                      <w:sz w:val="18"/>
                      <w:szCs w:val="18"/>
                    </w:rPr>
                    <w:t>4</w:t>
                  </w:r>
                </w:p>
              </w:tc>
              <w:tc>
                <w:tcPr>
                  <w:tcW w:w="817" w:type="dxa"/>
                  <w:vAlign w:val="center"/>
                </w:tcPr>
                <w:p w14:paraId="3EF37D04">
                  <w:pPr>
                    <w:jc w:val="center"/>
                    <w:rPr>
                      <w:color w:val="auto"/>
                      <w:sz w:val="18"/>
                      <w:szCs w:val="18"/>
                    </w:rPr>
                  </w:pPr>
                  <w:r>
                    <w:rPr>
                      <w:rFonts w:hint="eastAsia"/>
                      <w:color w:val="auto"/>
                      <w:sz w:val="18"/>
                      <w:szCs w:val="18"/>
                    </w:rPr>
                    <w:t>1</w:t>
                  </w:r>
                </w:p>
              </w:tc>
              <w:tc>
                <w:tcPr>
                  <w:tcW w:w="1387" w:type="dxa"/>
                  <w:vAlign w:val="center"/>
                </w:tcPr>
                <w:p w14:paraId="1E0FDEB1">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61DEF6C7">
                  <w:pPr>
                    <w:pStyle w:val="4"/>
                    <w:spacing w:before="0" w:after="0" w:line="240" w:lineRule="auto"/>
                    <w:jc w:val="center"/>
                    <w:rPr>
                      <w:b w:val="0"/>
                      <w:bCs w:val="0"/>
                      <w:color w:val="auto"/>
                      <w:sz w:val="18"/>
                      <w:szCs w:val="18"/>
                    </w:rPr>
                  </w:pPr>
                </w:p>
              </w:tc>
            </w:tr>
            <w:tr w14:paraId="313875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6" w:hRule="atLeast"/>
                <w:jc w:val="center"/>
              </w:trPr>
              <w:tc>
                <w:tcPr>
                  <w:tcW w:w="669" w:type="dxa"/>
                  <w:vMerge w:val="continue"/>
                  <w:vAlign w:val="center"/>
                </w:tcPr>
                <w:p w14:paraId="4FF2278E">
                  <w:pPr>
                    <w:jc w:val="center"/>
                    <w:rPr>
                      <w:color w:val="auto"/>
                      <w:sz w:val="18"/>
                      <w:szCs w:val="18"/>
                    </w:rPr>
                  </w:pPr>
                </w:p>
              </w:tc>
              <w:tc>
                <w:tcPr>
                  <w:tcW w:w="809" w:type="dxa"/>
                  <w:vMerge w:val="continue"/>
                  <w:vAlign w:val="center"/>
                </w:tcPr>
                <w:p w14:paraId="17E440BD">
                  <w:pPr>
                    <w:jc w:val="center"/>
                    <w:rPr>
                      <w:snapToGrid w:val="0"/>
                      <w:color w:val="auto"/>
                      <w:sz w:val="18"/>
                      <w:szCs w:val="18"/>
                    </w:rPr>
                  </w:pPr>
                </w:p>
              </w:tc>
              <w:tc>
                <w:tcPr>
                  <w:tcW w:w="1506" w:type="dxa"/>
                  <w:vAlign w:val="center"/>
                </w:tcPr>
                <w:p w14:paraId="2A945772">
                  <w:pPr>
                    <w:jc w:val="center"/>
                    <w:rPr>
                      <w:color w:val="auto"/>
                      <w:sz w:val="18"/>
                      <w:szCs w:val="18"/>
                    </w:rPr>
                  </w:pPr>
                  <w:r>
                    <w:rPr>
                      <w:rFonts w:hint="eastAsia"/>
                      <w:color w:val="auto"/>
                      <w:sz w:val="18"/>
                      <w:szCs w:val="18"/>
                    </w:rPr>
                    <w:t>磷酸</w:t>
                  </w:r>
                </w:p>
              </w:tc>
              <w:tc>
                <w:tcPr>
                  <w:tcW w:w="2052" w:type="dxa"/>
                  <w:vAlign w:val="center"/>
                </w:tcPr>
                <w:p w14:paraId="17EB8084">
                  <w:pPr>
                    <w:jc w:val="center"/>
                    <w:rPr>
                      <w:color w:val="auto"/>
                      <w:sz w:val="18"/>
                      <w:szCs w:val="18"/>
                    </w:rPr>
                  </w:pPr>
                  <w:r>
                    <w:rPr>
                      <w:rFonts w:hint="eastAsia"/>
                      <w:color w:val="auto"/>
                      <w:sz w:val="18"/>
                      <w:szCs w:val="18"/>
                    </w:rPr>
                    <w:t>85%，AR</w:t>
                  </w:r>
                  <w:r>
                    <w:rPr>
                      <w:color w:val="auto"/>
                      <w:sz w:val="18"/>
                      <w:szCs w:val="18"/>
                    </w:rPr>
                    <w:t>，</w:t>
                  </w:r>
                  <w:r>
                    <w:rPr>
                      <w:rFonts w:eastAsia="Helvetica"/>
                      <w:color w:val="auto"/>
                      <w:sz w:val="18"/>
                      <w:szCs w:val="18"/>
                      <w:shd w:val="clear" w:color="auto" w:fill="FFFFFF"/>
                    </w:rPr>
                    <w:t>H</w:t>
                  </w:r>
                  <w:r>
                    <w:rPr>
                      <w:color w:val="auto"/>
                      <w:sz w:val="18"/>
                      <w:szCs w:val="18"/>
                      <w:shd w:val="clear" w:color="auto" w:fill="FFFFFF"/>
                      <w:vertAlign w:val="subscript"/>
                    </w:rPr>
                    <w:t>3</w:t>
                  </w:r>
                  <w:r>
                    <w:rPr>
                      <w:rFonts w:eastAsia="Helvetica"/>
                      <w:color w:val="auto"/>
                      <w:sz w:val="18"/>
                      <w:szCs w:val="18"/>
                      <w:shd w:val="clear" w:color="auto" w:fill="FFFFFF"/>
                    </w:rPr>
                    <w:t>PO</w:t>
                  </w:r>
                  <w:r>
                    <w:rPr>
                      <w:color w:val="auto"/>
                      <w:sz w:val="18"/>
                      <w:szCs w:val="18"/>
                      <w:shd w:val="clear" w:color="auto" w:fill="FFFFFF"/>
                      <w:vertAlign w:val="subscript"/>
                    </w:rPr>
                    <w:t>4</w:t>
                  </w:r>
                </w:p>
              </w:tc>
              <w:tc>
                <w:tcPr>
                  <w:tcW w:w="762" w:type="dxa"/>
                  <w:vAlign w:val="center"/>
                </w:tcPr>
                <w:p w14:paraId="40AE0219">
                  <w:pPr>
                    <w:jc w:val="center"/>
                    <w:rPr>
                      <w:color w:val="auto"/>
                      <w:sz w:val="18"/>
                      <w:szCs w:val="18"/>
                    </w:rPr>
                  </w:pPr>
                  <w:r>
                    <w:rPr>
                      <w:rFonts w:hint="eastAsia"/>
                      <w:color w:val="auto"/>
                      <w:sz w:val="18"/>
                      <w:szCs w:val="18"/>
                    </w:rPr>
                    <w:t>5</w:t>
                  </w:r>
                </w:p>
              </w:tc>
              <w:tc>
                <w:tcPr>
                  <w:tcW w:w="817" w:type="dxa"/>
                  <w:vAlign w:val="center"/>
                </w:tcPr>
                <w:p w14:paraId="6E93511F">
                  <w:pPr>
                    <w:jc w:val="center"/>
                    <w:rPr>
                      <w:color w:val="auto"/>
                      <w:sz w:val="18"/>
                      <w:szCs w:val="18"/>
                    </w:rPr>
                  </w:pPr>
                  <w:r>
                    <w:rPr>
                      <w:rFonts w:hint="eastAsia"/>
                      <w:color w:val="auto"/>
                      <w:sz w:val="18"/>
                      <w:szCs w:val="18"/>
                    </w:rPr>
                    <w:t>1</w:t>
                  </w:r>
                </w:p>
              </w:tc>
              <w:tc>
                <w:tcPr>
                  <w:tcW w:w="1387" w:type="dxa"/>
                  <w:vAlign w:val="center"/>
                </w:tcPr>
                <w:p w14:paraId="249BFC83">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0F32F6F3">
                  <w:pPr>
                    <w:pStyle w:val="4"/>
                    <w:spacing w:before="0" w:after="0" w:line="240" w:lineRule="auto"/>
                    <w:jc w:val="center"/>
                    <w:rPr>
                      <w:b w:val="0"/>
                      <w:bCs w:val="0"/>
                      <w:color w:val="auto"/>
                      <w:sz w:val="18"/>
                      <w:szCs w:val="18"/>
                    </w:rPr>
                  </w:pPr>
                </w:p>
              </w:tc>
            </w:tr>
            <w:tr w14:paraId="2C3486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0" w:hRule="atLeast"/>
                <w:jc w:val="center"/>
              </w:trPr>
              <w:tc>
                <w:tcPr>
                  <w:tcW w:w="669" w:type="dxa"/>
                  <w:vMerge w:val="continue"/>
                  <w:vAlign w:val="center"/>
                </w:tcPr>
                <w:p w14:paraId="5DF0984B">
                  <w:pPr>
                    <w:jc w:val="center"/>
                    <w:rPr>
                      <w:color w:val="auto"/>
                      <w:sz w:val="18"/>
                      <w:szCs w:val="18"/>
                    </w:rPr>
                  </w:pPr>
                </w:p>
              </w:tc>
              <w:tc>
                <w:tcPr>
                  <w:tcW w:w="809" w:type="dxa"/>
                  <w:vMerge w:val="continue"/>
                  <w:vAlign w:val="center"/>
                </w:tcPr>
                <w:p w14:paraId="720F6423">
                  <w:pPr>
                    <w:jc w:val="center"/>
                    <w:rPr>
                      <w:snapToGrid w:val="0"/>
                      <w:color w:val="auto"/>
                      <w:sz w:val="18"/>
                      <w:szCs w:val="18"/>
                    </w:rPr>
                  </w:pPr>
                </w:p>
              </w:tc>
              <w:tc>
                <w:tcPr>
                  <w:tcW w:w="1506" w:type="dxa"/>
                  <w:vAlign w:val="center"/>
                </w:tcPr>
                <w:p w14:paraId="53818C53">
                  <w:pPr>
                    <w:jc w:val="center"/>
                    <w:rPr>
                      <w:color w:val="auto"/>
                      <w:sz w:val="18"/>
                      <w:szCs w:val="18"/>
                    </w:rPr>
                  </w:pPr>
                  <w:r>
                    <w:rPr>
                      <w:rFonts w:hint="eastAsia"/>
                      <w:color w:val="auto"/>
                      <w:sz w:val="18"/>
                      <w:szCs w:val="18"/>
                    </w:rPr>
                    <w:t>氢氧化钠</w:t>
                  </w:r>
                </w:p>
              </w:tc>
              <w:tc>
                <w:tcPr>
                  <w:tcW w:w="2052" w:type="dxa"/>
                  <w:vAlign w:val="center"/>
                </w:tcPr>
                <w:p w14:paraId="2BF11E80">
                  <w:pPr>
                    <w:jc w:val="center"/>
                    <w:rPr>
                      <w:color w:val="auto"/>
                      <w:sz w:val="18"/>
                      <w:szCs w:val="18"/>
                    </w:rPr>
                  </w:pPr>
                  <w:r>
                    <w:rPr>
                      <w:rFonts w:hint="eastAsia"/>
                      <w:color w:val="auto"/>
                      <w:sz w:val="18"/>
                      <w:szCs w:val="18"/>
                    </w:rPr>
                    <w:t>96%，AR，</w:t>
                  </w:r>
                  <w:r>
                    <w:rPr>
                      <w:rFonts w:eastAsia="Helvetica"/>
                      <w:color w:val="auto"/>
                      <w:sz w:val="18"/>
                      <w:szCs w:val="18"/>
                      <w:shd w:val="clear" w:color="auto" w:fill="FFFFFF"/>
                    </w:rPr>
                    <w:t>NaOH</w:t>
                  </w:r>
                </w:p>
              </w:tc>
              <w:tc>
                <w:tcPr>
                  <w:tcW w:w="762" w:type="dxa"/>
                  <w:vAlign w:val="center"/>
                </w:tcPr>
                <w:p w14:paraId="5C2BDFE0">
                  <w:pPr>
                    <w:jc w:val="center"/>
                    <w:rPr>
                      <w:color w:val="auto"/>
                      <w:sz w:val="18"/>
                      <w:szCs w:val="18"/>
                    </w:rPr>
                  </w:pPr>
                  <w:r>
                    <w:rPr>
                      <w:rFonts w:hint="eastAsia"/>
                      <w:color w:val="auto"/>
                      <w:sz w:val="18"/>
                      <w:szCs w:val="18"/>
                    </w:rPr>
                    <w:t>6</w:t>
                  </w:r>
                </w:p>
              </w:tc>
              <w:tc>
                <w:tcPr>
                  <w:tcW w:w="817" w:type="dxa"/>
                  <w:vAlign w:val="center"/>
                </w:tcPr>
                <w:p w14:paraId="1A388A3D">
                  <w:pPr>
                    <w:jc w:val="center"/>
                    <w:rPr>
                      <w:color w:val="auto"/>
                      <w:sz w:val="18"/>
                      <w:szCs w:val="18"/>
                    </w:rPr>
                  </w:pPr>
                  <w:r>
                    <w:rPr>
                      <w:rFonts w:hint="eastAsia"/>
                      <w:color w:val="auto"/>
                      <w:sz w:val="18"/>
                      <w:szCs w:val="18"/>
                    </w:rPr>
                    <w:t>2</w:t>
                  </w:r>
                </w:p>
              </w:tc>
              <w:tc>
                <w:tcPr>
                  <w:tcW w:w="1387" w:type="dxa"/>
                  <w:vAlign w:val="center"/>
                </w:tcPr>
                <w:p w14:paraId="061C154A">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7E696429">
                  <w:pPr>
                    <w:pStyle w:val="4"/>
                    <w:spacing w:before="0" w:after="0" w:line="240" w:lineRule="auto"/>
                    <w:jc w:val="center"/>
                    <w:rPr>
                      <w:b w:val="0"/>
                      <w:bCs w:val="0"/>
                      <w:color w:val="auto"/>
                      <w:sz w:val="18"/>
                      <w:szCs w:val="18"/>
                    </w:rPr>
                  </w:pPr>
                </w:p>
              </w:tc>
            </w:tr>
            <w:tr w14:paraId="3D0A92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76190EC0">
                  <w:pPr>
                    <w:jc w:val="center"/>
                    <w:rPr>
                      <w:color w:val="auto"/>
                      <w:sz w:val="18"/>
                      <w:szCs w:val="18"/>
                    </w:rPr>
                  </w:pPr>
                </w:p>
              </w:tc>
              <w:tc>
                <w:tcPr>
                  <w:tcW w:w="809" w:type="dxa"/>
                  <w:vMerge w:val="continue"/>
                  <w:vAlign w:val="center"/>
                </w:tcPr>
                <w:p w14:paraId="3A57E0AC">
                  <w:pPr>
                    <w:jc w:val="center"/>
                    <w:rPr>
                      <w:snapToGrid w:val="0"/>
                      <w:color w:val="auto"/>
                      <w:sz w:val="18"/>
                      <w:szCs w:val="18"/>
                    </w:rPr>
                  </w:pPr>
                </w:p>
              </w:tc>
              <w:tc>
                <w:tcPr>
                  <w:tcW w:w="1506" w:type="dxa"/>
                  <w:vAlign w:val="center"/>
                </w:tcPr>
                <w:p w14:paraId="58530950">
                  <w:pPr>
                    <w:jc w:val="center"/>
                    <w:rPr>
                      <w:color w:val="auto"/>
                      <w:sz w:val="18"/>
                      <w:szCs w:val="18"/>
                    </w:rPr>
                  </w:pPr>
                  <w:r>
                    <w:rPr>
                      <w:rFonts w:hint="eastAsia"/>
                      <w:color w:val="auto"/>
                      <w:sz w:val="18"/>
                      <w:szCs w:val="18"/>
                    </w:rPr>
                    <w:t>氢氧化钾</w:t>
                  </w:r>
                </w:p>
              </w:tc>
              <w:tc>
                <w:tcPr>
                  <w:tcW w:w="2052" w:type="dxa"/>
                  <w:vAlign w:val="center"/>
                </w:tcPr>
                <w:p w14:paraId="0499324F">
                  <w:pPr>
                    <w:jc w:val="center"/>
                    <w:rPr>
                      <w:color w:val="auto"/>
                      <w:sz w:val="18"/>
                      <w:szCs w:val="18"/>
                    </w:rPr>
                  </w:pPr>
                  <w:r>
                    <w:rPr>
                      <w:rFonts w:hint="eastAsia"/>
                      <w:color w:val="auto"/>
                      <w:sz w:val="18"/>
                      <w:szCs w:val="18"/>
                    </w:rPr>
                    <w:t>85%，AR</w:t>
                  </w:r>
                  <w:r>
                    <w:rPr>
                      <w:color w:val="auto"/>
                      <w:sz w:val="18"/>
                      <w:szCs w:val="18"/>
                    </w:rPr>
                    <w:t>，</w:t>
                  </w:r>
                  <w:r>
                    <w:rPr>
                      <w:rFonts w:eastAsia="Helvetica"/>
                      <w:color w:val="auto"/>
                      <w:sz w:val="18"/>
                      <w:szCs w:val="18"/>
                      <w:shd w:val="clear" w:color="auto" w:fill="FFFFFF"/>
                    </w:rPr>
                    <w:t>KOH</w:t>
                  </w:r>
                </w:p>
              </w:tc>
              <w:tc>
                <w:tcPr>
                  <w:tcW w:w="762" w:type="dxa"/>
                  <w:vAlign w:val="center"/>
                </w:tcPr>
                <w:p w14:paraId="042BB7ED">
                  <w:pPr>
                    <w:jc w:val="center"/>
                    <w:rPr>
                      <w:color w:val="auto"/>
                      <w:sz w:val="18"/>
                      <w:szCs w:val="18"/>
                    </w:rPr>
                  </w:pPr>
                  <w:r>
                    <w:rPr>
                      <w:rFonts w:hint="eastAsia"/>
                      <w:color w:val="auto"/>
                      <w:sz w:val="18"/>
                      <w:szCs w:val="18"/>
                    </w:rPr>
                    <w:t>2</w:t>
                  </w:r>
                </w:p>
              </w:tc>
              <w:tc>
                <w:tcPr>
                  <w:tcW w:w="817" w:type="dxa"/>
                  <w:vAlign w:val="center"/>
                </w:tcPr>
                <w:p w14:paraId="1C3BAD8E">
                  <w:pPr>
                    <w:jc w:val="center"/>
                    <w:rPr>
                      <w:color w:val="auto"/>
                      <w:sz w:val="18"/>
                      <w:szCs w:val="18"/>
                    </w:rPr>
                  </w:pPr>
                  <w:r>
                    <w:rPr>
                      <w:rFonts w:hint="eastAsia"/>
                      <w:color w:val="auto"/>
                      <w:sz w:val="18"/>
                      <w:szCs w:val="18"/>
                    </w:rPr>
                    <w:t>1</w:t>
                  </w:r>
                </w:p>
              </w:tc>
              <w:tc>
                <w:tcPr>
                  <w:tcW w:w="1387" w:type="dxa"/>
                  <w:vAlign w:val="center"/>
                </w:tcPr>
                <w:p w14:paraId="387DEBBD">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51C9929E">
                  <w:pPr>
                    <w:pStyle w:val="4"/>
                    <w:spacing w:before="0" w:after="0" w:line="240" w:lineRule="auto"/>
                    <w:jc w:val="center"/>
                    <w:rPr>
                      <w:b w:val="0"/>
                      <w:bCs w:val="0"/>
                      <w:color w:val="auto"/>
                      <w:sz w:val="18"/>
                      <w:szCs w:val="18"/>
                    </w:rPr>
                  </w:pPr>
                </w:p>
              </w:tc>
            </w:tr>
            <w:tr w14:paraId="17C609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59B1DFFC">
                  <w:pPr>
                    <w:jc w:val="center"/>
                    <w:rPr>
                      <w:color w:val="auto"/>
                      <w:sz w:val="18"/>
                      <w:szCs w:val="18"/>
                    </w:rPr>
                  </w:pPr>
                </w:p>
              </w:tc>
              <w:tc>
                <w:tcPr>
                  <w:tcW w:w="809" w:type="dxa"/>
                  <w:vMerge w:val="continue"/>
                  <w:vAlign w:val="center"/>
                </w:tcPr>
                <w:p w14:paraId="17EAB85E">
                  <w:pPr>
                    <w:jc w:val="center"/>
                    <w:rPr>
                      <w:snapToGrid w:val="0"/>
                      <w:color w:val="auto"/>
                      <w:sz w:val="18"/>
                      <w:szCs w:val="18"/>
                    </w:rPr>
                  </w:pPr>
                </w:p>
              </w:tc>
              <w:tc>
                <w:tcPr>
                  <w:tcW w:w="1506" w:type="dxa"/>
                  <w:vAlign w:val="center"/>
                </w:tcPr>
                <w:p w14:paraId="22AF9E41">
                  <w:pPr>
                    <w:jc w:val="center"/>
                    <w:rPr>
                      <w:color w:val="auto"/>
                      <w:sz w:val="18"/>
                      <w:szCs w:val="18"/>
                    </w:rPr>
                  </w:pPr>
                  <w:r>
                    <w:rPr>
                      <w:rFonts w:hint="eastAsia"/>
                      <w:color w:val="auto"/>
                      <w:sz w:val="18"/>
                      <w:szCs w:val="18"/>
                    </w:rPr>
                    <w:t>碳酸氢钠</w:t>
                  </w:r>
                </w:p>
              </w:tc>
              <w:tc>
                <w:tcPr>
                  <w:tcW w:w="2052" w:type="dxa"/>
                  <w:vAlign w:val="center"/>
                </w:tcPr>
                <w:p w14:paraId="4656EE9E">
                  <w:pPr>
                    <w:jc w:val="center"/>
                    <w:rPr>
                      <w:color w:val="auto"/>
                      <w:sz w:val="18"/>
                      <w:szCs w:val="18"/>
                    </w:rPr>
                  </w:pPr>
                  <w:r>
                    <w:rPr>
                      <w:rFonts w:hint="eastAsia"/>
                      <w:color w:val="auto"/>
                      <w:sz w:val="18"/>
                      <w:szCs w:val="18"/>
                    </w:rPr>
                    <w:t>99.5%，AR</w:t>
                  </w:r>
                  <w:r>
                    <w:rPr>
                      <w:color w:val="auto"/>
                      <w:sz w:val="18"/>
                      <w:szCs w:val="18"/>
                    </w:rPr>
                    <w:t>，</w:t>
                  </w:r>
                  <w:r>
                    <w:rPr>
                      <w:rFonts w:eastAsia="Helvetica"/>
                      <w:color w:val="auto"/>
                      <w:sz w:val="18"/>
                      <w:szCs w:val="18"/>
                      <w:shd w:val="clear" w:color="auto" w:fill="FFFFFF"/>
                    </w:rPr>
                    <w:t>NaHCO</w:t>
                  </w:r>
                  <w:r>
                    <w:rPr>
                      <w:color w:val="auto"/>
                      <w:sz w:val="18"/>
                      <w:szCs w:val="18"/>
                      <w:shd w:val="clear" w:color="auto" w:fill="FFFFFF"/>
                      <w:vertAlign w:val="subscript"/>
                    </w:rPr>
                    <w:t>3</w:t>
                  </w:r>
                </w:p>
              </w:tc>
              <w:tc>
                <w:tcPr>
                  <w:tcW w:w="762" w:type="dxa"/>
                  <w:vAlign w:val="center"/>
                </w:tcPr>
                <w:p w14:paraId="100CF66C">
                  <w:pPr>
                    <w:jc w:val="center"/>
                    <w:rPr>
                      <w:color w:val="auto"/>
                      <w:sz w:val="18"/>
                      <w:szCs w:val="18"/>
                    </w:rPr>
                  </w:pPr>
                  <w:r>
                    <w:rPr>
                      <w:rFonts w:hint="eastAsia"/>
                      <w:color w:val="auto"/>
                      <w:sz w:val="18"/>
                      <w:szCs w:val="18"/>
                    </w:rPr>
                    <w:t>8</w:t>
                  </w:r>
                </w:p>
              </w:tc>
              <w:tc>
                <w:tcPr>
                  <w:tcW w:w="817" w:type="dxa"/>
                  <w:vAlign w:val="center"/>
                </w:tcPr>
                <w:p w14:paraId="5C564A99">
                  <w:pPr>
                    <w:jc w:val="center"/>
                    <w:rPr>
                      <w:color w:val="auto"/>
                      <w:sz w:val="18"/>
                      <w:szCs w:val="18"/>
                    </w:rPr>
                  </w:pPr>
                  <w:r>
                    <w:rPr>
                      <w:rFonts w:hint="eastAsia"/>
                      <w:color w:val="auto"/>
                      <w:sz w:val="18"/>
                      <w:szCs w:val="18"/>
                    </w:rPr>
                    <w:t>2</w:t>
                  </w:r>
                </w:p>
              </w:tc>
              <w:tc>
                <w:tcPr>
                  <w:tcW w:w="1387" w:type="dxa"/>
                  <w:vAlign w:val="center"/>
                </w:tcPr>
                <w:p w14:paraId="7578C6B7">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356C5357">
                  <w:pPr>
                    <w:pStyle w:val="4"/>
                    <w:spacing w:before="0" w:after="0" w:line="240" w:lineRule="auto"/>
                    <w:jc w:val="center"/>
                    <w:rPr>
                      <w:b w:val="0"/>
                      <w:bCs w:val="0"/>
                      <w:color w:val="auto"/>
                      <w:sz w:val="18"/>
                      <w:szCs w:val="18"/>
                    </w:rPr>
                  </w:pPr>
                </w:p>
              </w:tc>
            </w:tr>
            <w:tr w14:paraId="334453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237A49DD">
                  <w:pPr>
                    <w:jc w:val="center"/>
                    <w:rPr>
                      <w:color w:val="auto"/>
                      <w:sz w:val="18"/>
                      <w:szCs w:val="18"/>
                    </w:rPr>
                  </w:pPr>
                </w:p>
              </w:tc>
              <w:tc>
                <w:tcPr>
                  <w:tcW w:w="809" w:type="dxa"/>
                  <w:vMerge w:val="continue"/>
                  <w:vAlign w:val="center"/>
                </w:tcPr>
                <w:p w14:paraId="25706F0A">
                  <w:pPr>
                    <w:jc w:val="center"/>
                    <w:rPr>
                      <w:snapToGrid w:val="0"/>
                      <w:color w:val="auto"/>
                      <w:sz w:val="18"/>
                      <w:szCs w:val="18"/>
                    </w:rPr>
                  </w:pPr>
                </w:p>
              </w:tc>
              <w:tc>
                <w:tcPr>
                  <w:tcW w:w="1506" w:type="dxa"/>
                  <w:vAlign w:val="center"/>
                </w:tcPr>
                <w:p w14:paraId="65609E9C">
                  <w:pPr>
                    <w:jc w:val="center"/>
                    <w:rPr>
                      <w:color w:val="auto"/>
                      <w:sz w:val="18"/>
                      <w:szCs w:val="18"/>
                    </w:rPr>
                  </w:pPr>
                  <w:r>
                    <w:rPr>
                      <w:rFonts w:hint="eastAsia"/>
                      <w:color w:val="auto"/>
                      <w:sz w:val="18"/>
                      <w:szCs w:val="18"/>
                    </w:rPr>
                    <w:t>碳酸钠</w:t>
                  </w:r>
                </w:p>
              </w:tc>
              <w:tc>
                <w:tcPr>
                  <w:tcW w:w="2052" w:type="dxa"/>
                  <w:vAlign w:val="center"/>
                </w:tcPr>
                <w:p w14:paraId="46B1A78E">
                  <w:pPr>
                    <w:jc w:val="center"/>
                    <w:rPr>
                      <w:color w:val="auto"/>
                      <w:sz w:val="18"/>
                      <w:szCs w:val="18"/>
                    </w:rPr>
                  </w:pPr>
                  <w:r>
                    <w:rPr>
                      <w:rFonts w:hint="eastAsia"/>
                      <w:color w:val="auto"/>
                      <w:sz w:val="18"/>
                      <w:szCs w:val="18"/>
                    </w:rPr>
                    <w:t>99.98%，PT</w:t>
                  </w:r>
                  <w:r>
                    <w:rPr>
                      <w:color w:val="auto"/>
                      <w:sz w:val="18"/>
                      <w:szCs w:val="18"/>
                    </w:rPr>
                    <w:t>，</w:t>
                  </w:r>
                  <w:r>
                    <w:rPr>
                      <w:rFonts w:eastAsia="Helvetica"/>
                      <w:color w:val="auto"/>
                      <w:sz w:val="18"/>
                      <w:szCs w:val="18"/>
                      <w:shd w:val="clear" w:color="auto" w:fill="FFFFFF"/>
                    </w:rPr>
                    <w:t>Na</w:t>
                  </w:r>
                  <w:r>
                    <w:rPr>
                      <w:rFonts w:eastAsia="Helvetica"/>
                      <w:color w:val="auto"/>
                      <w:sz w:val="18"/>
                      <w:szCs w:val="18"/>
                      <w:shd w:val="clear" w:color="auto" w:fill="FFFFFF"/>
                      <w:vertAlign w:val="subscript"/>
                    </w:rPr>
                    <w:t>2</w:t>
                  </w:r>
                  <w:r>
                    <w:rPr>
                      <w:rFonts w:eastAsia="Helvetica"/>
                      <w:color w:val="auto"/>
                      <w:sz w:val="18"/>
                      <w:szCs w:val="18"/>
                      <w:shd w:val="clear" w:color="auto" w:fill="FFFFFF"/>
                    </w:rPr>
                    <w:t>CO</w:t>
                  </w:r>
                  <w:r>
                    <w:rPr>
                      <w:rFonts w:eastAsia="Helvetica"/>
                      <w:color w:val="auto"/>
                      <w:sz w:val="18"/>
                      <w:szCs w:val="18"/>
                      <w:shd w:val="clear" w:color="auto" w:fill="FFFFFF"/>
                      <w:vertAlign w:val="subscript"/>
                    </w:rPr>
                    <w:t>3</w:t>
                  </w:r>
                </w:p>
              </w:tc>
              <w:tc>
                <w:tcPr>
                  <w:tcW w:w="762" w:type="dxa"/>
                  <w:vAlign w:val="center"/>
                </w:tcPr>
                <w:p w14:paraId="2875C71B">
                  <w:pPr>
                    <w:jc w:val="center"/>
                    <w:rPr>
                      <w:color w:val="auto"/>
                      <w:sz w:val="18"/>
                      <w:szCs w:val="18"/>
                    </w:rPr>
                  </w:pPr>
                  <w:r>
                    <w:rPr>
                      <w:rFonts w:hint="eastAsia"/>
                      <w:color w:val="auto"/>
                      <w:sz w:val="18"/>
                      <w:szCs w:val="18"/>
                    </w:rPr>
                    <w:t>10</w:t>
                  </w:r>
                </w:p>
              </w:tc>
              <w:tc>
                <w:tcPr>
                  <w:tcW w:w="817" w:type="dxa"/>
                  <w:vAlign w:val="center"/>
                </w:tcPr>
                <w:p w14:paraId="49642C74">
                  <w:pPr>
                    <w:jc w:val="center"/>
                    <w:rPr>
                      <w:color w:val="auto"/>
                      <w:sz w:val="18"/>
                      <w:szCs w:val="18"/>
                    </w:rPr>
                  </w:pPr>
                  <w:r>
                    <w:rPr>
                      <w:rFonts w:hint="eastAsia"/>
                      <w:color w:val="auto"/>
                      <w:sz w:val="18"/>
                      <w:szCs w:val="18"/>
                    </w:rPr>
                    <w:t>1</w:t>
                  </w:r>
                </w:p>
              </w:tc>
              <w:tc>
                <w:tcPr>
                  <w:tcW w:w="1387" w:type="dxa"/>
                  <w:vAlign w:val="center"/>
                </w:tcPr>
                <w:p w14:paraId="230A2939">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57DC2355">
                  <w:pPr>
                    <w:pStyle w:val="4"/>
                    <w:spacing w:before="0" w:after="0" w:line="240" w:lineRule="auto"/>
                    <w:jc w:val="center"/>
                    <w:rPr>
                      <w:b w:val="0"/>
                      <w:bCs w:val="0"/>
                      <w:color w:val="auto"/>
                      <w:sz w:val="18"/>
                      <w:szCs w:val="18"/>
                    </w:rPr>
                  </w:pPr>
                </w:p>
              </w:tc>
            </w:tr>
            <w:tr w14:paraId="26A208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5F43B38E">
                  <w:pPr>
                    <w:jc w:val="center"/>
                    <w:rPr>
                      <w:color w:val="auto"/>
                      <w:sz w:val="18"/>
                      <w:szCs w:val="18"/>
                    </w:rPr>
                  </w:pPr>
                </w:p>
              </w:tc>
              <w:tc>
                <w:tcPr>
                  <w:tcW w:w="809" w:type="dxa"/>
                  <w:vMerge w:val="continue"/>
                  <w:vAlign w:val="center"/>
                </w:tcPr>
                <w:p w14:paraId="434C43EC">
                  <w:pPr>
                    <w:jc w:val="center"/>
                    <w:rPr>
                      <w:snapToGrid w:val="0"/>
                      <w:color w:val="auto"/>
                      <w:sz w:val="18"/>
                      <w:szCs w:val="18"/>
                    </w:rPr>
                  </w:pPr>
                </w:p>
              </w:tc>
              <w:tc>
                <w:tcPr>
                  <w:tcW w:w="1506" w:type="dxa"/>
                  <w:vAlign w:val="center"/>
                </w:tcPr>
                <w:p w14:paraId="5FD69FCE">
                  <w:pPr>
                    <w:jc w:val="center"/>
                    <w:rPr>
                      <w:color w:val="auto"/>
                      <w:sz w:val="18"/>
                      <w:szCs w:val="18"/>
                    </w:rPr>
                  </w:pPr>
                  <w:r>
                    <w:rPr>
                      <w:rFonts w:hint="eastAsia"/>
                      <w:color w:val="auto"/>
                      <w:sz w:val="18"/>
                      <w:szCs w:val="18"/>
                    </w:rPr>
                    <w:t>磷酸二氢钾</w:t>
                  </w:r>
                </w:p>
              </w:tc>
              <w:tc>
                <w:tcPr>
                  <w:tcW w:w="2052" w:type="dxa"/>
                  <w:vAlign w:val="center"/>
                </w:tcPr>
                <w:p w14:paraId="47BD9154">
                  <w:pPr>
                    <w:jc w:val="center"/>
                    <w:rPr>
                      <w:color w:val="auto"/>
                      <w:sz w:val="18"/>
                      <w:szCs w:val="18"/>
                    </w:rPr>
                  </w:pPr>
                  <w:r>
                    <w:rPr>
                      <w:rFonts w:hint="eastAsia"/>
                      <w:color w:val="auto"/>
                      <w:sz w:val="18"/>
                      <w:szCs w:val="18"/>
                    </w:rPr>
                    <w:t>99.5%，AR</w:t>
                  </w:r>
                  <w:r>
                    <w:rPr>
                      <w:color w:val="auto"/>
                      <w:sz w:val="18"/>
                      <w:szCs w:val="18"/>
                    </w:rPr>
                    <w:t>，</w:t>
                  </w:r>
                  <w:r>
                    <w:rPr>
                      <w:rFonts w:eastAsia="Helvetica"/>
                      <w:color w:val="auto"/>
                      <w:sz w:val="18"/>
                      <w:szCs w:val="18"/>
                      <w:shd w:val="clear" w:color="auto" w:fill="FFFFFF"/>
                    </w:rPr>
                    <w:t>KH</w:t>
                  </w:r>
                  <w:r>
                    <w:rPr>
                      <w:rFonts w:eastAsia="Helvetica"/>
                      <w:color w:val="auto"/>
                      <w:sz w:val="18"/>
                      <w:szCs w:val="18"/>
                      <w:shd w:val="clear" w:color="auto" w:fill="FFFFFF"/>
                      <w:vertAlign w:val="subscript"/>
                    </w:rPr>
                    <w:t>2</w:t>
                  </w:r>
                  <w:r>
                    <w:rPr>
                      <w:rFonts w:eastAsia="Helvetica"/>
                      <w:color w:val="auto"/>
                      <w:sz w:val="18"/>
                      <w:szCs w:val="18"/>
                      <w:shd w:val="clear" w:color="auto" w:fill="FFFFFF"/>
                    </w:rPr>
                    <w:t>PO</w:t>
                  </w:r>
                  <w:r>
                    <w:rPr>
                      <w:rFonts w:eastAsia="Helvetica"/>
                      <w:color w:val="auto"/>
                      <w:sz w:val="18"/>
                      <w:szCs w:val="18"/>
                      <w:shd w:val="clear" w:color="auto" w:fill="FFFFFF"/>
                      <w:vertAlign w:val="subscript"/>
                    </w:rPr>
                    <w:t>4</w:t>
                  </w:r>
                </w:p>
              </w:tc>
              <w:tc>
                <w:tcPr>
                  <w:tcW w:w="762" w:type="dxa"/>
                  <w:vAlign w:val="center"/>
                </w:tcPr>
                <w:p w14:paraId="4E7D2825">
                  <w:pPr>
                    <w:jc w:val="center"/>
                    <w:rPr>
                      <w:color w:val="auto"/>
                      <w:sz w:val="18"/>
                      <w:szCs w:val="18"/>
                    </w:rPr>
                  </w:pPr>
                  <w:r>
                    <w:rPr>
                      <w:rFonts w:hint="eastAsia"/>
                      <w:color w:val="auto"/>
                      <w:sz w:val="18"/>
                      <w:szCs w:val="18"/>
                    </w:rPr>
                    <w:t>10</w:t>
                  </w:r>
                </w:p>
              </w:tc>
              <w:tc>
                <w:tcPr>
                  <w:tcW w:w="817" w:type="dxa"/>
                  <w:vAlign w:val="center"/>
                </w:tcPr>
                <w:p w14:paraId="3279EB1C">
                  <w:pPr>
                    <w:jc w:val="center"/>
                    <w:rPr>
                      <w:color w:val="auto"/>
                      <w:sz w:val="18"/>
                      <w:szCs w:val="18"/>
                    </w:rPr>
                  </w:pPr>
                  <w:r>
                    <w:rPr>
                      <w:rFonts w:hint="eastAsia"/>
                      <w:color w:val="auto"/>
                      <w:sz w:val="18"/>
                      <w:szCs w:val="18"/>
                    </w:rPr>
                    <w:t>1</w:t>
                  </w:r>
                </w:p>
              </w:tc>
              <w:tc>
                <w:tcPr>
                  <w:tcW w:w="1387" w:type="dxa"/>
                  <w:vAlign w:val="center"/>
                </w:tcPr>
                <w:p w14:paraId="0A3D5895">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6E7C0393">
                  <w:pPr>
                    <w:pStyle w:val="4"/>
                    <w:spacing w:before="0" w:after="0" w:line="240" w:lineRule="auto"/>
                    <w:jc w:val="center"/>
                    <w:rPr>
                      <w:b w:val="0"/>
                      <w:bCs w:val="0"/>
                      <w:color w:val="auto"/>
                      <w:sz w:val="18"/>
                      <w:szCs w:val="18"/>
                    </w:rPr>
                  </w:pPr>
                </w:p>
              </w:tc>
            </w:tr>
            <w:tr w14:paraId="708BD8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311E98DB">
                  <w:pPr>
                    <w:jc w:val="center"/>
                    <w:rPr>
                      <w:color w:val="auto"/>
                      <w:sz w:val="18"/>
                      <w:szCs w:val="18"/>
                    </w:rPr>
                  </w:pPr>
                </w:p>
              </w:tc>
              <w:tc>
                <w:tcPr>
                  <w:tcW w:w="809" w:type="dxa"/>
                  <w:vMerge w:val="continue"/>
                  <w:vAlign w:val="center"/>
                </w:tcPr>
                <w:p w14:paraId="7DDACC3E">
                  <w:pPr>
                    <w:jc w:val="center"/>
                    <w:rPr>
                      <w:snapToGrid w:val="0"/>
                      <w:color w:val="auto"/>
                      <w:sz w:val="18"/>
                      <w:szCs w:val="18"/>
                    </w:rPr>
                  </w:pPr>
                </w:p>
              </w:tc>
              <w:tc>
                <w:tcPr>
                  <w:tcW w:w="1506" w:type="dxa"/>
                  <w:vAlign w:val="center"/>
                </w:tcPr>
                <w:p w14:paraId="4DDA59B0">
                  <w:pPr>
                    <w:jc w:val="center"/>
                    <w:rPr>
                      <w:color w:val="auto"/>
                      <w:sz w:val="18"/>
                      <w:szCs w:val="18"/>
                    </w:rPr>
                  </w:pPr>
                  <w:r>
                    <w:rPr>
                      <w:rFonts w:hint="eastAsia"/>
                      <w:color w:val="auto"/>
                      <w:sz w:val="18"/>
                      <w:szCs w:val="18"/>
                    </w:rPr>
                    <w:t>磷酸二氢钠</w:t>
                  </w:r>
                </w:p>
              </w:tc>
              <w:tc>
                <w:tcPr>
                  <w:tcW w:w="2052" w:type="dxa"/>
                  <w:vAlign w:val="center"/>
                </w:tcPr>
                <w:p w14:paraId="4CAF95D2">
                  <w:pPr>
                    <w:jc w:val="center"/>
                    <w:rPr>
                      <w:color w:val="auto"/>
                      <w:sz w:val="18"/>
                      <w:szCs w:val="18"/>
                    </w:rPr>
                  </w:pPr>
                  <w:r>
                    <w:rPr>
                      <w:rFonts w:hint="eastAsia"/>
                      <w:color w:val="auto"/>
                      <w:sz w:val="18"/>
                      <w:szCs w:val="18"/>
                    </w:rPr>
                    <w:t>99.0%，AR</w:t>
                  </w:r>
                  <w:r>
                    <w:rPr>
                      <w:color w:val="auto"/>
                      <w:sz w:val="18"/>
                      <w:szCs w:val="18"/>
                    </w:rPr>
                    <w:t>，</w:t>
                  </w:r>
                  <w:r>
                    <w:rPr>
                      <w:rFonts w:eastAsia="Helvetica"/>
                      <w:color w:val="auto"/>
                      <w:sz w:val="18"/>
                      <w:szCs w:val="18"/>
                      <w:shd w:val="clear" w:color="auto" w:fill="FFFFFF"/>
                    </w:rPr>
                    <w:t>NaH</w:t>
                  </w:r>
                  <w:r>
                    <w:rPr>
                      <w:rFonts w:eastAsia="Helvetica"/>
                      <w:color w:val="auto"/>
                      <w:sz w:val="18"/>
                      <w:szCs w:val="18"/>
                      <w:shd w:val="clear" w:color="auto" w:fill="FFFFFF"/>
                      <w:vertAlign w:val="subscript"/>
                    </w:rPr>
                    <w:t>2</w:t>
                  </w:r>
                  <w:r>
                    <w:rPr>
                      <w:rFonts w:eastAsia="Helvetica"/>
                      <w:color w:val="auto"/>
                      <w:sz w:val="18"/>
                      <w:szCs w:val="18"/>
                      <w:shd w:val="clear" w:color="auto" w:fill="FFFFFF"/>
                    </w:rPr>
                    <w:t>PO</w:t>
                  </w:r>
                  <w:r>
                    <w:rPr>
                      <w:rFonts w:eastAsia="Helvetica"/>
                      <w:color w:val="auto"/>
                      <w:sz w:val="18"/>
                      <w:szCs w:val="18"/>
                      <w:shd w:val="clear" w:color="auto" w:fill="FFFFFF"/>
                      <w:vertAlign w:val="subscript"/>
                    </w:rPr>
                    <w:t>4</w:t>
                  </w:r>
                </w:p>
              </w:tc>
              <w:tc>
                <w:tcPr>
                  <w:tcW w:w="762" w:type="dxa"/>
                  <w:vAlign w:val="center"/>
                </w:tcPr>
                <w:p w14:paraId="07136DD0">
                  <w:pPr>
                    <w:jc w:val="center"/>
                    <w:rPr>
                      <w:color w:val="auto"/>
                      <w:sz w:val="18"/>
                      <w:szCs w:val="18"/>
                    </w:rPr>
                  </w:pPr>
                  <w:r>
                    <w:rPr>
                      <w:rFonts w:hint="eastAsia"/>
                      <w:color w:val="auto"/>
                      <w:sz w:val="18"/>
                      <w:szCs w:val="18"/>
                    </w:rPr>
                    <w:t>10</w:t>
                  </w:r>
                </w:p>
              </w:tc>
              <w:tc>
                <w:tcPr>
                  <w:tcW w:w="817" w:type="dxa"/>
                  <w:vAlign w:val="center"/>
                </w:tcPr>
                <w:p w14:paraId="0F6873D8">
                  <w:pPr>
                    <w:jc w:val="center"/>
                    <w:rPr>
                      <w:color w:val="auto"/>
                      <w:sz w:val="18"/>
                      <w:szCs w:val="18"/>
                    </w:rPr>
                  </w:pPr>
                  <w:r>
                    <w:rPr>
                      <w:rFonts w:hint="eastAsia"/>
                      <w:color w:val="auto"/>
                      <w:sz w:val="18"/>
                      <w:szCs w:val="18"/>
                    </w:rPr>
                    <w:t>1</w:t>
                  </w:r>
                </w:p>
              </w:tc>
              <w:tc>
                <w:tcPr>
                  <w:tcW w:w="1387" w:type="dxa"/>
                  <w:vAlign w:val="center"/>
                </w:tcPr>
                <w:p w14:paraId="3530F08C">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318904D9">
                  <w:pPr>
                    <w:pStyle w:val="4"/>
                    <w:spacing w:before="0" w:after="0" w:line="240" w:lineRule="auto"/>
                    <w:jc w:val="center"/>
                    <w:rPr>
                      <w:b w:val="0"/>
                      <w:bCs w:val="0"/>
                      <w:color w:val="auto"/>
                      <w:sz w:val="18"/>
                      <w:szCs w:val="18"/>
                    </w:rPr>
                  </w:pPr>
                </w:p>
              </w:tc>
            </w:tr>
            <w:tr w14:paraId="1FF7A7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3FFB3833">
                  <w:pPr>
                    <w:jc w:val="center"/>
                    <w:rPr>
                      <w:color w:val="auto"/>
                      <w:sz w:val="18"/>
                      <w:szCs w:val="18"/>
                    </w:rPr>
                  </w:pPr>
                </w:p>
              </w:tc>
              <w:tc>
                <w:tcPr>
                  <w:tcW w:w="809" w:type="dxa"/>
                  <w:vMerge w:val="continue"/>
                  <w:vAlign w:val="center"/>
                </w:tcPr>
                <w:p w14:paraId="23A7CB94">
                  <w:pPr>
                    <w:jc w:val="center"/>
                    <w:rPr>
                      <w:snapToGrid w:val="0"/>
                      <w:color w:val="auto"/>
                      <w:sz w:val="18"/>
                      <w:szCs w:val="18"/>
                    </w:rPr>
                  </w:pPr>
                </w:p>
              </w:tc>
              <w:tc>
                <w:tcPr>
                  <w:tcW w:w="1506" w:type="dxa"/>
                  <w:vAlign w:val="center"/>
                </w:tcPr>
                <w:p w14:paraId="7739B871">
                  <w:pPr>
                    <w:jc w:val="center"/>
                    <w:rPr>
                      <w:color w:val="auto"/>
                      <w:sz w:val="18"/>
                      <w:szCs w:val="18"/>
                    </w:rPr>
                  </w:pPr>
                  <w:r>
                    <w:rPr>
                      <w:rFonts w:hint="eastAsia"/>
                      <w:color w:val="auto"/>
                      <w:sz w:val="18"/>
                      <w:szCs w:val="18"/>
                    </w:rPr>
                    <w:t>磷酸氢钠</w:t>
                  </w:r>
                </w:p>
              </w:tc>
              <w:tc>
                <w:tcPr>
                  <w:tcW w:w="2052" w:type="dxa"/>
                  <w:vAlign w:val="center"/>
                </w:tcPr>
                <w:p w14:paraId="7C65B26B">
                  <w:pPr>
                    <w:jc w:val="center"/>
                    <w:rPr>
                      <w:color w:val="auto"/>
                      <w:sz w:val="18"/>
                      <w:szCs w:val="18"/>
                    </w:rPr>
                  </w:pPr>
                  <w:r>
                    <w:rPr>
                      <w:rFonts w:hint="eastAsia"/>
                      <w:color w:val="auto"/>
                      <w:sz w:val="18"/>
                      <w:szCs w:val="18"/>
                    </w:rPr>
                    <w:t>99.0%，AR</w:t>
                  </w:r>
                  <w:r>
                    <w:rPr>
                      <w:color w:val="auto"/>
                      <w:sz w:val="18"/>
                      <w:szCs w:val="18"/>
                    </w:rPr>
                    <w:t>，</w:t>
                  </w:r>
                  <w:r>
                    <w:rPr>
                      <w:rFonts w:eastAsia="Helvetica"/>
                      <w:color w:val="auto"/>
                      <w:sz w:val="18"/>
                      <w:szCs w:val="18"/>
                      <w:shd w:val="clear" w:color="auto" w:fill="FFFFFF"/>
                    </w:rPr>
                    <w:t>Na</w:t>
                  </w:r>
                  <w:r>
                    <w:rPr>
                      <w:rFonts w:eastAsia="Helvetica"/>
                      <w:color w:val="auto"/>
                      <w:sz w:val="18"/>
                      <w:szCs w:val="18"/>
                      <w:shd w:val="clear" w:color="auto" w:fill="FFFFFF"/>
                      <w:vertAlign w:val="subscript"/>
                    </w:rPr>
                    <w:t>2</w:t>
                  </w:r>
                  <w:r>
                    <w:rPr>
                      <w:rFonts w:eastAsia="Helvetica"/>
                      <w:color w:val="auto"/>
                      <w:sz w:val="18"/>
                      <w:szCs w:val="18"/>
                      <w:shd w:val="clear" w:color="auto" w:fill="FFFFFF"/>
                    </w:rPr>
                    <w:t>HPO</w:t>
                  </w:r>
                  <w:r>
                    <w:rPr>
                      <w:rFonts w:eastAsia="Helvetica"/>
                      <w:color w:val="auto"/>
                      <w:sz w:val="18"/>
                      <w:szCs w:val="18"/>
                      <w:shd w:val="clear" w:color="auto" w:fill="FFFFFF"/>
                      <w:vertAlign w:val="subscript"/>
                    </w:rPr>
                    <w:t>4</w:t>
                  </w:r>
                </w:p>
              </w:tc>
              <w:tc>
                <w:tcPr>
                  <w:tcW w:w="762" w:type="dxa"/>
                  <w:vAlign w:val="center"/>
                </w:tcPr>
                <w:p w14:paraId="647ABE50">
                  <w:pPr>
                    <w:jc w:val="center"/>
                    <w:rPr>
                      <w:color w:val="auto"/>
                      <w:sz w:val="18"/>
                      <w:szCs w:val="18"/>
                    </w:rPr>
                  </w:pPr>
                  <w:r>
                    <w:rPr>
                      <w:rFonts w:hint="eastAsia"/>
                      <w:color w:val="auto"/>
                      <w:sz w:val="18"/>
                      <w:szCs w:val="18"/>
                    </w:rPr>
                    <w:t>10</w:t>
                  </w:r>
                </w:p>
              </w:tc>
              <w:tc>
                <w:tcPr>
                  <w:tcW w:w="817" w:type="dxa"/>
                  <w:vAlign w:val="center"/>
                </w:tcPr>
                <w:p w14:paraId="53E3DE40">
                  <w:pPr>
                    <w:jc w:val="center"/>
                    <w:rPr>
                      <w:color w:val="auto"/>
                      <w:sz w:val="18"/>
                      <w:szCs w:val="18"/>
                    </w:rPr>
                  </w:pPr>
                  <w:r>
                    <w:rPr>
                      <w:rFonts w:hint="eastAsia"/>
                      <w:color w:val="auto"/>
                      <w:sz w:val="18"/>
                      <w:szCs w:val="18"/>
                    </w:rPr>
                    <w:t>1</w:t>
                  </w:r>
                </w:p>
              </w:tc>
              <w:tc>
                <w:tcPr>
                  <w:tcW w:w="1387" w:type="dxa"/>
                  <w:vAlign w:val="center"/>
                </w:tcPr>
                <w:p w14:paraId="67D21943">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021FFB48">
                  <w:pPr>
                    <w:pStyle w:val="4"/>
                    <w:spacing w:before="0" w:after="0" w:line="240" w:lineRule="auto"/>
                    <w:jc w:val="center"/>
                    <w:rPr>
                      <w:b w:val="0"/>
                      <w:bCs w:val="0"/>
                      <w:color w:val="auto"/>
                      <w:sz w:val="18"/>
                      <w:szCs w:val="18"/>
                    </w:rPr>
                  </w:pPr>
                </w:p>
              </w:tc>
            </w:tr>
            <w:tr w14:paraId="331604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7AEBBCEE">
                  <w:pPr>
                    <w:jc w:val="center"/>
                    <w:rPr>
                      <w:color w:val="auto"/>
                      <w:sz w:val="18"/>
                      <w:szCs w:val="18"/>
                    </w:rPr>
                  </w:pPr>
                </w:p>
              </w:tc>
              <w:tc>
                <w:tcPr>
                  <w:tcW w:w="809" w:type="dxa"/>
                  <w:vMerge w:val="continue"/>
                  <w:vAlign w:val="center"/>
                </w:tcPr>
                <w:p w14:paraId="40BBE62E">
                  <w:pPr>
                    <w:jc w:val="center"/>
                    <w:rPr>
                      <w:snapToGrid w:val="0"/>
                      <w:color w:val="auto"/>
                      <w:sz w:val="18"/>
                      <w:szCs w:val="18"/>
                    </w:rPr>
                  </w:pPr>
                </w:p>
              </w:tc>
              <w:tc>
                <w:tcPr>
                  <w:tcW w:w="1506" w:type="dxa"/>
                  <w:vAlign w:val="center"/>
                </w:tcPr>
                <w:p w14:paraId="037A45F6">
                  <w:pPr>
                    <w:jc w:val="center"/>
                    <w:rPr>
                      <w:color w:val="auto"/>
                      <w:sz w:val="18"/>
                      <w:szCs w:val="18"/>
                    </w:rPr>
                  </w:pPr>
                  <w:r>
                    <w:rPr>
                      <w:rFonts w:hint="eastAsia"/>
                      <w:color w:val="auto"/>
                      <w:sz w:val="18"/>
                      <w:szCs w:val="18"/>
                    </w:rPr>
                    <w:t>五水合硫代硫酸钠</w:t>
                  </w:r>
                </w:p>
              </w:tc>
              <w:tc>
                <w:tcPr>
                  <w:tcW w:w="2052" w:type="dxa"/>
                  <w:vAlign w:val="center"/>
                </w:tcPr>
                <w:p w14:paraId="04DA9A47">
                  <w:pPr>
                    <w:jc w:val="center"/>
                    <w:rPr>
                      <w:color w:val="auto"/>
                      <w:sz w:val="18"/>
                      <w:szCs w:val="18"/>
                    </w:rPr>
                  </w:pPr>
                  <w:r>
                    <w:rPr>
                      <w:rFonts w:hint="eastAsia"/>
                      <w:color w:val="auto"/>
                      <w:sz w:val="18"/>
                      <w:szCs w:val="18"/>
                    </w:rPr>
                    <w:t>99.0%，AR</w:t>
                  </w:r>
                  <w:r>
                    <w:rPr>
                      <w:color w:val="auto"/>
                      <w:sz w:val="18"/>
                      <w:szCs w:val="18"/>
                    </w:rPr>
                    <w:t>，</w:t>
                  </w:r>
                  <w:r>
                    <w:rPr>
                      <w:rFonts w:eastAsia="Helvetica"/>
                      <w:color w:val="auto"/>
                      <w:sz w:val="18"/>
                      <w:szCs w:val="18"/>
                      <w:shd w:val="clear" w:color="auto" w:fill="FFFFFF"/>
                    </w:rPr>
                    <w:t>Na</w:t>
                  </w:r>
                  <w:r>
                    <w:rPr>
                      <w:rFonts w:eastAsia="Helvetica"/>
                      <w:color w:val="auto"/>
                      <w:sz w:val="18"/>
                      <w:szCs w:val="18"/>
                      <w:shd w:val="clear" w:color="auto" w:fill="FFFFFF"/>
                      <w:vertAlign w:val="subscript"/>
                    </w:rPr>
                    <w:t>2</w:t>
                  </w:r>
                  <w:r>
                    <w:rPr>
                      <w:rFonts w:eastAsia="Helvetica"/>
                      <w:color w:val="auto"/>
                      <w:sz w:val="18"/>
                      <w:szCs w:val="18"/>
                      <w:shd w:val="clear" w:color="auto" w:fill="FFFFFF"/>
                    </w:rPr>
                    <w:t>S</w:t>
                  </w:r>
                  <w:r>
                    <w:rPr>
                      <w:rFonts w:eastAsia="Helvetica"/>
                      <w:color w:val="auto"/>
                      <w:sz w:val="18"/>
                      <w:szCs w:val="18"/>
                      <w:shd w:val="clear" w:color="auto" w:fill="FFFFFF"/>
                      <w:vertAlign w:val="subscript"/>
                    </w:rPr>
                    <w:t>2</w:t>
                  </w:r>
                  <w:r>
                    <w:rPr>
                      <w:rFonts w:eastAsia="Helvetica"/>
                      <w:color w:val="auto"/>
                      <w:sz w:val="18"/>
                      <w:szCs w:val="18"/>
                      <w:shd w:val="clear" w:color="auto" w:fill="FFFFFF"/>
                    </w:rPr>
                    <w:t>O</w:t>
                  </w:r>
                  <w:r>
                    <w:rPr>
                      <w:rFonts w:eastAsia="Helvetica"/>
                      <w:color w:val="auto"/>
                      <w:sz w:val="18"/>
                      <w:szCs w:val="18"/>
                      <w:shd w:val="clear" w:color="auto" w:fill="FFFFFF"/>
                      <w:vertAlign w:val="subscript"/>
                    </w:rPr>
                    <w:t>3</w:t>
                  </w:r>
                  <w:r>
                    <w:rPr>
                      <w:rFonts w:eastAsia="Helvetica"/>
                      <w:color w:val="auto"/>
                      <w:sz w:val="18"/>
                      <w:szCs w:val="18"/>
                      <w:shd w:val="clear" w:color="auto" w:fill="FFFFFF"/>
                    </w:rPr>
                    <w:t>·5H</w:t>
                  </w:r>
                  <w:r>
                    <w:rPr>
                      <w:rFonts w:eastAsia="Helvetica"/>
                      <w:color w:val="auto"/>
                      <w:sz w:val="18"/>
                      <w:szCs w:val="18"/>
                      <w:shd w:val="clear" w:color="auto" w:fill="FFFFFF"/>
                      <w:vertAlign w:val="subscript"/>
                    </w:rPr>
                    <w:t>2</w:t>
                  </w:r>
                  <w:r>
                    <w:rPr>
                      <w:rFonts w:eastAsia="Helvetica"/>
                      <w:color w:val="auto"/>
                      <w:sz w:val="18"/>
                      <w:szCs w:val="18"/>
                      <w:shd w:val="clear" w:color="auto" w:fill="FFFFFF"/>
                    </w:rPr>
                    <w:t>O</w:t>
                  </w:r>
                </w:p>
              </w:tc>
              <w:tc>
                <w:tcPr>
                  <w:tcW w:w="762" w:type="dxa"/>
                  <w:vAlign w:val="center"/>
                </w:tcPr>
                <w:p w14:paraId="515D5A34">
                  <w:pPr>
                    <w:jc w:val="center"/>
                    <w:rPr>
                      <w:color w:val="auto"/>
                      <w:sz w:val="18"/>
                      <w:szCs w:val="18"/>
                    </w:rPr>
                  </w:pPr>
                  <w:r>
                    <w:rPr>
                      <w:rFonts w:hint="eastAsia"/>
                      <w:color w:val="auto"/>
                      <w:sz w:val="18"/>
                      <w:szCs w:val="18"/>
                    </w:rPr>
                    <w:t>2</w:t>
                  </w:r>
                </w:p>
              </w:tc>
              <w:tc>
                <w:tcPr>
                  <w:tcW w:w="817" w:type="dxa"/>
                  <w:vAlign w:val="center"/>
                </w:tcPr>
                <w:p w14:paraId="055A5084">
                  <w:pPr>
                    <w:jc w:val="center"/>
                    <w:rPr>
                      <w:color w:val="auto"/>
                      <w:sz w:val="18"/>
                      <w:szCs w:val="18"/>
                    </w:rPr>
                  </w:pPr>
                  <w:r>
                    <w:rPr>
                      <w:rFonts w:hint="eastAsia"/>
                      <w:color w:val="auto"/>
                      <w:sz w:val="18"/>
                      <w:szCs w:val="18"/>
                    </w:rPr>
                    <w:t>2</w:t>
                  </w:r>
                </w:p>
              </w:tc>
              <w:tc>
                <w:tcPr>
                  <w:tcW w:w="1387" w:type="dxa"/>
                  <w:vAlign w:val="center"/>
                </w:tcPr>
                <w:p w14:paraId="74CF8056">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577B5FC6">
                  <w:pPr>
                    <w:pStyle w:val="4"/>
                    <w:spacing w:before="0" w:after="0" w:line="240" w:lineRule="auto"/>
                    <w:jc w:val="center"/>
                    <w:rPr>
                      <w:b w:val="0"/>
                      <w:bCs w:val="0"/>
                      <w:color w:val="auto"/>
                      <w:sz w:val="18"/>
                      <w:szCs w:val="18"/>
                    </w:rPr>
                  </w:pPr>
                </w:p>
              </w:tc>
            </w:tr>
            <w:tr w14:paraId="71B2DD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6EBA467A">
                  <w:pPr>
                    <w:jc w:val="center"/>
                    <w:rPr>
                      <w:color w:val="auto"/>
                      <w:sz w:val="18"/>
                      <w:szCs w:val="18"/>
                    </w:rPr>
                  </w:pPr>
                </w:p>
              </w:tc>
              <w:tc>
                <w:tcPr>
                  <w:tcW w:w="809" w:type="dxa"/>
                  <w:vMerge w:val="continue"/>
                  <w:vAlign w:val="center"/>
                </w:tcPr>
                <w:p w14:paraId="7B2EB6AB">
                  <w:pPr>
                    <w:jc w:val="center"/>
                    <w:rPr>
                      <w:snapToGrid w:val="0"/>
                      <w:color w:val="auto"/>
                      <w:sz w:val="18"/>
                      <w:szCs w:val="18"/>
                    </w:rPr>
                  </w:pPr>
                </w:p>
              </w:tc>
              <w:tc>
                <w:tcPr>
                  <w:tcW w:w="1506" w:type="dxa"/>
                  <w:vAlign w:val="center"/>
                </w:tcPr>
                <w:p w14:paraId="4A22C42B">
                  <w:pPr>
                    <w:jc w:val="center"/>
                    <w:rPr>
                      <w:color w:val="auto"/>
                      <w:sz w:val="18"/>
                      <w:szCs w:val="18"/>
                    </w:rPr>
                  </w:pPr>
                  <w:r>
                    <w:rPr>
                      <w:rFonts w:hint="eastAsia"/>
                      <w:color w:val="auto"/>
                      <w:sz w:val="18"/>
                      <w:szCs w:val="18"/>
                    </w:rPr>
                    <w:t>五水合硫酸铜</w:t>
                  </w:r>
                </w:p>
              </w:tc>
              <w:tc>
                <w:tcPr>
                  <w:tcW w:w="2052" w:type="dxa"/>
                  <w:vAlign w:val="center"/>
                </w:tcPr>
                <w:p w14:paraId="32CC7DD0">
                  <w:pPr>
                    <w:jc w:val="center"/>
                    <w:rPr>
                      <w:color w:val="auto"/>
                      <w:sz w:val="18"/>
                      <w:szCs w:val="18"/>
                    </w:rPr>
                  </w:pPr>
                  <w:r>
                    <w:rPr>
                      <w:rFonts w:hint="eastAsia"/>
                      <w:color w:val="auto"/>
                      <w:sz w:val="18"/>
                      <w:szCs w:val="18"/>
                    </w:rPr>
                    <w:t>99.0%，AR</w:t>
                  </w:r>
                  <w:r>
                    <w:rPr>
                      <w:color w:val="auto"/>
                      <w:sz w:val="18"/>
                      <w:szCs w:val="18"/>
                    </w:rPr>
                    <w:t>，</w:t>
                  </w:r>
                  <w:r>
                    <w:rPr>
                      <w:color w:val="auto"/>
                      <w:sz w:val="18"/>
                      <w:szCs w:val="18"/>
                      <w:shd w:val="clear" w:color="auto" w:fill="FFFFFF"/>
                    </w:rPr>
                    <w:t>CuSO</w:t>
                  </w:r>
                  <w:r>
                    <w:rPr>
                      <w:color w:val="auto"/>
                      <w:sz w:val="18"/>
                      <w:szCs w:val="18"/>
                      <w:shd w:val="clear" w:color="auto" w:fill="FFFFFF"/>
                      <w:vertAlign w:val="subscript"/>
                    </w:rPr>
                    <w:t>4</w:t>
                  </w:r>
                  <w:r>
                    <w:rPr>
                      <w:color w:val="auto"/>
                      <w:sz w:val="18"/>
                      <w:szCs w:val="18"/>
                      <w:shd w:val="clear" w:color="auto" w:fill="FFFFFF"/>
                    </w:rPr>
                    <w:t>·5H</w:t>
                  </w:r>
                  <w:r>
                    <w:rPr>
                      <w:color w:val="auto"/>
                      <w:sz w:val="18"/>
                      <w:szCs w:val="18"/>
                      <w:shd w:val="clear" w:color="auto" w:fill="FFFFFF"/>
                      <w:vertAlign w:val="subscript"/>
                    </w:rPr>
                    <w:t>2</w:t>
                  </w:r>
                  <w:r>
                    <w:rPr>
                      <w:color w:val="auto"/>
                      <w:sz w:val="18"/>
                      <w:szCs w:val="18"/>
                      <w:shd w:val="clear" w:color="auto" w:fill="FFFFFF"/>
                    </w:rPr>
                    <w:t>O</w:t>
                  </w:r>
                </w:p>
              </w:tc>
              <w:tc>
                <w:tcPr>
                  <w:tcW w:w="762" w:type="dxa"/>
                  <w:vAlign w:val="center"/>
                </w:tcPr>
                <w:p w14:paraId="6A036662">
                  <w:pPr>
                    <w:jc w:val="center"/>
                    <w:rPr>
                      <w:color w:val="auto"/>
                      <w:sz w:val="18"/>
                      <w:szCs w:val="18"/>
                    </w:rPr>
                  </w:pPr>
                  <w:r>
                    <w:rPr>
                      <w:rFonts w:hint="eastAsia"/>
                      <w:color w:val="auto"/>
                      <w:sz w:val="18"/>
                      <w:szCs w:val="18"/>
                    </w:rPr>
                    <w:t>2</w:t>
                  </w:r>
                </w:p>
              </w:tc>
              <w:tc>
                <w:tcPr>
                  <w:tcW w:w="817" w:type="dxa"/>
                  <w:vAlign w:val="center"/>
                </w:tcPr>
                <w:p w14:paraId="1F7BA4EE">
                  <w:pPr>
                    <w:jc w:val="center"/>
                    <w:rPr>
                      <w:color w:val="auto"/>
                      <w:sz w:val="18"/>
                      <w:szCs w:val="18"/>
                    </w:rPr>
                  </w:pPr>
                  <w:r>
                    <w:rPr>
                      <w:rFonts w:hint="eastAsia"/>
                      <w:color w:val="auto"/>
                      <w:sz w:val="18"/>
                      <w:szCs w:val="18"/>
                    </w:rPr>
                    <w:t>2</w:t>
                  </w:r>
                </w:p>
              </w:tc>
              <w:tc>
                <w:tcPr>
                  <w:tcW w:w="1387" w:type="dxa"/>
                  <w:vAlign w:val="center"/>
                </w:tcPr>
                <w:p w14:paraId="65730471">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087E55EB">
                  <w:pPr>
                    <w:pStyle w:val="4"/>
                    <w:spacing w:before="0" w:after="0" w:line="240" w:lineRule="auto"/>
                    <w:jc w:val="center"/>
                    <w:rPr>
                      <w:b w:val="0"/>
                      <w:bCs w:val="0"/>
                      <w:color w:val="auto"/>
                      <w:sz w:val="18"/>
                      <w:szCs w:val="18"/>
                    </w:rPr>
                  </w:pPr>
                </w:p>
              </w:tc>
            </w:tr>
            <w:tr w14:paraId="47FDCC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75E0D75E">
                  <w:pPr>
                    <w:jc w:val="center"/>
                    <w:rPr>
                      <w:color w:val="auto"/>
                      <w:sz w:val="18"/>
                      <w:szCs w:val="18"/>
                    </w:rPr>
                  </w:pPr>
                </w:p>
              </w:tc>
              <w:tc>
                <w:tcPr>
                  <w:tcW w:w="809" w:type="dxa"/>
                  <w:vMerge w:val="continue"/>
                  <w:vAlign w:val="center"/>
                </w:tcPr>
                <w:p w14:paraId="4DB32FDA">
                  <w:pPr>
                    <w:jc w:val="center"/>
                    <w:rPr>
                      <w:snapToGrid w:val="0"/>
                      <w:color w:val="auto"/>
                      <w:sz w:val="18"/>
                      <w:szCs w:val="18"/>
                    </w:rPr>
                  </w:pPr>
                </w:p>
              </w:tc>
              <w:tc>
                <w:tcPr>
                  <w:tcW w:w="1506" w:type="dxa"/>
                  <w:vAlign w:val="center"/>
                </w:tcPr>
                <w:p w14:paraId="6E3F9E07">
                  <w:pPr>
                    <w:jc w:val="center"/>
                    <w:rPr>
                      <w:color w:val="auto"/>
                      <w:sz w:val="18"/>
                      <w:szCs w:val="18"/>
                    </w:rPr>
                  </w:pPr>
                  <w:r>
                    <w:rPr>
                      <w:rFonts w:hint="eastAsia"/>
                      <w:color w:val="auto"/>
                      <w:sz w:val="18"/>
                      <w:szCs w:val="18"/>
                    </w:rPr>
                    <w:t>碳酸氢铵</w:t>
                  </w:r>
                </w:p>
              </w:tc>
              <w:tc>
                <w:tcPr>
                  <w:tcW w:w="2052" w:type="dxa"/>
                  <w:vAlign w:val="center"/>
                </w:tcPr>
                <w:p w14:paraId="199E5899">
                  <w:pPr>
                    <w:jc w:val="center"/>
                    <w:rPr>
                      <w:color w:val="auto"/>
                      <w:sz w:val="18"/>
                      <w:szCs w:val="18"/>
                    </w:rPr>
                  </w:pPr>
                  <w:r>
                    <w:rPr>
                      <w:rFonts w:hint="eastAsia"/>
                      <w:color w:val="auto"/>
                      <w:sz w:val="18"/>
                      <w:szCs w:val="18"/>
                    </w:rPr>
                    <w:t>98.0%，AR</w:t>
                  </w:r>
                  <w:r>
                    <w:rPr>
                      <w:color w:val="auto"/>
                      <w:sz w:val="18"/>
                      <w:szCs w:val="18"/>
                    </w:rPr>
                    <w:t>，</w:t>
                  </w:r>
                  <w:r>
                    <w:rPr>
                      <w:rFonts w:eastAsia="Helvetica"/>
                      <w:color w:val="auto"/>
                      <w:sz w:val="18"/>
                      <w:szCs w:val="18"/>
                      <w:shd w:val="clear" w:color="auto" w:fill="FFFFFF"/>
                    </w:rPr>
                    <w:t>NH4HCO</w:t>
                  </w:r>
                  <w:r>
                    <w:rPr>
                      <w:rFonts w:eastAsia="Helvetica"/>
                      <w:color w:val="auto"/>
                      <w:sz w:val="18"/>
                      <w:szCs w:val="18"/>
                      <w:shd w:val="clear" w:color="auto" w:fill="FFFFFF"/>
                      <w:vertAlign w:val="subscript"/>
                    </w:rPr>
                    <w:t>3</w:t>
                  </w:r>
                </w:p>
              </w:tc>
              <w:tc>
                <w:tcPr>
                  <w:tcW w:w="762" w:type="dxa"/>
                  <w:vAlign w:val="center"/>
                </w:tcPr>
                <w:p w14:paraId="6AB9A857">
                  <w:pPr>
                    <w:jc w:val="center"/>
                    <w:rPr>
                      <w:color w:val="auto"/>
                      <w:sz w:val="18"/>
                      <w:szCs w:val="18"/>
                    </w:rPr>
                  </w:pPr>
                  <w:r>
                    <w:rPr>
                      <w:rFonts w:hint="eastAsia"/>
                      <w:color w:val="auto"/>
                      <w:sz w:val="18"/>
                      <w:szCs w:val="18"/>
                    </w:rPr>
                    <w:t>2</w:t>
                  </w:r>
                </w:p>
              </w:tc>
              <w:tc>
                <w:tcPr>
                  <w:tcW w:w="817" w:type="dxa"/>
                  <w:vAlign w:val="center"/>
                </w:tcPr>
                <w:p w14:paraId="6F7C0BBC">
                  <w:pPr>
                    <w:jc w:val="center"/>
                    <w:rPr>
                      <w:color w:val="auto"/>
                      <w:sz w:val="18"/>
                      <w:szCs w:val="18"/>
                    </w:rPr>
                  </w:pPr>
                  <w:r>
                    <w:rPr>
                      <w:rFonts w:hint="eastAsia"/>
                      <w:color w:val="auto"/>
                      <w:sz w:val="18"/>
                      <w:szCs w:val="18"/>
                    </w:rPr>
                    <w:t>2</w:t>
                  </w:r>
                </w:p>
              </w:tc>
              <w:tc>
                <w:tcPr>
                  <w:tcW w:w="1387" w:type="dxa"/>
                  <w:vAlign w:val="center"/>
                </w:tcPr>
                <w:p w14:paraId="04DB2E5A">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678DDA55">
                  <w:pPr>
                    <w:pStyle w:val="4"/>
                    <w:spacing w:before="0" w:after="0" w:line="240" w:lineRule="auto"/>
                    <w:jc w:val="center"/>
                    <w:rPr>
                      <w:b w:val="0"/>
                      <w:bCs w:val="0"/>
                      <w:color w:val="auto"/>
                      <w:sz w:val="18"/>
                      <w:szCs w:val="18"/>
                    </w:rPr>
                  </w:pPr>
                </w:p>
              </w:tc>
            </w:tr>
            <w:tr w14:paraId="32514B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6E8B66B2">
                  <w:pPr>
                    <w:jc w:val="center"/>
                    <w:rPr>
                      <w:color w:val="auto"/>
                      <w:sz w:val="18"/>
                      <w:szCs w:val="18"/>
                    </w:rPr>
                  </w:pPr>
                </w:p>
              </w:tc>
              <w:tc>
                <w:tcPr>
                  <w:tcW w:w="809" w:type="dxa"/>
                  <w:vMerge w:val="continue"/>
                  <w:vAlign w:val="center"/>
                </w:tcPr>
                <w:p w14:paraId="74EF9A6B">
                  <w:pPr>
                    <w:jc w:val="center"/>
                    <w:rPr>
                      <w:snapToGrid w:val="0"/>
                      <w:color w:val="auto"/>
                      <w:sz w:val="18"/>
                      <w:szCs w:val="18"/>
                    </w:rPr>
                  </w:pPr>
                </w:p>
              </w:tc>
              <w:tc>
                <w:tcPr>
                  <w:tcW w:w="1506" w:type="dxa"/>
                  <w:vAlign w:val="center"/>
                </w:tcPr>
                <w:p w14:paraId="27040078">
                  <w:pPr>
                    <w:jc w:val="center"/>
                    <w:rPr>
                      <w:color w:val="auto"/>
                      <w:sz w:val="18"/>
                      <w:szCs w:val="18"/>
                    </w:rPr>
                  </w:pPr>
                  <w:r>
                    <w:rPr>
                      <w:rFonts w:hint="eastAsia"/>
                      <w:color w:val="auto"/>
                      <w:sz w:val="18"/>
                      <w:szCs w:val="18"/>
                    </w:rPr>
                    <w:t>亚硝酸钠</w:t>
                  </w:r>
                </w:p>
              </w:tc>
              <w:tc>
                <w:tcPr>
                  <w:tcW w:w="2052" w:type="dxa"/>
                  <w:vAlign w:val="center"/>
                </w:tcPr>
                <w:p w14:paraId="5F92D056">
                  <w:pPr>
                    <w:jc w:val="center"/>
                    <w:rPr>
                      <w:color w:val="auto"/>
                      <w:sz w:val="18"/>
                      <w:szCs w:val="18"/>
                    </w:rPr>
                  </w:pPr>
                  <w:r>
                    <w:rPr>
                      <w:rFonts w:hint="eastAsia"/>
                      <w:color w:val="auto"/>
                      <w:sz w:val="18"/>
                      <w:szCs w:val="18"/>
                    </w:rPr>
                    <w:t>99.0%，AR</w:t>
                  </w:r>
                  <w:r>
                    <w:rPr>
                      <w:color w:val="auto"/>
                      <w:sz w:val="18"/>
                      <w:szCs w:val="18"/>
                    </w:rPr>
                    <w:t>，</w:t>
                  </w:r>
                  <w:r>
                    <w:rPr>
                      <w:rFonts w:eastAsia="Helvetica"/>
                      <w:color w:val="auto"/>
                      <w:sz w:val="18"/>
                      <w:szCs w:val="18"/>
                      <w:shd w:val="clear" w:color="auto" w:fill="FFFFFF"/>
                    </w:rPr>
                    <w:t>NaNO</w:t>
                  </w:r>
                  <w:r>
                    <w:rPr>
                      <w:rFonts w:eastAsia="Helvetica"/>
                      <w:color w:val="auto"/>
                      <w:sz w:val="18"/>
                      <w:szCs w:val="18"/>
                      <w:shd w:val="clear" w:color="auto" w:fill="FFFFFF"/>
                      <w:vertAlign w:val="subscript"/>
                    </w:rPr>
                    <w:t>2</w:t>
                  </w:r>
                </w:p>
              </w:tc>
              <w:tc>
                <w:tcPr>
                  <w:tcW w:w="762" w:type="dxa"/>
                  <w:vAlign w:val="center"/>
                </w:tcPr>
                <w:p w14:paraId="1E4F5DCB">
                  <w:pPr>
                    <w:jc w:val="center"/>
                    <w:rPr>
                      <w:color w:val="auto"/>
                      <w:sz w:val="18"/>
                      <w:szCs w:val="18"/>
                    </w:rPr>
                  </w:pPr>
                  <w:r>
                    <w:rPr>
                      <w:rFonts w:hint="eastAsia"/>
                      <w:color w:val="auto"/>
                      <w:sz w:val="18"/>
                      <w:szCs w:val="18"/>
                    </w:rPr>
                    <w:t>0.5</w:t>
                  </w:r>
                </w:p>
              </w:tc>
              <w:tc>
                <w:tcPr>
                  <w:tcW w:w="817" w:type="dxa"/>
                  <w:vAlign w:val="center"/>
                </w:tcPr>
                <w:p w14:paraId="65CDF376">
                  <w:pPr>
                    <w:jc w:val="center"/>
                    <w:rPr>
                      <w:color w:val="auto"/>
                      <w:sz w:val="18"/>
                      <w:szCs w:val="18"/>
                    </w:rPr>
                  </w:pPr>
                  <w:r>
                    <w:rPr>
                      <w:rFonts w:hint="eastAsia"/>
                      <w:color w:val="auto"/>
                      <w:sz w:val="18"/>
                      <w:szCs w:val="18"/>
                    </w:rPr>
                    <w:t>0.5</w:t>
                  </w:r>
                </w:p>
              </w:tc>
              <w:tc>
                <w:tcPr>
                  <w:tcW w:w="1387" w:type="dxa"/>
                  <w:vAlign w:val="center"/>
                </w:tcPr>
                <w:p w14:paraId="2901D0FB">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45BB023A">
                  <w:pPr>
                    <w:pStyle w:val="4"/>
                    <w:spacing w:before="0" w:after="0" w:line="240" w:lineRule="auto"/>
                    <w:jc w:val="center"/>
                    <w:rPr>
                      <w:b w:val="0"/>
                      <w:bCs w:val="0"/>
                      <w:color w:val="auto"/>
                      <w:sz w:val="18"/>
                      <w:szCs w:val="18"/>
                    </w:rPr>
                  </w:pPr>
                </w:p>
              </w:tc>
            </w:tr>
            <w:tr w14:paraId="2A09EE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73BC0594">
                  <w:pPr>
                    <w:jc w:val="center"/>
                    <w:rPr>
                      <w:color w:val="auto"/>
                      <w:sz w:val="18"/>
                      <w:szCs w:val="18"/>
                    </w:rPr>
                  </w:pPr>
                </w:p>
              </w:tc>
              <w:tc>
                <w:tcPr>
                  <w:tcW w:w="809" w:type="dxa"/>
                  <w:vMerge w:val="continue"/>
                  <w:vAlign w:val="center"/>
                </w:tcPr>
                <w:p w14:paraId="0F2F01BE">
                  <w:pPr>
                    <w:jc w:val="center"/>
                    <w:rPr>
                      <w:snapToGrid w:val="0"/>
                      <w:color w:val="auto"/>
                      <w:sz w:val="18"/>
                      <w:szCs w:val="18"/>
                    </w:rPr>
                  </w:pPr>
                </w:p>
              </w:tc>
              <w:tc>
                <w:tcPr>
                  <w:tcW w:w="1506" w:type="dxa"/>
                  <w:vAlign w:val="center"/>
                </w:tcPr>
                <w:p w14:paraId="19629CFC">
                  <w:pPr>
                    <w:jc w:val="center"/>
                    <w:rPr>
                      <w:color w:val="auto"/>
                      <w:sz w:val="18"/>
                      <w:szCs w:val="18"/>
                    </w:rPr>
                  </w:pPr>
                  <w:r>
                    <w:rPr>
                      <w:rFonts w:hint="eastAsia"/>
                      <w:color w:val="auto"/>
                      <w:sz w:val="18"/>
                      <w:szCs w:val="18"/>
                    </w:rPr>
                    <w:t>硫化钠</w:t>
                  </w:r>
                </w:p>
              </w:tc>
              <w:tc>
                <w:tcPr>
                  <w:tcW w:w="2052" w:type="dxa"/>
                  <w:vAlign w:val="center"/>
                </w:tcPr>
                <w:p w14:paraId="772D238B">
                  <w:pPr>
                    <w:jc w:val="center"/>
                    <w:rPr>
                      <w:color w:val="auto"/>
                      <w:sz w:val="18"/>
                      <w:szCs w:val="18"/>
                    </w:rPr>
                  </w:pPr>
                  <w:r>
                    <w:rPr>
                      <w:rFonts w:hint="eastAsia"/>
                      <w:color w:val="auto"/>
                      <w:sz w:val="18"/>
                      <w:szCs w:val="18"/>
                    </w:rPr>
                    <w:t>98.0%，AR</w:t>
                  </w:r>
                  <w:r>
                    <w:rPr>
                      <w:color w:val="auto"/>
                      <w:sz w:val="18"/>
                      <w:szCs w:val="18"/>
                    </w:rPr>
                    <w:t>，</w:t>
                  </w:r>
                  <w:r>
                    <w:rPr>
                      <w:rFonts w:eastAsia="Helvetica"/>
                      <w:color w:val="auto"/>
                      <w:sz w:val="18"/>
                      <w:szCs w:val="18"/>
                      <w:shd w:val="clear" w:color="auto" w:fill="FFFFFF"/>
                    </w:rPr>
                    <w:t>Na</w:t>
                  </w:r>
                  <w:r>
                    <w:rPr>
                      <w:rFonts w:eastAsia="Helvetica"/>
                      <w:color w:val="auto"/>
                      <w:sz w:val="18"/>
                      <w:szCs w:val="18"/>
                      <w:shd w:val="clear" w:color="auto" w:fill="FFFFFF"/>
                      <w:vertAlign w:val="subscript"/>
                    </w:rPr>
                    <w:t>2</w:t>
                  </w:r>
                  <w:r>
                    <w:rPr>
                      <w:rFonts w:eastAsia="Helvetica"/>
                      <w:color w:val="auto"/>
                      <w:sz w:val="18"/>
                      <w:szCs w:val="18"/>
                      <w:shd w:val="clear" w:color="auto" w:fill="FFFFFF"/>
                    </w:rPr>
                    <w:t>S</w:t>
                  </w:r>
                </w:p>
              </w:tc>
              <w:tc>
                <w:tcPr>
                  <w:tcW w:w="762" w:type="dxa"/>
                  <w:vAlign w:val="center"/>
                </w:tcPr>
                <w:p w14:paraId="19B98DF3">
                  <w:pPr>
                    <w:jc w:val="center"/>
                    <w:rPr>
                      <w:color w:val="auto"/>
                      <w:sz w:val="18"/>
                      <w:szCs w:val="18"/>
                    </w:rPr>
                  </w:pPr>
                  <w:r>
                    <w:rPr>
                      <w:rFonts w:hint="eastAsia"/>
                      <w:color w:val="auto"/>
                      <w:sz w:val="18"/>
                      <w:szCs w:val="18"/>
                    </w:rPr>
                    <w:t>2</w:t>
                  </w:r>
                </w:p>
              </w:tc>
              <w:tc>
                <w:tcPr>
                  <w:tcW w:w="817" w:type="dxa"/>
                  <w:vAlign w:val="center"/>
                </w:tcPr>
                <w:p w14:paraId="7E875FE4">
                  <w:pPr>
                    <w:jc w:val="center"/>
                    <w:rPr>
                      <w:color w:val="auto"/>
                      <w:sz w:val="18"/>
                      <w:szCs w:val="18"/>
                    </w:rPr>
                  </w:pPr>
                  <w:r>
                    <w:rPr>
                      <w:rFonts w:hint="eastAsia"/>
                      <w:color w:val="auto"/>
                      <w:sz w:val="18"/>
                      <w:szCs w:val="18"/>
                    </w:rPr>
                    <w:t>1</w:t>
                  </w:r>
                </w:p>
              </w:tc>
              <w:tc>
                <w:tcPr>
                  <w:tcW w:w="1387" w:type="dxa"/>
                  <w:vAlign w:val="center"/>
                </w:tcPr>
                <w:p w14:paraId="2A76AC02">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25B19E12">
                  <w:pPr>
                    <w:pStyle w:val="4"/>
                    <w:spacing w:before="0" w:after="0" w:line="240" w:lineRule="auto"/>
                    <w:jc w:val="center"/>
                    <w:rPr>
                      <w:b w:val="0"/>
                      <w:bCs w:val="0"/>
                      <w:color w:val="auto"/>
                      <w:sz w:val="18"/>
                      <w:szCs w:val="18"/>
                    </w:rPr>
                  </w:pPr>
                </w:p>
              </w:tc>
            </w:tr>
            <w:tr w14:paraId="6CDDBE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5A006C48">
                  <w:pPr>
                    <w:jc w:val="center"/>
                    <w:rPr>
                      <w:color w:val="auto"/>
                      <w:sz w:val="18"/>
                      <w:szCs w:val="18"/>
                    </w:rPr>
                  </w:pPr>
                </w:p>
              </w:tc>
              <w:tc>
                <w:tcPr>
                  <w:tcW w:w="809" w:type="dxa"/>
                  <w:vMerge w:val="continue"/>
                  <w:vAlign w:val="center"/>
                </w:tcPr>
                <w:p w14:paraId="5D46E444">
                  <w:pPr>
                    <w:jc w:val="center"/>
                    <w:rPr>
                      <w:snapToGrid w:val="0"/>
                      <w:color w:val="auto"/>
                      <w:sz w:val="18"/>
                      <w:szCs w:val="18"/>
                    </w:rPr>
                  </w:pPr>
                </w:p>
              </w:tc>
              <w:tc>
                <w:tcPr>
                  <w:tcW w:w="1506" w:type="dxa"/>
                  <w:vAlign w:val="center"/>
                </w:tcPr>
                <w:p w14:paraId="03AFE3F1">
                  <w:pPr>
                    <w:jc w:val="center"/>
                    <w:rPr>
                      <w:color w:val="auto"/>
                      <w:sz w:val="18"/>
                      <w:szCs w:val="18"/>
                    </w:rPr>
                  </w:pPr>
                  <w:r>
                    <w:rPr>
                      <w:rFonts w:hint="eastAsia"/>
                      <w:color w:val="auto"/>
                      <w:sz w:val="18"/>
                      <w:szCs w:val="18"/>
                    </w:rPr>
                    <w:t>钨酸钠</w:t>
                  </w:r>
                </w:p>
              </w:tc>
              <w:tc>
                <w:tcPr>
                  <w:tcW w:w="2052" w:type="dxa"/>
                  <w:vAlign w:val="center"/>
                </w:tcPr>
                <w:p w14:paraId="0DC842DC">
                  <w:pPr>
                    <w:jc w:val="center"/>
                    <w:rPr>
                      <w:color w:val="auto"/>
                      <w:sz w:val="18"/>
                      <w:szCs w:val="18"/>
                    </w:rPr>
                  </w:pPr>
                  <w:r>
                    <w:rPr>
                      <w:rFonts w:hint="eastAsia"/>
                      <w:color w:val="auto"/>
                      <w:sz w:val="18"/>
                      <w:szCs w:val="18"/>
                    </w:rPr>
                    <w:t>99.99%，AR</w:t>
                  </w:r>
                  <w:r>
                    <w:rPr>
                      <w:color w:val="auto"/>
                      <w:sz w:val="18"/>
                      <w:szCs w:val="18"/>
                    </w:rPr>
                    <w:t>，</w:t>
                  </w:r>
                  <w:r>
                    <w:rPr>
                      <w:rFonts w:eastAsia="Helvetica"/>
                      <w:color w:val="auto"/>
                      <w:sz w:val="18"/>
                      <w:szCs w:val="18"/>
                      <w:shd w:val="clear" w:color="auto" w:fill="FFFFFF"/>
                    </w:rPr>
                    <w:t>Na</w:t>
                  </w:r>
                  <w:r>
                    <w:rPr>
                      <w:rFonts w:eastAsia="Helvetica"/>
                      <w:color w:val="auto"/>
                      <w:sz w:val="18"/>
                      <w:szCs w:val="18"/>
                      <w:shd w:val="clear" w:color="auto" w:fill="FFFFFF"/>
                      <w:vertAlign w:val="subscript"/>
                    </w:rPr>
                    <w:t>2</w:t>
                  </w:r>
                  <w:r>
                    <w:rPr>
                      <w:rFonts w:eastAsia="Helvetica"/>
                      <w:color w:val="auto"/>
                      <w:sz w:val="18"/>
                      <w:szCs w:val="18"/>
                      <w:shd w:val="clear" w:color="auto" w:fill="FFFFFF"/>
                    </w:rPr>
                    <w:t>WO</w:t>
                  </w:r>
                  <w:r>
                    <w:rPr>
                      <w:rFonts w:eastAsia="Helvetica"/>
                      <w:color w:val="auto"/>
                      <w:sz w:val="18"/>
                      <w:szCs w:val="18"/>
                      <w:shd w:val="clear" w:color="auto" w:fill="FFFFFF"/>
                      <w:vertAlign w:val="subscript"/>
                    </w:rPr>
                    <w:t>4</w:t>
                  </w:r>
                </w:p>
              </w:tc>
              <w:tc>
                <w:tcPr>
                  <w:tcW w:w="762" w:type="dxa"/>
                  <w:vAlign w:val="center"/>
                </w:tcPr>
                <w:p w14:paraId="56B9AF23">
                  <w:pPr>
                    <w:jc w:val="center"/>
                    <w:rPr>
                      <w:color w:val="auto"/>
                      <w:sz w:val="18"/>
                      <w:szCs w:val="18"/>
                    </w:rPr>
                  </w:pPr>
                  <w:r>
                    <w:rPr>
                      <w:rFonts w:hint="eastAsia"/>
                      <w:color w:val="auto"/>
                      <w:sz w:val="18"/>
                      <w:szCs w:val="18"/>
                    </w:rPr>
                    <w:t>1</w:t>
                  </w:r>
                </w:p>
              </w:tc>
              <w:tc>
                <w:tcPr>
                  <w:tcW w:w="817" w:type="dxa"/>
                  <w:vAlign w:val="center"/>
                </w:tcPr>
                <w:p w14:paraId="2C80BAEA">
                  <w:pPr>
                    <w:jc w:val="center"/>
                    <w:rPr>
                      <w:color w:val="auto"/>
                      <w:sz w:val="18"/>
                      <w:szCs w:val="18"/>
                    </w:rPr>
                  </w:pPr>
                  <w:r>
                    <w:rPr>
                      <w:rFonts w:hint="eastAsia"/>
                      <w:color w:val="auto"/>
                      <w:sz w:val="18"/>
                      <w:szCs w:val="18"/>
                    </w:rPr>
                    <w:t>0.5</w:t>
                  </w:r>
                </w:p>
              </w:tc>
              <w:tc>
                <w:tcPr>
                  <w:tcW w:w="1387" w:type="dxa"/>
                  <w:vAlign w:val="center"/>
                </w:tcPr>
                <w:p w14:paraId="618F7DBF">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58D7E0F3">
                  <w:pPr>
                    <w:pStyle w:val="4"/>
                    <w:spacing w:before="0" w:after="0" w:line="240" w:lineRule="auto"/>
                    <w:jc w:val="center"/>
                    <w:rPr>
                      <w:b w:val="0"/>
                      <w:bCs w:val="0"/>
                      <w:color w:val="auto"/>
                      <w:sz w:val="18"/>
                      <w:szCs w:val="18"/>
                    </w:rPr>
                  </w:pPr>
                </w:p>
              </w:tc>
            </w:tr>
            <w:tr w14:paraId="66F339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11F2F646">
                  <w:pPr>
                    <w:jc w:val="center"/>
                    <w:rPr>
                      <w:color w:val="auto"/>
                      <w:sz w:val="18"/>
                      <w:szCs w:val="18"/>
                    </w:rPr>
                  </w:pPr>
                </w:p>
              </w:tc>
              <w:tc>
                <w:tcPr>
                  <w:tcW w:w="809" w:type="dxa"/>
                  <w:vMerge w:val="continue"/>
                  <w:vAlign w:val="center"/>
                </w:tcPr>
                <w:p w14:paraId="30DEA34A">
                  <w:pPr>
                    <w:jc w:val="center"/>
                    <w:rPr>
                      <w:snapToGrid w:val="0"/>
                      <w:color w:val="auto"/>
                      <w:sz w:val="18"/>
                      <w:szCs w:val="18"/>
                    </w:rPr>
                  </w:pPr>
                </w:p>
              </w:tc>
              <w:tc>
                <w:tcPr>
                  <w:tcW w:w="1506" w:type="dxa"/>
                  <w:vAlign w:val="center"/>
                </w:tcPr>
                <w:p w14:paraId="682B08C6">
                  <w:pPr>
                    <w:jc w:val="center"/>
                    <w:rPr>
                      <w:color w:val="auto"/>
                      <w:sz w:val="18"/>
                      <w:szCs w:val="18"/>
                    </w:rPr>
                  </w:pPr>
                  <w:r>
                    <w:rPr>
                      <w:rFonts w:hint="eastAsia"/>
                      <w:color w:val="auto"/>
                      <w:sz w:val="18"/>
                      <w:szCs w:val="18"/>
                    </w:rPr>
                    <w:t>钼酸铵</w:t>
                  </w:r>
                </w:p>
              </w:tc>
              <w:tc>
                <w:tcPr>
                  <w:tcW w:w="2052" w:type="dxa"/>
                  <w:vAlign w:val="center"/>
                </w:tcPr>
                <w:p w14:paraId="55FC8B4A">
                  <w:pPr>
                    <w:jc w:val="center"/>
                    <w:rPr>
                      <w:color w:val="auto"/>
                      <w:sz w:val="18"/>
                      <w:szCs w:val="18"/>
                    </w:rPr>
                  </w:pPr>
                  <w:r>
                    <w:rPr>
                      <w:rFonts w:hint="eastAsia"/>
                      <w:color w:val="auto"/>
                      <w:sz w:val="18"/>
                      <w:szCs w:val="18"/>
                    </w:rPr>
                    <w:t>99.0%，AR</w:t>
                  </w:r>
                  <w:r>
                    <w:rPr>
                      <w:color w:val="auto"/>
                      <w:sz w:val="18"/>
                      <w:szCs w:val="18"/>
                    </w:rPr>
                    <w:t>，</w:t>
                  </w:r>
                  <w:r>
                    <w:rPr>
                      <w:rFonts w:eastAsia="Helvetica"/>
                      <w:color w:val="auto"/>
                      <w:sz w:val="18"/>
                      <w:szCs w:val="18"/>
                      <w:shd w:val="clear" w:color="auto" w:fill="FFFFFF"/>
                    </w:rPr>
                    <w:t>(NH</w:t>
                  </w:r>
                  <w:r>
                    <w:rPr>
                      <w:rFonts w:eastAsia="Helvetica"/>
                      <w:color w:val="auto"/>
                      <w:sz w:val="18"/>
                      <w:szCs w:val="18"/>
                      <w:shd w:val="clear" w:color="auto" w:fill="FFFFFF"/>
                      <w:vertAlign w:val="subscript"/>
                    </w:rPr>
                    <w:t>4</w:t>
                  </w:r>
                  <w:r>
                    <w:rPr>
                      <w:rFonts w:eastAsia="Helvetica"/>
                      <w:color w:val="auto"/>
                      <w:sz w:val="18"/>
                      <w:szCs w:val="18"/>
                      <w:shd w:val="clear" w:color="auto" w:fill="FFFFFF"/>
                    </w:rPr>
                    <w:t>)</w:t>
                  </w:r>
                  <w:r>
                    <w:rPr>
                      <w:rFonts w:eastAsia="Helvetica"/>
                      <w:color w:val="auto"/>
                      <w:sz w:val="18"/>
                      <w:szCs w:val="18"/>
                      <w:shd w:val="clear" w:color="auto" w:fill="FFFFFF"/>
                      <w:vertAlign w:val="subscript"/>
                    </w:rPr>
                    <w:t>2</w:t>
                  </w:r>
                  <w:r>
                    <w:rPr>
                      <w:rFonts w:eastAsia="Helvetica"/>
                      <w:color w:val="auto"/>
                      <w:sz w:val="18"/>
                      <w:szCs w:val="18"/>
                      <w:shd w:val="clear" w:color="auto" w:fill="FFFFFF"/>
                    </w:rPr>
                    <w:t>MoO</w:t>
                  </w:r>
                  <w:r>
                    <w:rPr>
                      <w:rFonts w:eastAsia="Helvetica"/>
                      <w:color w:val="auto"/>
                      <w:sz w:val="18"/>
                      <w:szCs w:val="18"/>
                      <w:shd w:val="clear" w:color="auto" w:fill="FFFFFF"/>
                      <w:vertAlign w:val="subscript"/>
                    </w:rPr>
                    <w:t>4</w:t>
                  </w:r>
                </w:p>
              </w:tc>
              <w:tc>
                <w:tcPr>
                  <w:tcW w:w="762" w:type="dxa"/>
                  <w:vAlign w:val="center"/>
                </w:tcPr>
                <w:p w14:paraId="54787D48">
                  <w:pPr>
                    <w:jc w:val="center"/>
                    <w:rPr>
                      <w:color w:val="auto"/>
                      <w:sz w:val="18"/>
                      <w:szCs w:val="18"/>
                    </w:rPr>
                  </w:pPr>
                  <w:r>
                    <w:rPr>
                      <w:rFonts w:hint="eastAsia"/>
                      <w:color w:val="auto"/>
                      <w:sz w:val="18"/>
                      <w:szCs w:val="18"/>
                    </w:rPr>
                    <w:t>1</w:t>
                  </w:r>
                </w:p>
              </w:tc>
              <w:tc>
                <w:tcPr>
                  <w:tcW w:w="817" w:type="dxa"/>
                  <w:vAlign w:val="center"/>
                </w:tcPr>
                <w:p w14:paraId="2D6B2679">
                  <w:pPr>
                    <w:jc w:val="center"/>
                    <w:rPr>
                      <w:color w:val="auto"/>
                      <w:sz w:val="18"/>
                      <w:szCs w:val="18"/>
                    </w:rPr>
                  </w:pPr>
                  <w:r>
                    <w:rPr>
                      <w:rFonts w:hint="eastAsia"/>
                      <w:color w:val="auto"/>
                      <w:sz w:val="18"/>
                      <w:szCs w:val="18"/>
                    </w:rPr>
                    <w:t>0.5</w:t>
                  </w:r>
                </w:p>
              </w:tc>
              <w:tc>
                <w:tcPr>
                  <w:tcW w:w="1387" w:type="dxa"/>
                  <w:vAlign w:val="center"/>
                </w:tcPr>
                <w:p w14:paraId="02AFB858">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2A3FA6EA">
                  <w:pPr>
                    <w:pStyle w:val="4"/>
                    <w:spacing w:before="0" w:after="0" w:line="240" w:lineRule="auto"/>
                    <w:jc w:val="center"/>
                    <w:rPr>
                      <w:b w:val="0"/>
                      <w:bCs w:val="0"/>
                      <w:color w:val="auto"/>
                      <w:sz w:val="18"/>
                      <w:szCs w:val="18"/>
                    </w:rPr>
                  </w:pPr>
                </w:p>
              </w:tc>
            </w:tr>
            <w:tr w14:paraId="3BD6B2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1BF2A458">
                  <w:pPr>
                    <w:jc w:val="center"/>
                    <w:rPr>
                      <w:color w:val="auto"/>
                      <w:sz w:val="18"/>
                      <w:szCs w:val="18"/>
                    </w:rPr>
                  </w:pPr>
                </w:p>
              </w:tc>
              <w:tc>
                <w:tcPr>
                  <w:tcW w:w="809" w:type="dxa"/>
                  <w:vMerge w:val="continue"/>
                  <w:vAlign w:val="center"/>
                </w:tcPr>
                <w:p w14:paraId="46979591">
                  <w:pPr>
                    <w:jc w:val="center"/>
                    <w:rPr>
                      <w:snapToGrid w:val="0"/>
                      <w:color w:val="auto"/>
                      <w:sz w:val="18"/>
                      <w:szCs w:val="18"/>
                    </w:rPr>
                  </w:pPr>
                </w:p>
              </w:tc>
              <w:tc>
                <w:tcPr>
                  <w:tcW w:w="1506" w:type="dxa"/>
                  <w:vAlign w:val="center"/>
                </w:tcPr>
                <w:p w14:paraId="4051AE19">
                  <w:pPr>
                    <w:jc w:val="center"/>
                    <w:rPr>
                      <w:color w:val="auto"/>
                      <w:sz w:val="18"/>
                      <w:szCs w:val="18"/>
                    </w:rPr>
                  </w:pPr>
                  <w:r>
                    <w:rPr>
                      <w:rFonts w:hint="eastAsia"/>
                      <w:color w:val="auto"/>
                      <w:sz w:val="18"/>
                      <w:szCs w:val="18"/>
                    </w:rPr>
                    <w:t>三氯化钛</w:t>
                  </w:r>
                </w:p>
              </w:tc>
              <w:tc>
                <w:tcPr>
                  <w:tcW w:w="2052" w:type="dxa"/>
                  <w:vAlign w:val="center"/>
                </w:tcPr>
                <w:p w14:paraId="1890C76E">
                  <w:pPr>
                    <w:jc w:val="center"/>
                    <w:rPr>
                      <w:color w:val="auto"/>
                      <w:sz w:val="18"/>
                      <w:szCs w:val="18"/>
                    </w:rPr>
                  </w:pPr>
                  <w:r>
                    <w:rPr>
                      <w:rFonts w:hint="eastAsia"/>
                      <w:color w:val="auto"/>
                      <w:sz w:val="18"/>
                      <w:szCs w:val="18"/>
                    </w:rPr>
                    <w:t>20.0%，AR</w:t>
                  </w:r>
                  <w:r>
                    <w:rPr>
                      <w:color w:val="auto"/>
                      <w:sz w:val="18"/>
                      <w:szCs w:val="18"/>
                    </w:rPr>
                    <w:t>，</w:t>
                  </w:r>
                  <w:r>
                    <w:rPr>
                      <w:rFonts w:eastAsia="Helvetica"/>
                      <w:color w:val="auto"/>
                      <w:sz w:val="18"/>
                      <w:szCs w:val="18"/>
                      <w:shd w:val="clear" w:color="auto" w:fill="FFFFFF"/>
                    </w:rPr>
                    <w:t>TiCl</w:t>
                  </w:r>
                  <w:r>
                    <w:rPr>
                      <w:rFonts w:eastAsia="Helvetica"/>
                      <w:color w:val="auto"/>
                      <w:sz w:val="18"/>
                      <w:szCs w:val="18"/>
                      <w:shd w:val="clear" w:color="auto" w:fill="FFFFFF"/>
                      <w:vertAlign w:val="subscript"/>
                    </w:rPr>
                    <w:t>3</w:t>
                  </w:r>
                </w:p>
              </w:tc>
              <w:tc>
                <w:tcPr>
                  <w:tcW w:w="762" w:type="dxa"/>
                  <w:vAlign w:val="center"/>
                </w:tcPr>
                <w:p w14:paraId="053F9258">
                  <w:pPr>
                    <w:jc w:val="center"/>
                    <w:rPr>
                      <w:color w:val="auto"/>
                      <w:sz w:val="18"/>
                      <w:szCs w:val="18"/>
                    </w:rPr>
                  </w:pPr>
                  <w:r>
                    <w:rPr>
                      <w:rFonts w:hint="eastAsia"/>
                      <w:color w:val="auto"/>
                      <w:sz w:val="18"/>
                      <w:szCs w:val="18"/>
                    </w:rPr>
                    <w:t>1</w:t>
                  </w:r>
                </w:p>
              </w:tc>
              <w:tc>
                <w:tcPr>
                  <w:tcW w:w="817" w:type="dxa"/>
                  <w:vAlign w:val="center"/>
                </w:tcPr>
                <w:p w14:paraId="72DDE31A">
                  <w:pPr>
                    <w:jc w:val="center"/>
                    <w:rPr>
                      <w:color w:val="auto"/>
                      <w:sz w:val="18"/>
                      <w:szCs w:val="18"/>
                    </w:rPr>
                  </w:pPr>
                  <w:r>
                    <w:rPr>
                      <w:rFonts w:hint="eastAsia"/>
                      <w:color w:val="auto"/>
                      <w:sz w:val="18"/>
                      <w:szCs w:val="18"/>
                    </w:rPr>
                    <w:t>0.5</w:t>
                  </w:r>
                </w:p>
              </w:tc>
              <w:tc>
                <w:tcPr>
                  <w:tcW w:w="1387" w:type="dxa"/>
                  <w:vAlign w:val="center"/>
                </w:tcPr>
                <w:p w14:paraId="455E51EF">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4E7A1078">
                  <w:pPr>
                    <w:pStyle w:val="4"/>
                    <w:spacing w:before="0" w:after="0" w:line="240" w:lineRule="auto"/>
                    <w:jc w:val="center"/>
                    <w:rPr>
                      <w:b w:val="0"/>
                      <w:bCs w:val="0"/>
                      <w:color w:val="auto"/>
                      <w:sz w:val="18"/>
                      <w:szCs w:val="18"/>
                    </w:rPr>
                  </w:pPr>
                </w:p>
              </w:tc>
            </w:tr>
            <w:tr w14:paraId="19423F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3697EDD9">
                  <w:pPr>
                    <w:jc w:val="center"/>
                    <w:rPr>
                      <w:color w:val="auto"/>
                      <w:sz w:val="18"/>
                      <w:szCs w:val="18"/>
                    </w:rPr>
                  </w:pPr>
                </w:p>
              </w:tc>
              <w:tc>
                <w:tcPr>
                  <w:tcW w:w="809" w:type="dxa"/>
                  <w:vMerge w:val="continue"/>
                  <w:vAlign w:val="center"/>
                </w:tcPr>
                <w:p w14:paraId="7D8C6E74">
                  <w:pPr>
                    <w:jc w:val="center"/>
                    <w:rPr>
                      <w:snapToGrid w:val="0"/>
                      <w:color w:val="auto"/>
                      <w:sz w:val="18"/>
                      <w:szCs w:val="18"/>
                    </w:rPr>
                  </w:pPr>
                </w:p>
              </w:tc>
              <w:tc>
                <w:tcPr>
                  <w:tcW w:w="1506" w:type="dxa"/>
                  <w:vAlign w:val="center"/>
                </w:tcPr>
                <w:p w14:paraId="0F764311">
                  <w:pPr>
                    <w:jc w:val="center"/>
                    <w:rPr>
                      <w:color w:val="auto"/>
                      <w:sz w:val="18"/>
                      <w:szCs w:val="18"/>
                    </w:rPr>
                  </w:pPr>
                  <w:r>
                    <w:rPr>
                      <w:rFonts w:hint="eastAsia"/>
                      <w:color w:val="auto"/>
                      <w:sz w:val="18"/>
                      <w:szCs w:val="18"/>
                    </w:rPr>
                    <w:t>六次甲基四胺</w:t>
                  </w:r>
                </w:p>
              </w:tc>
              <w:tc>
                <w:tcPr>
                  <w:tcW w:w="2052" w:type="dxa"/>
                  <w:vAlign w:val="center"/>
                </w:tcPr>
                <w:p w14:paraId="46F79E72">
                  <w:pPr>
                    <w:jc w:val="center"/>
                    <w:rPr>
                      <w:color w:val="auto"/>
                      <w:sz w:val="18"/>
                      <w:szCs w:val="18"/>
                    </w:rPr>
                  </w:pPr>
                  <w:r>
                    <w:rPr>
                      <w:rFonts w:hint="eastAsia"/>
                      <w:color w:val="auto"/>
                      <w:sz w:val="18"/>
                      <w:szCs w:val="18"/>
                    </w:rPr>
                    <w:t>99.0%，AR</w:t>
                  </w:r>
                  <w:r>
                    <w:rPr>
                      <w:color w:val="auto"/>
                      <w:sz w:val="18"/>
                      <w:szCs w:val="18"/>
                    </w:rPr>
                    <w:t>，</w:t>
                  </w:r>
                  <w:r>
                    <w:rPr>
                      <w:rFonts w:eastAsia="Helvetica"/>
                      <w:color w:val="auto"/>
                      <w:sz w:val="18"/>
                      <w:szCs w:val="18"/>
                      <w:shd w:val="clear" w:color="auto" w:fill="FFFFFF"/>
                    </w:rPr>
                    <w:t>C</w:t>
                  </w:r>
                  <w:r>
                    <w:rPr>
                      <w:rFonts w:eastAsia="Helvetica"/>
                      <w:color w:val="auto"/>
                      <w:sz w:val="18"/>
                      <w:szCs w:val="18"/>
                      <w:shd w:val="clear" w:color="auto" w:fill="FFFFFF"/>
                      <w:vertAlign w:val="subscript"/>
                    </w:rPr>
                    <w:t>6</w:t>
                  </w:r>
                  <w:r>
                    <w:rPr>
                      <w:rFonts w:eastAsia="Helvetica"/>
                      <w:color w:val="auto"/>
                      <w:sz w:val="18"/>
                      <w:szCs w:val="18"/>
                      <w:shd w:val="clear" w:color="auto" w:fill="FFFFFF"/>
                    </w:rPr>
                    <w:t>H</w:t>
                  </w:r>
                  <w:r>
                    <w:rPr>
                      <w:rFonts w:eastAsia="Helvetica"/>
                      <w:color w:val="auto"/>
                      <w:sz w:val="18"/>
                      <w:szCs w:val="18"/>
                      <w:shd w:val="clear" w:color="auto" w:fill="FFFFFF"/>
                      <w:vertAlign w:val="subscript"/>
                    </w:rPr>
                    <w:t>12</w:t>
                  </w:r>
                  <w:r>
                    <w:rPr>
                      <w:rFonts w:eastAsia="Helvetica"/>
                      <w:color w:val="auto"/>
                      <w:sz w:val="18"/>
                      <w:szCs w:val="18"/>
                      <w:shd w:val="clear" w:color="auto" w:fill="FFFFFF"/>
                    </w:rPr>
                    <w:t>N</w:t>
                  </w:r>
                  <w:r>
                    <w:rPr>
                      <w:rFonts w:eastAsia="Helvetica"/>
                      <w:color w:val="auto"/>
                      <w:sz w:val="18"/>
                      <w:szCs w:val="18"/>
                      <w:shd w:val="clear" w:color="auto" w:fill="FFFFFF"/>
                      <w:vertAlign w:val="subscript"/>
                    </w:rPr>
                    <w:t>4</w:t>
                  </w:r>
                </w:p>
              </w:tc>
              <w:tc>
                <w:tcPr>
                  <w:tcW w:w="762" w:type="dxa"/>
                  <w:vAlign w:val="center"/>
                </w:tcPr>
                <w:p w14:paraId="248648E4">
                  <w:pPr>
                    <w:jc w:val="center"/>
                    <w:rPr>
                      <w:color w:val="auto"/>
                      <w:sz w:val="18"/>
                      <w:szCs w:val="18"/>
                    </w:rPr>
                  </w:pPr>
                  <w:r>
                    <w:rPr>
                      <w:rFonts w:hint="eastAsia"/>
                      <w:color w:val="auto"/>
                      <w:sz w:val="18"/>
                      <w:szCs w:val="18"/>
                    </w:rPr>
                    <w:t>1</w:t>
                  </w:r>
                </w:p>
              </w:tc>
              <w:tc>
                <w:tcPr>
                  <w:tcW w:w="817" w:type="dxa"/>
                  <w:vAlign w:val="center"/>
                </w:tcPr>
                <w:p w14:paraId="4EA725A0">
                  <w:pPr>
                    <w:jc w:val="center"/>
                    <w:rPr>
                      <w:color w:val="auto"/>
                      <w:sz w:val="18"/>
                      <w:szCs w:val="18"/>
                    </w:rPr>
                  </w:pPr>
                  <w:r>
                    <w:rPr>
                      <w:rFonts w:hint="eastAsia"/>
                      <w:color w:val="auto"/>
                      <w:sz w:val="18"/>
                      <w:szCs w:val="18"/>
                    </w:rPr>
                    <w:t>0.5</w:t>
                  </w:r>
                </w:p>
              </w:tc>
              <w:tc>
                <w:tcPr>
                  <w:tcW w:w="1387" w:type="dxa"/>
                  <w:vAlign w:val="center"/>
                </w:tcPr>
                <w:p w14:paraId="7D5B39F2">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2FCAFC6A">
                  <w:pPr>
                    <w:pStyle w:val="4"/>
                    <w:spacing w:before="0" w:after="0" w:line="240" w:lineRule="auto"/>
                    <w:jc w:val="center"/>
                    <w:rPr>
                      <w:b w:val="0"/>
                      <w:bCs w:val="0"/>
                      <w:color w:val="auto"/>
                      <w:sz w:val="18"/>
                      <w:szCs w:val="18"/>
                    </w:rPr>
                  </w:pPr>
                </w:p>
              </w:tc>
            </w:tr>
            <w:tr w14:paraId="647AE2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1D9C5E7E">
                  <w:pPr>
                    <w:jc w:val="center"/>
                    <w:rPr>
                      <w:color w:val="auto"/>
                      <w:sz w:val="18"/>
                      <w:szCs w:val="18"/>
                    </w:rPr>
                  </w:pPr>
                </w:p>
              </w:tc>
              <w:tc>
                <w:tcPr>
                  <w:tcW w:w="809" w:type="dxa"/>
                  <w:vMerge w:val="continue"/>
                  <w:vAlign w:val="center"/>
                </w:tcPr>
                <w:p w14:paraId="12E1BC00">
                  <w:pPr>
                    <w:jc w:val="center"/>
                    <w:rPr>
                      <w:snapToGrid w:val="0"/>
                      <w:color w:val="auto"/>
                      <w:sz w:val="18"/>
                      <w:szCs w:val="18"/>
                    </w:rPr>
                  </w:pPr>
                </w:p>
              </w:tc>
              <w:tc>
                <w:tcPr>
                  <w:tcW w:w="1506" w:type="dxa"/>
                  <w:vAlign w:val="center"/>
                </w:tcPr>
                <w:p w14:paraId="78F616A0">
                  <w:pPr>
                    <w:jc w:val="center"/>
                    <w:rPr>
                      <w:color w:val="auto"/>
                      <w:sz w:val="18"/>
                      <w:szCs w:val="18"/>
                    </w:rPr>
                  </w:pPr>
                  <w:r>
                    <w:rPr>
                      <w:rFonts w:hint="eastAsia"/>
                      <w:color w:val="auto"/>
                      <w:sz w:val="18"/>
                      <w:szCs w:val="18"/>
                    </w:rPr>
                    <w:t>甲醇</w:t>
                  </w:r>
                </w:p>
              </w:tc>
              <w:tc>
                <w:tcPr>
                  <w:tcW w:w="2052" w:type="dxa"/>
                  <w:vAlign w:val="center"/>
                </w:tcPr>
                <w:p w14:paraId="13CEF509">
                  <w:pPr>
                    <w:jc w:val="center"/>
                    <w:rPr>
                      <w:color w:val="auto"/>
                      <w:sz w:val="18"/>
                      <w:szCs w:val="18"/>
                    </w:rPr>
                  </w:pPr>
                  <w:r>
                    <w:rPr>
                      <w:rFonts w:hint="eastAsia"/>
                      <w:color w:val="auto"/>
                      <w:sz w:val="18"/>
                      <w:szCs w:val="18"/>
                    </w:rPr>
                    <w:t>99.5%，AR</w:t>
                  </w:r>
                  <w:r>
                    <w:rPr>
                      <w:color w:val="auto"/>
                      <w:sz w:val="18"/>
                      <w:szCs w:val="18"/>
                    </w:rPr>
                    <w:t>，</w:t>
                  </w:r>
                  <w:r>
                    <w:rPr>
                      <w:rFonts w:eastAsia="Helvetica"/>
                      <w:color w:val="auto"/>
                      <w:sz w:val="18"/>
                      <w:szCs w:val="18"/>
                      <w:shd w:val="clear" w:color="auto" w:fill="FFFFFF"/>
                    </w:rPr>
                    <w:t>CH</w:t>
                  </w:r>
                  <w:r>
                    <w:rPr>
                      <w:rFonts w:eastAsia="Helvetica"/>
                      <w:color w:val="auto"/>
                      <w:sz w:val="18"/>
                      <w:szCs w:val="18"/>
                      <w:shd w:val="clear" w:color="auto" w:fill="FFFFFF"/>
                      <w:vertAlign w:val="subscript"/>
                    </w:rPr>
                    <w:t>3</w:t>
                  </w:r>
                  <w:r>
                    <w:rPr>
                      <w:rFonts w:eastAsia="Helvetica"/>
                      <w:color w:val="auto"/>
                      <w:sz w:val="18"/>
                      <w:szCs w:val="18"/>
                      <w:shd w:val="clear" w:color="auto" w:fill="FFFFFF"/>
                    </w:rPr>
                    <w:t>OH</w:t>
                  </w:r>
                </w:p>
              </w:tc>
              <w:tc>
                <w:tcPr>
                  <w:tcW w:w="762" w:type="dxa"/>
                  <w:vAlign w:val="center"/>
                </w:tcPr>
                <w:p w14:paraId="059B05F5">
                  <w:pPr>
                    <w:jc w:val="center"/>
                    <w:rPr>
                      <w:color w:val="auto"/>
                      <w:sz w:val="18"/>
                      <w:szCs w:val="18"/>
                    </w:rPr>
                  </w:pPr>
                  <w:r>
                    <w:rPr>
                      <w:rFonts w:hint="eastAsia"/>
                      <w:color w:val="auto"/>
                      <w:sz w:val="18"/>
                      <w:szCs w:val="18"/>
                    </w:rPr>
                    <w:t>260</w:t>
                  </w:r>
                </w:p>
              </w:tc>
              <w:tc>
                <w:tcPr>
                  <w:tcW w:w="817" w:type="dxa"/>
                  <w:vAlign w:val="center"/>
                </w:tcPr>
                <w:p w14:paraId="27403783">
                  <w:pPr>
                    <w:jc w:val="center"/>
                    <w:rPr>
                      <w:color w:val="auto"/>
                      <w:sz w:val="18"/>
                      <w:szCs w:val="18"/>
                    </w:rPr>
                  </w:pPr>
                  <w:r>
                    <w:rPr>
                      <w:rFonts w:hint="eastAsia"/>
                      <w:color w:val="auto"/>
                      <w:sz w:val="18"/>
                      <w:szCs w:val="18"/>
                    </w:rPr>
                    <w:t>16</w:t>
                  </w:r>
                </w:p>
              </w:tc>
              <w:tc>
                <w:tcPr>
                  <w:tcW w:w="1387" w:type="dxa"/>
                  <w:vAlign w:val="center"/>
                </w:tcPr>
                <w:p w14:paraId="659E5635">
                  <w:pPr>
                    <w:adjustRightInd w:val="0"/>
                    <w:snapToGrid w:val="0"/>
                    <w:jc w:val="center"/>
                    <w:rPr>
                      <w:color w:val="auto"/>
                      <w:sz w:val="18"/>
                      <w:szCs w:val="18"/>
                    </w:rPr>
                  </w:pPr>
                  <w:r>
                    <w:rPr>
                      <w:color w:val="auto"/>
                      <w:sz w:val="18"/>
                      <w:szCs w:val="18"/>
                    </w:rPr>
                    <w:t>4L/瓶，</w:t>
                  </w:r>
                  <w:r>
                    <w:rPr>
                      <w:rFonts w:hint="eastAsia"/>
                      <w:color w:val="auto"/>
                      <w:sz w:val="18"/>
                      <w:szCs w:val="18"/>
                    </w:rPr>
                    <w:t>瓶装</w:t>
                  </w:r>
                </w:p>
              </w:tc>
              <w:tc>
                <w:tcPr>
                  <w:tcW w:w="465" w:type="dxa"/>
                  <w:vMerge w:val="continue"/>
                  <w:vAlign w:val="center"/>
                </w:tcPr>
                <w:p w14:paraId="065E233F">
                  <w:pPr>
                    <w:pStyle w:val="4"/>
                    <w:spacing w:before="0" w:after="0" w:line="240" w:lineRule="auto"/>
                    <w:jc w:val="center"/>
                    <w:rPr>
                      <w:b w:val="0"/>
                      <w:bCs w:val="0"/>
                      <w:color w:val="auto"/>
                      <w:sz w:val="18"/>
                      <w:szCs w:val="18"/>
                    </w:rPr>
                  </w:pPr>
                </w:p>
              </w:tc>
            </w:tr>
            <w:tr w14:paraId="3B1724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5946C48F">
                  <w:pPr>
                    <w:jc w:val="center"/>
                    <w:rPr>
                      <w:color w:val="auto"/>
                      <w:sz w:val="18"/>
                      <w:szCs w:val="18"/>
                    </w:rPr>
                  </w:pPr>
                </w:p>
              </w:tc>
              <w:tc>
                <w:tcPr>
                  <w:tcW w:w="809" w:type="dxa"/>
                  <w:vMerge w:val="continue"/>
                  <w:vAlign w:val="center"/>
                </w:tcPr>
                <w:p w14:paraId="0AEF7FD7">
                  <w:pPr>
                    <w:jc w:val="center"/>
                    <w:rPr>
                      <w:snapToGrid w:val="0"/>
                      <w:color w:val="auto"/>
                      <w:sz w:val="18"/>
                      <w:szCs w:val="18"/>
                    </w:rPr>
                  </w:pPr>
                </w:p>
              </w:tc>
              <w:tc>
                <w:tcPr>
                  <w:tcW w:w="1506" w:type="dxa"/>
                  <w:vAlign w:val="center"/>
                </w:tcPr>
                <w:p w14:paraId="2107FF13">
                  <w:pPr>
                    <w:jc w:val="center"/>
                    <w:rPr>
                      <w:color w:val="auto"/>
                      <w:sz w:val="18"/>
                      <w:szCs w:val="18"/>
                    </w:rPr>
                  </w:pPr>
                  <w:r>
                    <w:rPr>
                      <w:rFonts w:hint="eastAsia"/>
                      <w:color w:val="auto"/>
                      <w:sz w:val="18"/>
                      <w:szCs w:val="18"/>
                    </w:rPr>
                    <w:t>丙酮</w:t>
                  </w:r>
                </w:p>
              </w:tc>
              <w:tc>
                <w:tcPr>
                  <w:tcW w:w="2052" w:type="dxa"/>
                  <w:vAlign w:val="center"/>
                </w:tcPr>
                <w:p w14:paraId="4AD13692">
                  <w:pPr>
                    <w:jc w:val="center"/>
                    <w:rPr>
                      <w:color w:val="auto"/>
                      <w:sz w:val="18"/>
                      <w:szCs w:val="18"/>
                    </w:rPr>
                  </w:pPr>
                  <w:r>
                    <w:rPr>
                      <w:rFonts w:hint="eastAsia"/>
                      <w:color w:val="auto"/>
                      <w:sz w:val="18"/>
                      <w:szCs w:val="18"/>
                    </w:rPr>
                    <w:t>99.5%，AR</w:t>
                  </w:r>
                  <w:r>
                    <w:rPr>
                      <w:color w:val="auto"/>
                      <w:sz w:val="18"/>
                      <w:szCs w:val="18"/>
                    </w:rPr>
                    <w:t>，</w:t>
                  </w:r>
                  <w:r>
                    <w:rPr>
                      <w:rFonts w:eastAsia="Helvetica"/>
                      <w:color w:val="auto"/>
                      <w:sz w:val="18"/>
                      <w:szCs w:val="18"/>
                      <w:shd w:val="clear" w:color="auto" w:fill="FFFFFF"/>
                    </w:rPr>
                    <w:t>C</w:t>
                  </w:r>
                  <w:r>
                    <w:rPr>
                      <w:rFonts w:eastAsia="Helvetica"/>
                      <w:color w:val="auto"/>
                      <w:sz w:val="18"/>
                      <w:szCs w:val="18"/>
                      <w:shd w:val="clear" w:color="auto" w:fill="FFFFFF"/>
                      <w:vertAlign w:val="subscript"/>
                    </w:rPr>
                    <w:t>3</w:t>
                  </w:r>
                  <w:r>
                    <w:rPr>
                      <w:rFonts w:eastAsia="Helvetica"/>
                      <w:color w:val="auto"/>
                      <w:sz w:val="18"/>
                      <w:szCs w:val="18"/>
                      <w:shd w:val="clear" w:color="auto" w:fill="FFFFFF"/>
                    </w:rPr>
                    <w:t>H</w:t>
                  </w:r>
                  <w:r>
                    <w:rPr>
                      <w:rFonts w:eastAsia="Helvetica"/>
                      <w:color w:val="auto"/>
                      <w:sz w:val="18"/>
                      <w:szCs w:val="18"/>
                      <w:shd w:val="clear" w:color="auto" w:fill="FFFFFF"/>
                      <w:vertAlign w:val="subscript"/>
                    </w:rPr>
                    <w:t>6</w:t>
                  </w:r>
                  <w:r>
                    <w:rPr>
                      <w:rFonts w:eastAsia="Helvetica"/>
                      <w:color w:val="auto"/>
                      <w:sz w:val="18"/>
                      <w:szCs w:val="18"/>
                      <w:shd w:val="clear" w:color="auto" w:fill="FFFFFF"/>
                    </w:rPr>
                    <w:t>O</w:t>
                  </w:r>
                </w:p>
              </w:tc>
              <w:tc>
                <w:tcPr>
                  <w:tcW w:w="762" w:type="dxa"/>
                  <w:vAlign w:val="center"/>
                </w:tcPr>
                <w:p w14:paraId="5727617E">
                  <w:pPr>
                    <w:jc w:val="center"/>
                    <w:rPr>
                      <w:color w:val="auto"/>
                      <w:sz w:val="18"/>
                      <w:szCs w:val="18"/>
                    </w:rPr>
                  </w:pPr>
                  <w:r>
                    <w:rPr>
                      <w:rFonts w:hint="eastAsia"/>
                      <w:color w:val="auto"/>
                      <w:sz w:val="18"/>
                      <w:szCs w:val="18"/>
                    </w:rPr>
                    <w:t>5</w:t>
                  </w:r>
                </w:p>
              </w:tc>
              <w:tc>
                <w:tcPr>
                  <w:tcW w:w="817" w:type="dxa"/>
                  <w:vAlign w:val="center"/>
                </w:tcPr>
                <w:p w14:paraId="1CD4128A">
                  <w:pPr>
                    <w:jc w:val="center"/>
                    <w:rPr>
                      <w:color w:val="auto"/>
                      <w:sz w:val="18"/>
                      <w:szCs w:val="18"/>
                    </w:rPr>
                  </w:pPr>
                  <w:r>
                    <w:rPr>
                      <w:rFonts w:hint="eastAsia"/>
                      <w:color w:val="auto"/>
                      <w:sz w:val="18"/>
                      <w:szCs w:val="18"/>
                    </w:rPr>
                    <w:t>1</w:t>
                  </w:r>
                </w:p>
              </w:tc>
              <w:tc>
                <w:tcPr>
                  <w:tcW w:w="1387" w:type="dxa"/>
                  <w:vAlign w:val="center"/>
                </w:tcPr>
                <w:p w14:paraId="0ED803F7">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101CC751">
                  <w:pPr>
                    <w:pStyle w:val="4"/>
                    <w:spacing w:before="0" w:after="0" w:line="240" w:lineRule="auto"/>
                    <w:jc w:val="center"/>
                    <w:rPr>
                      <w:b w:val="0"/>
                      <w:bCs w:val="0"/>
                      <w:color w:val="auto"/>
                      <w:sz w:val="18"/>
                      <w:szCs w:val="18"/>
                    </w:rPr>
                  </w:pPr>
                </w:p>
              </w:tc>
            </w:tr>
            <w:tr w14:paraId="60FEC8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3FB84A06">
                  <w:pPr>
                    <w:jc w:val="center"/>
                    <w:rPr>
                      <w:color w:val="auto"/>
                      <w:sz w:val="18"/>
                      <w:szCs w:val="18"/>
                    </w:rPr>
                  </w:pPr>
                </w:p>
              </w:tc>
              <w:tc>
                <w:tcPr>
                  <w:tcW w:w="809" w:type="dxa"/>
                  <w:vMerge w:val="continue"/>
                  <w:vAlign w:val="center"/>
                </w:tcPr>
                <w:p w14:paraId="1BFC91E9">
                  <w:pPr>
                    <w:jc w:val="center"/>
                    <w:rPr>
                      <w:snapToGrid w:val="0"/>
                      <w:color w:val="auto"/>
                      <w:sz w:val="18"/>
                      <w:szCs w:val="18"/>
                    </w:rPr>
                  </w:pPr>
                </w:p>
              </w:tc>
              <w:tc>
                <w:tcPr>
                  <w:tcW w:w="1506" w:type="dxa"/>
                  <w:vAlign w:val="center"/>
                </w:tcPr>
                <w:p w14:paraId="4376674B">
                  <w:pPr>
                    <w:jc w:val="center"/>
                    <w:rPr>
                      <w:color w:val="auto"/>
                      <w:sz w:val="18"/>
                      <w:szCs w:val="18"/>
                    </w:rPr>
                  </w:pPr>
                  <w:r>
                    <w:rPr>
                      <w:rFonts w:hint="eastAsia"/>
                      <w:color w:val="auto"/>
                      <w:sz w:val="18"/>
                      <w:szCs w:val="18"/>
                    </w:rPr>
                    <w:t>甲酸</w:t>
                  </w:r>
                </w:p>
              </w:tc>
              <w:tc>
                <w:tcPr>
                  <w:tcW w:w="2052" w:type="dxa"/>
                  <w:vAlign w:val="center"/>
                </w:tcPr>
                <w:p w14:paraId="3065854F">
                  <w:pPr>
                    <w:jc w:val="center"/>
                    <w:rPr>
                      <w:color w:val="auto"/>
                      <w:sz w:val="18"/>
                      <w:szCs w:val="18"/>
                    </w:rPr>
                  </w:pPr>
                  <w:r>
                    <w:rPr>
                      <w:rFonts w:hint="eastAsia"/>
                      <w:color w:val="auto"/>
                      <w:sz w:val="18"/>
                      <w:szCs w:val="18"/>
                    </w:rPr>
                    <w:t>99.0%，AR</w:t>
                  </w:r>
                  <w:r>
                    <w:rPr>
                      <w:color w:val="auto"/>
                      <w:sz w:val="18"/>
                      <w:szCs w:val="18"/>
                    </w:rPr>
                    <w:t>，</w:t>
                  </w:r>
                  <w:r>
                    <w:rPr>
                      <w:rFonts w:eastAsia="Helvetica"/>
                      <w:color w:val="auto"/>
                      <w:sz w:val="18"/>
                      <w:szCs w:val="18"/>
                      <w:shd w:val="clear" w:color="auto" w:fill="FFFFFF"/>
                    </w:rPr>
                    <w:t>HCOOH</w:t>
                  </w:r>
                </w:p>
              </w:tc>
              <w:tc>
                <w:tcPr>
                  <w:tcW w:w="762" w:type="dxa"/>
                  <w:vAlign w:val="center"/>
                </w:tcPr>
                <w:p w14:paraId="41B7F21A">
                  <w:pPr>
                    <w:jc w:val="center"/>
                    <w:rPr>
                      <w:color w:val="auto"/>
                      <w:sz w:val="18"/>
                      <w:szCs w:val="18"/>
                    </w:rPr>
                  </w:pPr>
                  <w:r>
                    <w:rPr>
                      <w:rFonts w:hint="eastAsia"/>
                      <w:color w:val="auto"/>
                      <w:sz w:val="18"/>
                      <w:szCs w:val="18"/>
                    </w:rPr>
                    <w:t>4</w:t>
                  </w:r>
                </w:p>
              </w:tc>
              <w:tc>
                <w:tcPr>
                  <w:tcW w:w="817" w:type="dxa"/>
                  <w:vAlign w:val="center"/>
                </w:tcPr>
                <w:p w14:paraId="48CFB772">
                  <w:pPr>
                    <w:jc w:val="center"/>
                    <w:rPr>
                      <w:color w:val="auto"/>
                      <w:sz w:val="18"/>
                      <w:szCs w:val="18"/>
                    </w:rPr>
                  </w:pPr>
                  <w:r>
                    <w:rPr>
                      <w:rFonts w:hint="eastAsia"/>
                      <w:color w:val="auto"/>
                      <w:sz w:val="18"/>
                      <w:szCs w:val="18"/>
                    </w:rPr>
                    <w:t>1</w:t>
                  </w:r>
                </w:p>
              </w:tc>
              <w:tc>
                <w:tcPr>
                  <w:tcW w:w="1387" w:type="dxa"/>
                  <w:vAlign w:val="center"/>
                </w:tcPr>
                <w:p w14:paraId="63BD6EBF">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754E8986">
                  <w:pPr>
                    <w:pStyle w:val="4"/>
                    <w:spacing w:before="0" w:after="0" w:line="240" w:lineRule="auto"/>
                    <w:jc w:val="center"/>
                    <w:rPr>
                      <w:b w:val="0"/>
                      <w:bCs w:val="0"/>
                      <w:color w:val="auto"/>
                      <w:sz w:val="18"/>
                      <w:szCs w:val="18"/>
                    </w:rPr>
                  </w:pPr>
                </w:p>
              </w:tc>
            </w:tr>
            <w:tr w14:paraId="52D895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2958E31D">
                  <w:pPr>
                    <w:jc w:val="center"/>
                    <w:rPr>
                      <w:color w:val="auto"/>
                      <w:sz w:val="18"/>
                      <w:szCs w:val="18"/>
                    </w:rPr>
                  </w:pPr>
                </w:p>
              </w:tc>
              <w:tc>
                <w:tcPr>
                  <w:tcW w:w="809" w:type="dxa"/>
                  <w:vMerge w:val="continue"/>
                  <w:vAlign w:val="center"/>
                </w:tcPr>
                <w:p w14:paraId="520D8EC6">
                  <w:pPr>
                    <w:jc w:val="center"/>
                    <w:rPr>
                      <w:snapToGrid w:val="0"/>
                      <w:color w:val="auto"/>
                      <w:sz w:val="18"/>
                      <w:szCs w:val="18"/>
                    </w:rPr>
                  </w:pPr>
                </w:p>
              </w:tc>
              <w:tc>
                <w:tcPr>
                  <w:tcW w:w="1506" w:type="dxa"/>
                  <w:vAlign w:val="center"/>
                </w:tcPr>
                <w:p w14:paraId="6D2B2775">
                  <w:pPr>
                    <w:jc w:val="center"/>
                    <w:rPr>
                      <w:color w:val="auto"/>
                      <w:sz w:val="18"/>
                      <w:szCs w:val="18"/>
                    </w:rPr>
                  </w:pPr>
                  <w:r>
                    <w:rPr>
                      <w:rFonts w:hint="eastAsia"/>
                      <w:color w:val="auto"/>
                      <w:sz w:val="18"/>
                      <w:szCs w:val="18"/>
                    </w:rPr>
                    <w:t>冰醋酸</w:t>
                  </w:r>
                </w:p>
              </w:tc>
              <w:tc>
                <w:tcPr>
                  <w:tcW w:w="2052" w:type="dxa"/>
                  <w:vAlign w:val="center"/>
                </w:tcPr>
                <w:p w14:paraId="2B959211">
                  <w:pPr>
                    <w:jc w:val="center"/>
                    <w:rPr>
                      <w:color w:val="auto"/>
                      <w:sz w:val="18"/>
                      <w:szCs w:val="18"/>
                    </w:rPr>
                  </w:pPr>
                  <w:r>
                    <w:rPr>
                      <w:rFonts w:hint="eastAsia"/>
                      <w:color w:val="auto"/>
                      <w:sz w:val="18"/>
                      <w:szCs w:val="18"/>
                    </w:rPr>
                    <w:t>99.0%，AR</w:t>
                  </w:r>
                  <w:r>
                    <w:rPr>
                      <w:color w:val="auto"/>
                      <w:sz w:val="18"/>
                      <w:szCs w:val="18"/>
                    </w:rPr>
                    <w:t>，</w:t>
                  </w:r>
                  <w:r>
                    <w:rPr>
                      <w:rFonts w:eastAsia="Helvetica"/>
                      <w:color w:val="auto"/>
                      <w:sz w:val="18"/>
                      <w:szCs w:val="18"/>
                      <w:shd w:val="clear" w:color="auto" w:fill="FFFFFF"/>
                    </w:rPr>
                    <w:t>CH</w:t>
                  </w:r>
                  <w:r>
                    <w:rPr>
                      <w:rFonts w:eastAsia="Helvetica"/>
                      <w:color w:val="auto"/>
                      <w:sz w:val="18"/>
                      <w:szCs w:val="18"/>
                      <w:shd w:val="clear" w:color="auto" w:fill="FFFFFF"/>
                      <w:vertAlign w:val="subscript"/>
                    </w:rPr>
                    <w:t>3</w:t>
                  </w:r>
                  <w:r>
                    <w:rPr>
                      <w:rFonts w:eastAsia="Helvetica"/>
                      <w:color w:val="auto"/>
                      <w:sz w:val="18"/>
                      <w:szCs w:val="18"/>
                      <w:shd w:val="clear" w:color="auto" w:fill="FFFFFF"/>
                    </w:rPr>
                    <w:t>COOH</w:t>
                  </w:r>
                </w:p>
              </w:tc>
              <w:tc>
                <w:tcPr>
                  <w:tcW w:w="762" w:type="dxa"/>
                  <w:vAlign w:val="center"/>
                </w:tcPr>
                <w:p w14:paraId="241152A5">
                  <w:pPr>
                    <w:jc w:val="center"/>
                    <w:rPr>
                      <w:color w:val="auto"/>
                      <w:sz w:val="18"/>
                      <w:szCs w:val="18"/>
                    </w:rPr>
                  </w:pPr>
                  <w:r>
                    <w:rPr>
                      <w:rFonts w:hint="eastAsia"/>
                      <w:color w:val="auto"/>
                      <w:sz w:val="18"/>
                      <w:szCs w:val="18"/>
                    </w:rPr>
                    <w:t>10</w:t>
                  </w:r>
                </w:p>
              </w:tc>
              <w:tc>
                <w:tcPr>
                  <w:tcW w:w="817" w:type="dxa"/>
                  <w:vAlign w:val="center"/>
                </w:tcPr>
                <w:p w14:paraId="479C4DD2">
                  <w:pPr>
                    <w:jc w:val="center"/>
                    <w:rPr>
                      <w:color w:val="auto"/>
                      <w:sz w:val="18"/>
                      <w:szCs w:val="18"/>
                    </w:rPr>
                  </w:pPr>
                  <w:r>
                    <w:rPr>
                      <w:rFonts w:hint="eastAsia"/>
                      <w:color w:val="auto"/>
                      <w:sz w:val="18"/>
                      <w:szCs w:val="18"/>
                    </w:rPr>
                    <w:t>2</w:t>
                  </w:r>
                </w:p>
              </w:tc>
              <w:tc>
                <w:tcPr>
                  <w:tcW w:w="1387" w:type="dxa"/>
                  <w:vAlign w:val="center"/>
                </w:tcPr>
                <w:p w14:paraId="52624EE0">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2078BC32">
                  <w:pPr>
                    <w:pStyle w:val="4"/>
                    <w:spacing w:before="0" w:after="0" w:line="240" w:lineRule="auto"/>
                    <w:jc w:val="center"/>
                    <w:rPr>
                      <w:b w:val="0"/>
                      <w:bCs w:val="0"/>
                      <w:color w:val="auto"/>
                      <w:sz w:val="18"/>
                      <w:szCs w:val="18"/>
                    </w:rPr>
                  </w:pPr>
                </w:p>
              </w:tc>
            </w:tr>
            <w:tr w14:paraId="09A87E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59E52562">
                  <w:pPr>
                    <w:jc w:val="center"/>
                    <w:rPr>
                      <w:color w:val="auto"/>
                      <w:sz w:val="18"/>
                      <w:szCs w:val="18"/>
                    </w:rPr>
                  </w:pPr>
                </w:p>
              </w:tc>
              <w:tc>
                <w:tcPr>
                  <w:tcW w:w="809" w:type="dxa"/>
                  <w:vMerge w:val="continue"/>
                  <w:vAlign w:val="center"/>
                </w:tcPr>
                <w:p w14:paraId="46D7FC17">
                  <w:pPr>
                    <w:jc w:val="center"/>
                    <w:rPr>
                      <w:snapToGrid w:val="0"/>
                      <w:color w:val="auto"/>
                      <w:sz w:val="18"/>
                      <w:szCs w:val="18"/>
                    </w:rPr>
                  </w:pPr>
                </w:p>
              </w:tc>
              <w:tc>
                <w:tcPr>
                  <w:tcW w:w="1506" w:type="dxa"/>
                  <w:vAlign w:val="center"/>
                </w:tcPr>
                <w:p w14:paraId="66EECFE0">
                  <w:pPr>
                    <w:jc w:val="center"/>
                    <w:rPr>
                      <w:color w:val="auto"/>
                      <w:sz w:val="18"/>
                      <w:szCs w:val="18"/>
                    </w:rPr>
                  </w:pPr>
                  <w:r>
                    <w:rPr>
                      <w:rFonts w:hint="eastAsia"/>
                      <w:color w:val="auto"/>
                      <w:sz w:val="18"/>
                      <w:szCs w:val="18"/>
                    </w:rPr>
                    <w:t>三乙醇胺</w:t>
                  </w:r>
                </w:p>
              </w:tc>
              <w:tc>
                <w:tcPr>
                  <w:tcW w:w="2052" w:type="dxa"/>
                  <w:vAlign w:val="center"/>
                </w:tcPr>
                <w:p w14:paraId="72A9B630">
                  <w:pPr>
                    <w:jc w:val="center"/>
                    <w:rPr>
                      <w:color w:val="auto"/>
                      <w:sz w:val="18"/>
                      <w:szCs w:val="18"/>
                    </w:rPr>
                  </w:pPr>
                  <w:r>
                    <w:rPr>
                      <w:rFonts w:hint="eastAsia"/>
                      <w:color w:val="auto"/>
                      <w:sz w:val="18"/>
                      <w:szCs w:val="18"/>
                    </w:rPr>
                    <w:t>99.0%，AR</w:t>
                  </w:r>
                  <w:r>
                    <w:rPr>
                      <w:color w:val="auto"/>
                      <w:sz w:val="18"/>
                      <w:szCs w:val="18"/>
                    </w:rPr>
                    <w:t>，</w:t>
                  </w:r>
                  <w:r>
                    <w:rPr>
                      <w:rFonts w:eastAsia="Helvetica"/>
                      <w:color w:val="auto"/>
                      <w:sz w:val="18"/>
                      <w:szCs w:val="18"/>
                      <w:shd w:val="clear" w:color="auto" w:fill="FFFFFF"/>
                    </w:rPr>
                    <w:t>C</w:t>
                  </w:r>
                  <w:r>
                    <w:rPr>
                      <w:rFonts w:eastAsia="Helvetica"/>
                      <w:color w:val="auto"/>
                      <w:sz w:val="18"/>
                      <w:szCs w:val="18"/>
                      <w:shd w:val="clear" w:color="auto" w:fill="FFFFFF"/>
                      <w:vertAlign w:val="subscript"/>
                    </w:rPr>
                    <w:t>6</w:t>
                  </w:r>
                  <w:r>
                    <w:rPr>
                      <w:rFonts w:eastAsia="Helvetica"/>
                      <w:color w:val="auto"/>
                      <w:sz w:val="18"/>
                      <w:szCs w:val="18"/>
                      <w:shd w:val="clear" w:color="auto" w:fill="FFFFFF"/>
                    </w:rPr>
                    <w:t>H</w:t>
                  </w:r>
                  <w:r>
                    <w:rPr>
                      <w:rFonts w:eastAsia="Helvetica"/>
                      <w:color w:val="auto"/>
                      <w:sz w:val="18"/>
                      <w:szCs w:val="18"/>
                      <w:shd w:val="clear" w:color="auto" w:fill="FFFFFF"/>
                      <w:vertAlign w:val="subscript"/>
                    </w:rPr>
                    <w:t>15</w:t>
                  </w:r>
                  <w:r>
                    <w:rPr>
                      <w:rFonts w:eastAsia="Helvetica"/>
                      <w:color w:val="auto"/>
                      <w:sz w:val="18"/>
                      <w:szCs w:val="18"/>
                      <w:shd w:val="clear" w:color="auto" w:fill="FFFFFF"/>
                    </w:rPr>
                    <w:t>NO</w:t>
                  </w:r>
                  <w:r>
                    <w:rPr>
                      <w:rFonts w:eastAsia="Helvetica"/>
                      <w:color w:val="auto"/>
                      <w:sz w:val="18"/>
                      <w:szCs w:val="18"/>
                      <w:shd w:val="clear" w:color="auto" w:fill="FFFFFF"/>
                      <w:vertAlign w:val="subscript"/>
                    </w:rPr>
                    <w:t>3</w:t>
                  </w:r>
                </w:p>
              </w:tc>
              <w:tc>
                <w:tcPr>
                  <w:tcW w:w="762" w:type="dxa"/>
                  <w:vAlign w:val="center"/>
                </w:tcPr>
                <w:p w14:paraId="73BF4C44">
                  <w:pPr>
                    <w:jc w:val="center"/>
                    <w:rPr>
                      <w:color w:val="auto"/>
                      <w:sz w:val="18"/>
                      <w:szCs w:val="18"/>
                    </w:rPr>
                  </w:pPr>
                  <w:r>
                    <w:rPr>
                      <w:rFonts w:hint="eastAsia"/>
                      <w:color w:val="auto"/>
                      <w:sz w:val="18"/>
                      <w:szCs w:val="18"/>
                    </w:rPr>
                    <w:t>2</w:t>
                  </w:r>
                </w:p>
              </w:tc>
              <w:tc>
                <w:tcPr>
                  <w:tcW w:w="817" w:type="dxa"/>
                  <w:vAlign w:val="center"/>
                </w:tcPr>
                <w:p w14:paraId="0CDDBE39">
                  <w:pPr>
                    <w:jc w:val="center"/>
                    <w:rPr>
                      <w:color w:val="auto"/>
                      <w:sz w:val="18"/>
                      <w:szCs w:val="18"/>
                    </w:rPr>
                  </w:pPr>
                  <w:r>
                    <w:rPr>
                      <w:rFonts w:hint="eastAsia"/>
                      <w:color w:val="auto"/>
                      <w:sz w:val="18"/>
                      <w:szCs w:val="18"/>
                    </w:rPr>
                    <w:t>1</w:t>
                  </w:r>
                </w:p>
              </w:tc>
              <w:tc>
                <w:tcPr>
                  <w:tcW w:w="1387" w:type="dxa"/>
                  <w:vAlign w:val="center"/>
                </w:tcPr>
                <w:p w14:paraId="31D74B61">
                  <w:pPr>
                    <w:adjustRightInd w:val="0"/>
                    <w:snapToGrid w:val="0"/>
                    <w:jc w:val="center"/>
                    <w:rPr>
                      <w:color w:val="auto"/>
                      <w:sz w:val="18"/>
                      <w:szCs w:val="18"/>
                    </w:rPr>
                  </w:pPr>
                  <w:r>
                    <w:rPr>
                      <w:color w:val="auto"/>
                      <w:sz w:val="18"/>
                      <w:szCs w:val="18"/>
                    </w:rPr>
                    <w:t>500g/瓶</w:t>
                  </w:r>
                  <w:r>
                    <w:rPr>
                      <w:rFonts w:hint="eastAsia"/>
                      <w:color w:val="auto"/>
                      <w:sz w:val="18"/>
                      <w:szCs w:val="18"/>
                    </w:rPr>
                    <w:t>，</w:t>
                  </w:r>
                  <w:r>
                    <w:rPr>
                      <w:color w:val="auto"/>
                      <w:sz w:val="18"/>
                      <w:szCs w:val="18"/>
                    </w:rPr>
                    <w:t>瓶</w:t>
                  </w:r>
                  <w:r>
                    <w:rPr>
                      <w:rFonts w:hint="eastAsia"/>
                      <w:color w:val="auto"/>
                      <w:sz w:val="18"/>
                      <w:szCs w:val="18"/>
                    </w:rPr>
                    <w:t>装</w:t>
                  </w:r>
                </w:p>
              </w:tc>
              <w:tc>
                <w:tcPr>
                  <w:tcW w:w="465" w:type="dxa"/>
                  <w:vMerge w:val="continue"/>
                  <w:vAlign w:val="center"/>
                </w:tcPr>
                <w:p w14:paraId="2B738455">
                  <w:pPr>
                    <w:pStyle w:val="4"/>
                    <w:spacing w:before="0" w:after="0" w:line="240" w:lineRule="auto"/>
                    <w:jc w:val="center"/>
                    <w:rPr>
                      <w:b w:val="0"/>
                      <w:bCs w:val="0"/>
                      <w:color w:val="auto"/>
                      <w:sz w:val="18"/>
                      <w:szCs w:val="18"/>
                    </w:rPr>
                  </w:pPr>
                </w:p>
              </w:tc>
            </w:tr>
            <w:tr w14:paraId="468DDF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20015BFC">
                  <w:pPr>
                    <w:jc w:val="center"/>
                    <w:rPr>
                      <w:color w:val="auto"/>
                      <w:sz w:val="18"/>
                      <w:szCs w:val="18"/>
                    </w:rPr>
                  </w:pPr>
                </w:p>
              </w:tc>
              <w:tc>
                <w:tcPr>
                  <w:tcW w:w="809" w:type="dxa"/>
                  <w:vMerge w:val="continue"/>
                  <w:vAlign w:val="center"/>
                </w:tcPr>
                <w:p w14:paraId="6F32A57D">
                  <w:pPr>
                    <w:jc w:val="center"/>
                    <w:rPr>
                      <w:snapToGrid w:val="0"/>
                      <w:color w:val="auto"/>
                      <w:sz w:val="18"/>
                      <w:szCs w:val="18"/>
                    </w:rPr>
                  </w:pPr>
                </w:p>
              </w:tc>
              <w:tc>
                <w:tcPr>
                  <w:tcW w:w="1506" w:type="dxa"/>
                  <w:vAlign w:val="center"/>
                </w:tcPr>
                <w:p w14:paraId="0503AF8A">
                  <w:pPr>
                    <w:jc w:val="center"/>
                    <w:rPr>
                      <w:color w:val="auto"/>
                      <w:sz w:val="18"/>
                      <w:szCs w:val="18"/>
                    </w:rPr>
                  </w:pPr>
                  <w:r>
                    <w:rPr>
                      <w:rFonts w:hint="eastAsia"/>
                      <w:color w:val="auto"/>
                      <w:sz w:val="18"/>
                      <w:szCs w:val="18"/>
                    </w:rPr>
                    <w:t>二苯胺磺酸钠</w:t>
                  </w:r>
                </w:p>
              </w:tc>
              <w:tc>
                <w:tcPr>
                  <w:tcW w:w="2052" w:type="dxa"/>
                  <w:vAlign w:val="center"/>
                </w:tcPr>
                <w:p w14:paraId="7971EFCF">
                  <w:pPr>
                    <w:jc w:val="center"/>
                    <w:rPr>
                      <w:color w:val="auto"/>
                      <w:sz w:val="18"/>
                      <w:szCs w:val="18"/>
                    </w:rPr>
                  </w:pPr>
                  <w:r>
                    <w:rPr>
                      <w:rFonts w:hint="eastAsia"/>
                      <w:color w:val="auto"/>
                      <w:sz w:val="18"/>
                      <w:szCs w:val="18"/>
                    </w:rPr>
                    <w:t>99.0%，AR，</w:t>
                  </w:r>
                  <w:r>
                    <w:rPr>
                      <w:rFonts w:eastAsia="Helvetica"/>
                      <w:color w:val="auto"/>
                      <w:sz w:val="18"/>
                      <w:szCs w:val="18"/>
                      <w:shd w:val="clear" w:color="auto" w:fill="FFFFFF"/>
                    </w:rPr>
                    <w:t>C</w:t>
                  </w:r>
                  <w:r>
                    <w:rPr>
                      <w:rFonts w:eastAsia="Helvetica"/>
                      <w:color w:val="auto"/>
                      <w:sz w:val="18"/>
                      <w:szCs w:val="18"/>
                      <w:shd w:val="clear" w:color="auto" w:fill="FFFFFF"/>
                      <w:vertAlign w:val="subscript"/>
                    </w:rPr>
                    <w:t>12</w:t>
                  </w:r>
                  <w:r>
                    <w:rPr>
                      <w:rFonts w:eastAsia="Helvetica"/>
                      <w:color w:val="auto"/>
                      <w:sz w:val="18"/>
                      <w:szCs w:val="18"/>
                      <w:shd w:val="clear" w:color="auto" w:fill="FFFFFF"/>
                    </w:rPr>
                    <w:t>H</w:t>
                  </w:r>
                  <w:r>
                    <w:rPr>
                      <w:rFonts w:eastAsia="Helvetica"/>
                      <w:color w:val="auto"/>
                      <w:sz w:val="18"/>
                      <w:szCs w:val="18"/>
                      <w:shd w:val="clear" w:color="auto" w:fill="FFFFFF"/>
                      <w:vertAlign w:val="subscript"/>
                    </w:rPr>
                    <w:t>10</w:t>
                  </w:r>
                  <w:r>
                    <w:rPr>
                      <w:rFonts w:eastAsia="Helvetica"/>
                      <w:color w:val="auto"/>
                      <w:sz w:val="18"/>
                      <w:szCs w:val="18"/>
                      <w:shd w:val="clear" w:color="auto" w:fill="FFFFFF"/>
                    </w:rPr>
                    <w:t>NNaO</w:t>
                  </w:r>
                  <w:r>
                    <w:rPr>
                      <w:rFonts w:eastAsia="Helvetica"/>
                      <w:color w:val="auto"/>
                      <w:sz w:val="18"/>
                      <w:szCs w:val="18"/>
                      <w:shd w:val="clear" w:color="auto" w:fill="FFFFFF"/>
                      <w:vertAlign w:val="subscript"/>
                    </w:rPr>
                    <w:t>3</w:t>
                  </w:r>
                  <w:r>
                    <w:rPr>
                      <w:rFonts w:eastAsia="Helvetica"/>
                      <w:color w:val="auto"/>
                      <w:sz w:val="18"/>
                      <w:szCs w:val="18"/>
                      <w:shd w:val="clear" w:color="auto" w:fill="FFFFFF"/>
                    </w:rPr>
                    <w:t>S</w:t>
                  </w:r>
                </w:p>
              </w:tc>
              <w:tc>
                <w:tcPr>
                  <w:tcW w:w="762" w:type="dxa"/>
                  <w:vAlign w:val="center"/>
                </w:tcPr>
                <w:p w14:paraId="2309DE9F">
                  <w:pPr>
                    <w:jc w:val="center"/>
                    <w:rPr>
                      <w:color w:val="auto"/>
                      <w:sz w:val="18"/>
                      <w:szCs w:val="18"/>
                    </w:rPr>
                  </w:pPr>
                  <w:r>
                    <w:rPr>
                      <w:rFonts w:hint="eastAsia"/>
                      <w:color w:val="auto"/>
                      <w:sz w:val="18"/>
                      <w:szCs w:val="18"/>
                    </w:rPr>
                    <w:t>2</w:t>
                  </w:r>
                </w:p>
              </w:tc>
              <w:tc>
                <w:tcPr>
                  <w:tcW w:w="817" w:type="dxa"/>
                  <w:vAlign w:val="center"/>
                </w:tcPr>
                <w:p w14:paraId="4CAE4E81">
                  <w:pPr>
                    <w:jc w:val="center"/>
                    <w:rPr>
                      <w:color w:val="auto"/>
                      <w:sz w:val="18"/>
                      <w:szCs w:val="18"/>
                    </w:rPr>
                  </w:pPr>
                  <w:r>
                    <w:rPr>
                      <w:rFonts w:hint="eastAsia"/>
                      <w:color w:val="auto"/>
                      <w:sz w:val="18"/>
                      <w:szCs w:val="18"/>
                    </w:rPr>
                    <w:t>1</w:t>
                  </w:r>
                </w:p>
              </w:tc>
              <w:tc>
                <w:tcPr>
                  <w:tcW w:w="1387" w:type="dxa"/>
                  <w:vAlign w:val="center"/>
                </w:tcPr>
                <w:p w14:paraId="56069569">
                  <w:pPr>
                    <w:adjustRightInd w:val="0"/>
                    <w:snapToGrid w:val="0"/>
                    <w:jc w:val="center"/>
                    <w:rPr>
                      <w:color w:val="auto"/>
                      <w:sz w:val="18"/>
                      <w:szCs w:val="18"/>
                    </w:rPr>
                  </w:pPr>
                  <w:r>
                    <w:rPr>
                      <w:rFonts w:hint="eastAsia"/>
                      <w:color w:val="auto"/>
                      <w:sz w:val="18"/>
                      <w:szCs w:val="18"/>
                    </w:rPr>
                    <w:t>500g/瓶，瓶装</w:t>
                  </w:r>
                </w:p>
              </w:tc>
              <w:tc>
                <w:tcPr>
                  <w:tcW w:w="465" w:type="dxa"/>
                  <w:vMerge w:val="continue"/>
                  <w:vAlign w:val="center"/>
                </w:tcPr>
                <w:p w14:paraId="559EC239">
                  <w:pPr>
                    <w:pStyle w:val="4"/>
                    <w:spacing w:before="0" w:after="0" w:line="240" w:lineRule="auto"/>
                    <w:jc w:val="center"/>
                    <w:rPr>
                      <w:b w:val="0"/>
                      <w:bCs w:val="0"/>
                      <w:color w:val="auto"/>
                      <w:sz w:val="18"/>
                      <w:szCs w:val="18"/>
                    </w:rPr>
                  </w:pPr>
                </w:p>
              </w:tc>
            </w:tr>
            <w:tr w14:paraId="55B66D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4BD05055">
                  <w:pPr>
                    <w:jc w:val="center"/>
                    <w:rPr>
                      <w:color w:val="auto"/>
                      <w:sz w:val="18"/>
                      <w:szCs w:val="18"/>
                    </w:rPr>
                  </w:pPr>
                </w:p>
              </w:tc>
              <w:tc>
                <w:tcPr>
                  <w:tcW w:w="809" w:type="dxa"/>
                  <w:vMerge w:val="continue"/>
                  <w:vAlign w:val="center"/>
                </w:tcPr>
                <w:p w14:paraId="11A6ACF1">
                  <w:pPr>
                    <w:jc w:val="center"/>
                    <w:rPr>
                      <w:snapToGrid w:val="0"/>
                      <w:color w:val="auto"/>
                      <w:sz w:val="18"/>
                      <w:szCs w:val="18"/>
                    </w:rPr>
                  </w:pPr>
                </w:p>
              </w:tc>
              <w:tc>
                <w:tcPr>
                  <w:tcW w:w="1506" w:type="dxa"/>
                  <w:vAlign w:val="center"/>
                </w:tcPr>
                <w:p w14:paraId="424547C8">
                  <w:pPr>
                    <w:jc w:val="center"/>
                    <w:rPr>
                      <w:color w:val="auto"/>
                      <w:sz w:val="18"/>
                      <w:szCs w:val="18"/>
                    </w:rPr>
                  </w:pPr>
                  <w:r>
                    <w:rPr>
                      <w:rFonts w:hint="eastAsia"/>
                      <w:color w:val="auto"/>
                      <w:sz w:val="18"/>
                      <w:szCs w:val="18"/>
                    </w:rPr>
                    <w:t>磺基水杨酸</w:t>
                  </w:r>
                </w:p>
              </w:tc>
              <w:tc>
                <w:tcPr>
                  <w:tcW w:w="2052" w:type="dxa"/>
                  <w:vAlign w:val="center"/>
                </w:tcPr>
                <w:p w14:paraId="76DFA044">
                  <w:pPr>
                    <w:jc w:val="center"/>
                    <w:rPr>
                      <w:color w:val="auto"/>
                      <w:sz w:val="18"/>
                      <w:szCs w:val="18"/>
                    </w:rPr>
                  </w:pPr>
                  <w:r>
                    <w:rPr>
                      <w:rFonts w:hint="eastAsia"/>
                      <w:color w:val="auto"/>
                      <w:sz w:val="18"/>
                      <w:szCs w:val="18"/>
                    </w:rPr>
                    <w:t>99.0%，AR</w:t>
                  </w:r>
                  <w:r>
                    <w:rPr>
                      <w:color w:val="auto"/>
                      <w:sz w:val="18"/>
                      <w:szCs w:val="18"/>
                    </w:rPr>
                    <w:t>，</w:t>
                  </w:r>
                  <w:r>
                    <w:rPr>
                      <w:rFonts w:eastAsia="Helvetica"/>
                      <w:color w:val="auto"/>
                      <w:sz w:val="18"/>
                      <w:szCs w:val="18"/>
                      <w:shd w:val="clear" w:color="auto" w:fill="FFFFFF"/>
                    </w:rPr>
                    <w:t>C</w:t>
                  </w:r>
                  <w:r>
                    <w:rPr>
                      <w:rFonts w:eastAsia="Helvetica"/>
                      <w:color w:val="auto"/>
                      <w:sz w:val="18"/>
                      <w:szCs w:val="18"/>
                      <w:shd w:val="clear" w:color="auto" w:fill="FFFFFF"/>
                      <w:vertAlign w:val="subscript"/>
                    </w:rPr>
                    <w:t>7</w:t>
                  </w:r>
                  <w:r>
                    <w:rPr>
                      <w:rFonts w:eastAsia="Helvetica"/>
                      <w:color w:val="auto"/>
                      <w:sz w:val="18"/>
                      <w:szCs w:val="18"/>
                      <w:shd w:val="clear" w:color="auto" w:fill="FFFFFF"/>
                    </w:rPr>
                    <w:t>H</w:t>
                  </w:r>
                  <w:r>
                    <w:rPr>
                      <w:rFonts w:eastAsia="Helvetica"/>
                      <w:color w:val="auto"/>
                      <w:sz w:val="18"/>
                      <w:szCs w:val="18"/>
                      <w:shd w:val="clear" w:color="auto" w:fill="FFFFFF"/>
                      <w:vertAlign w:val="subscript"/>
                    </w:rPr>
                    <w:t>6</w:t>
                  </w:r>
                  <w:r>
                    <w:rPr>
                      <w:rFonts w:eastAsia="Helvetica"/>
                      <w:color w:val="auto"/>
                      <w:sz w:val="18"/>
                      <w:szCs w:val="18"/>
                      <w:shd w:val="clear" w:color="auto" w:fill="FFFFFF"/>
                    </w:rPr>
                    <w:t>O</w:t>
                  </w:r>
                  <w:r>
                    <w:rPr>
                      <w:rFonts w:eastAsia="Helvetica"/>
                      <w:color w:val="auto"/>
                      <w:sz w:val="18"/>
                      <w:szCs w:val="18"/>
                      <w:shd w:val="clear" w:color="auto" w:fill="FFFFFF"/>
                      <w:vertAlign w:val="subscript"/>
                    </w:rPr>
                    <w:t>6</w:t>
                  </w:r>
                  <w:r>
                    <w:rPr>
                      <w:rFonts w:eastAsia="Helvetica"/>
                      <w:color w:val="auto"/>
                      <w:sz w:val="18"/>
                      <w:szCs w:val="18"/>
                      <w:shd w:val="clear" w:color="auto" w:fill="FFFFFF"/>
                    </w:rPr>
                    <w:t>S</w:t>
                  </w:r>
                </w:p>
              </w:tc>
              <w:tc>
                <w:tcPr>
                  <w:tcW w:w="762" w:type="dxa"/>
                  <w:vAlign w:val="center"/>
                </w:tcPr>
                <w:p w14:paraId="7C143E05">
                  <w:pPr>
                    <w:jc w:val="center"/>
                    <w:rPr>
                      <w:color w:val="auto"/>
                      <w:sz w:val="18"/>
                      <w:szCs w:val="18"/>
                    </w:rPr>
                  </w:pPr>
                  <w:r>
                    <w:rPr>
                      <w:rFonts w:hint="eastAsia"/>
                      <w:color w:val="auto"/>
                      <w:sz w:val="18"/>
                      <w:szCs w:val="18"/>
                    </w:rPr>
                    <w:t>1</w:t>
                  </w:r>
                </w:p>
              </w:tc>
              <w:tc>
                <w:tcPr>
                  <w:tcW w:w="817" w:type="dxa"/>
                  <w:vAlign w:val="center"/>
                </w:tcPr>
                <w:p w14:paraId="2F9C469F">
                  <w:pPr>
                    <w:jc w:val="center"/>
                    <w:rPr>
                      <w:color w:val="auto"/>
                      <w:sz w:val="18"/>
                      <w:szCs w:val="18"/>
                    </w:rPr>
                  </w:pPr>
                  <w:r>
                    <w:rPr>
                      <w:rFonts w:hint="eastAsia"/>
                      <w:color w:val="auto"/>
                      <w:sz w:val="18"/>
                      <w:szCs w:val="18"/>
                    </w:rPr>
                    <w:t>0.5</w:t>
                  </w:r>
                </w:p>
              </w:tc>
              <w:tc>
                <w:tcPr>
                  <w:tcW w:w="1387" w:type="dxa"/>
                  <w:vAlign w:val="center"/>
                </w:tcPr>
                <w:p w14:paraId="194DFE88">
                  <w:pPr>
                    <w:adjustRightInd w:val="0"/>
                    <w:snapToGrid w:val="0"/>
                    <w:jc w:val="center"/>
                    <w:rPr>
                      <w:color w:val="auto"/>
                      <w:sz w:val="18"/>
                      <w:szCs w:val="18"/>
                    </w:rPr>
                  </w:pPr>
                  <w:r>
                    <w:rPr>
                      <w:rFonts w:hint="eastAsia"/>
                      <w:color w:val="auto"/>
                      <w:sz w:val="18"/>
                      <w:szCs w:val="18"/>
                    </w:rPr>
                    <w:t>500g/瓶，瓶装</w:t>
                  </w:r>
                </w:p>
              </w:tc>
              <w:tc>
                <w:tcPr>
                  <w:tcW w:w="465" w:type="dxa"/>
                  <w:vMerge w:val="continue"/>
                  <w:vAlign w:val="center"/>
                </w:tcPr>
                <w:p w14:paraId="602A66CB">
                  <w:pPr>
                    <w:pStyle w:val="4"/>
                    <w:spacing w:before="0" w:after="0" w:line="240" w:lineRule="auto"/>
                    <w:jc w:val="center"/>
                    <w:rPr>
                      <w:b w:val="0"/>
                      <w:bCs w:val="0"/>
                      <w:color w:val="auto"/>
                      <w:sz w:val="18"/>
                      <w:szCs w:val="18"/>
                    </w:rPr>
                  </w:pPr>
                </w:p>
              </w:tc>
            </w:tr>
            <w:tr w14:paraId="5F5B5F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528886EF">
                  <w:pPr>
                    <w:jc w:val="center"/>
                    <w:rPr>
                      <w:color w:val="auto"/>
                      <w:sz w:val="18"/>
                      <w:szCs w:val="18"/>
                    </w:rPr>
                  </w:pPr>
                </w:p>
              </w:tc>
              <w:tc>
                <w:tcPr>
                  <w:tcW w:w="809" w:type="dxa"/>
                  <w:vMerge w:val="continue"/>
                  <w:vAlign w:val="center"/>
                </w:tcPr>
                <w:p w14:paraId="5AAD6241">
                  <w:pPr>
                    <w:jc w:val="center"/>
                    <w:rPr>
                      <w:snapToGrid w:val="0"/>
                      <w:color w:val="auto"/>
                      <w:sz w:val="18"/>
                      <w:szCs w:val="18"/>
                    </w:rPr>
                  </w:pPr>
                </w:p>
              </w:tc>
              <w:tc>
                <w:tcPr>
                  <w:tcW w:w="1506" w:type="dxa"/>
                  <w:vAlign w:val="center"/>
                </w:tcPr>
                <w:p w14:paraId="489F32E0">
                  <w:pPr>
                    <w:jc w:val="center"/>
                    <w:rPr>
                      <w:color w:val="auto"/>
                      <w:sz w:val="18"/>
                      <w:szCs w:val="18"/>
                    </w:rPr>
                  </w:pPr>
                  <w:r>
                    <w:rPr>
                      <w:rFonts w:hint="eastAsia"/>
                      <w:color w:val="auto"/>
                      <w:sz w:val="18"/>
                      <w:szCs w:val="18"/>
                    </w:rPr>
                    <w:t>水杨酸</w:t>
                  </w:r>
                </w:p>
              </w:tc>
              <w:tc>
                <w:tcPr>
                  <w:tcW w:w="2052" w:type="dxa"/>
                  <w:vAlign w:val="center"/>
                </w:tcPr>
                <w:p w14:paraId="1E6F9E5C">
                  <w:pPr>
                    <w:jc w:val="center"/>
                    <w:rPr>
                      <w:color w:val="auto"/>
                      <w:sz w:val="18"/>
                      <w:szCs w:val="18"/>
                    </w:rPr>
                  </w:pPr>
                  <w:r>
                    <w:rPr>
                      <w:rFonts w:hint="eastAsia"/>
                      <w:color w:val="auto"/>
                      <w:sz w:val="18"/>
                      <w:szCs w:val="18"/>
                    </w:rPr>
                    <w:t>99.5%，AR</w:t>
                  </w:r>
                  <w:r>
                    <w:rPr>
                      <w:color w:val="auto"/>
                      <w:sz w:val="18"/>
                      <w:szCs w:val="18"/>
                    </w:rPr>
                    <w:t>，</w:t>
                  </w:r>
                  <w:r>
                    <w:rPr>
                      <w:rFonts w:eastAsia="Helvetica"/>
                      <w:color w:val="auto"/>
                      <w:sz w:val="18"/>
                      <w:szCs w:val="18"/>
                      <w:shd w:val="clear" w:color="auto" w:fill="FFFFFF"/>
                    </w:rPr>
                    <w:t>C</w:t>
                  </w:r>
                  <w:r>
                    <w:rPr>
                      <w:rFonts w:eastAsia="Helvetica"/>
                      <w:color w:val="auto"/>
                      <w:sz w:val="18"/>
                      <w:szCs w:val="18"/>
                      <w:shd w:val="clear" w:color="auto" w:fill="FFFFFF"/>
                      <w:vertAlign w:val="subscript"/>
                    </w:rPr>
                    <w:t>7</w:t>
                  </w:r>
                  <w:r>
                    <w:rPr>
                      <w:rFonts w:eastAsia="Helvetica"/>
                      <w:color w:val="auto"/>
                      <w:sz w:val="18"/>
                      <w:szCs w:val="18"/>
                      <w:shd w:val="clear" w:color="auto" w:fill="FFFFFF"/>
                    </w:rPr>
                    <w:t>H</w:t>
                  </w:r>
                  <w:r>
                    <w:rPr>
                      <w:rFonts w:eastAsia="Helvetica"/>
                      <w:color w:val="auto"/>
                      <w:sz w:val="18"/>
                      <w:szCs w:val="18"/>
                      <w:shd w:val="clear" w:color="auto" w:fill="FFFFFF"/>
                      <w:vertAlign w:val="subscript"/>
                    </w:rPr>
                    <w:t>6</w:t>
                  </w:r>
                  <w:r>
                    <w:rPr>
                      <w:rFonts w:eastAsia="Helvetica"/>
                      <w:color w:val="auto"/>
                      <w:sz w:val="18"/>
                      <w:szCs w:val="18"/>
                      <w:shd w:val="clear" w:color="auto" w:fill="FFFFFF"/>
                    </w:rPr>
                    <w:t>O</w:t>
                  </w:r>
                  <w:r>
                    <w:rPr>
                      <w:rFonts w:eastAsia="Helvetica"/>
                      <w:color w:val="auto"/>
                      <w:sz w:val="18"/>
                      <w:szCs w:val="18"/>
                      <w:shd w:val="clear" w:color="auto" w:fill="FFFFFF"/>
                      <w:vertAlign w:val="subscript"/>
                    </w:rPr>
                    <w:t>3</w:t>
                  </w:r>
                </w:p>
              </w:tc>
              <w:tc>
                <w:tcPr>
                  <w:tcW w:w="762" w:type="dxa"/>
                  <w:vAlign w:val="center"/>
                </w:tcPr>
                <w:p w14:paraId="3B1AE0E0">
                  <w:pPr>
                    <w:jc w:val="center"/>
                    <w:rPr>
                      <w:color w:val="auto"/>
                      <w:sz w:val="18"/>
                      <w:szCs w:val="18"/>
                    </w:rPr>
                  </w:pPr>
                  <w:r>
                    <w:rPr>
                      <w:rFonts w:hint="eastAsia"/>
                      <w:color w:val="auto"/>
                      <w:sz w:val="18"/>
                      <w:szCs w:val="18"/>
                    </w:rPr>
                    <w:t>1</w:t>
                  </w:r>
                </w:p>
              </w:tc>
              <w:tc>
                <w:tcPr>
                  <w:tcW w:w="817" w:type="dxa"/>
                  <w:vAlign w:val="center"/>
                </w:tcPr>
                <w:p w14:paraId="1131C6B9">
                  <w:pPr>
                    <w:jc w:val="center"/>
                    <w:rPr>
                      <w:color w:val="auto"/>
                      <w:sz w:val="18"/>
                      <w:szCs w:val="18"/>
                    </w:rPr>
                  </w:pPr>
                  <w:r>
                    <w:rPr>
                      <w:rFonts w:hint="eastAsia"/>
                      <w:color w:val="auto"/>
                      <w:sz w:val="18"/>
                      <w:szCs w:val="18"/>
                    </w:rPr>
                    <w:t>0.5</w:t>
                  </w:r>
                </w:p>
              </w:tc>
              <w:tc>
                <w:tcPr>
                  <w:tcW w:w="1387" w:type="dxa"/>
                  <w:vAlign w:val="center"/>
                </w:tcPr>
                <w:p w14:paraId="3DA1566A">
                  <w:pPr>
                    <w:adjustRightInd w:val="0"/>
                    <w:snapToGrid w:val="0"/>
                    <w:jc w:val="center"/>
                    <w:rPr>
                      <w:color w:val="auto"/>
                      <w:sz w:val="18"/>
                      <w:szCs w:val="18"/>
                    </w:rPr>
                  </w:pPr>
                  <w:r>
                    <w:rPr>
                      <w:rFonts w:hint="eastAsia"/>
                      <w:color w:val="auto"/>
                      <w:sz w:val="18"/>
                      <w:szCs w:val="18"/>
                    </w:rPr>
                    <w:t>500g/瓶，瓶装</w:t>
                  </w:r>
                </w:p>
              </w:tc>
              <w:tc>
                <w:tcPr>
                  <w:tcW w:w="465" w:type="dxa"/>
                  <w:vMerge w:val="continue"/>
                  <w:vAlign w:val="center"/>
                </w:tcPr>
                <w:p w14:paraId="717CE49D">
                  <w:pPr>
                    <w:pStyle w:val="4"/>
                    <w:spacing w:before="0" w:after="0" w:line="240" w:lineRule="auto"/>
                    <w:jc w:val="center"/>
                    <w:rPr>
                      <w:b w:val="0"/>
                      <w:bCs w:val="0"/>
                      <w:color w:val="auto"/>
                      <w:sz w:val="18"/>
                      <w:szCs w:val="18"/>
                    </w:rPr>
                  </w:pPr>
                </w:p>
              </w:tc>
            </w:tr>
            <w:tr w14:paraId="2E9BE3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4F6BDD76">
                  <w:pPr>
                    <w:jc w:val="center"/>
                    <w:rPr>
                      <w:color w:val="auto"/>
                      <w:sz w:val="18"/>
                      <w:szCs w:val="18"/>
                    </w:rPr>
                  </w:pPr>
                </w:p>
              </w:tc>
              <w:tc>
                <w:tcPr>
                  <w:tcW w:w="809" w:type="dxa"/>
                  <w:vMerge w:val="continue"/>
                  <w:vAlign w:val="center"/>
                </w:tcPr>
                <w:p w14:paraId="781BCC88">
                  <w:pPr>
                    <w:jc w:val="center"/>
                    <w:rPr>
                      <w:snapToGrid w:val="0"/>
                      <w:color w:val="auto"/>
                      <w:sz w:val="18"/>
                      <w:szCs w:val="18"/>
                    </w:rPr>
                  </w:pPr>
                </w:p>
              </w:tc>
              <w:tc>
                <w:tcPr>
                  <w:tcW w:w="1506" w:type="dxa"/>
                  <w:vAlign w:val="center"/>
                </w:tcPr>
                <w:p w14:paraId="5D828759">
                  <w:pPr>
                    <w:jc w:val="center"/>
                    <w:rPr>
                      <w:color w:val="auto"/>
                      <w:sz w:val="18"/>
                      <w:szCs w:val="18"/>
                    </w:rPr>
                  </w:pPr>
                  <w:r>
                    <w:rPr>
                      <w:rFonts w:hint="eastAsia"/>
                      <w:color w:val="auto"/>
                      <w:sz w:val="18"/>
                      <w:szCs w:val="18"/>
                    </w:rPr>
                    <w:t>邻菲罗啉</w:t>
                  </w:r>
                </w:p>
              </w:tc>
              <w:tc>
                <w:tcPr>
                  <w:tcW w:w="2052" w:type="dxa"/>
                  <w:vAlign w:val="center"/>
                </w:tcPr>
                <w:p w14:paraId="738F4A9A">
                  <w:pPr>
                    <w:jc w:val="center"/>
                    <w:rPr>
                      <w:color w:val="auto"/>
                      <w:sz w:val="18"/>
                      <w:szCs w:val="18"/>
                    </w:rPr>
                  </w:pPr>
                  <w:r>
                    <w:rPr>
                      <w:rFonts w:hint="eastAsia"/>
                      <w:color w:val="auto"/>
                      <w:sz w:val="18"/>
                      <w:szCs w:val="18"/>
                    </w:rPr>
                    <w:t>99.0%，AR</w:t>
                  </w:r>
                  <w:r>
                    <w:rPr>
                      <w:color w:val="auto"/>
                      <w:sz w:val="18"/>
                      <w:szCs w:val="18"/>
                    </w:rPr>
                    <w:t>，</w:t>
                  </w:r>
                  <w:r>
                    <w:rPr>
                      <w:rFonts w:eastAsia="Helvetica"/>
                      <w:color w:val="auto"/>
                      <w:sz w:val="18"/>
                      <w:szCs w:val="18"/>
                      <w:shd w:val="clear" w:color="auto" w:fill="FFFFFF"/>
                    </w:rPr>
                    <w:t>C</w:t>
                  </w:r>
                  <w:r>
                    <w:rPr>
                      <w:color w:val="auto"/>
                      <w:sz w:val="18"/>
                      <w:szCs w:val="18"/>
                      <w:shd w:val="clear" w:color="auto" w:fill="FFFFFF"/>
                      <w:vertAlign w:val="subscript"/>
                    </w:rPr>
                    <w:t>12</w:t>
                  </w:r>
                  <w:r>
                    <w:rPr>
                      <w:rFonts w:eastAsia="Helvetica"/>
                      <w:color w:val="auto"/>
                      <w:sz w:val="18"/>
                      <w:szCs w:val="18"/>
                      <w:shd w:val="clear" w:color="auto" w:fill="FFFFFF"/>
                    </w:rPr>
                    <w:t>H</w:t>
                  </w:r>
                  <w:r>
                    <w:rPr>
                      <w:rFonts w:eastAsia="Helvetica"/>
                      <w:color w:val="auto"/>
                      <w:sz w:val="18"/>
                      <w:szCs w:val="18"/>
                      <w:shd w:val="clear" w:color="auto" w:fill="FFFFFF"/>
                      <w:vertAlign w:val="subscript"/>
                    </w:rPr>
                    <w:t>8</w:t>
                  </w:r>
                  <w:r>
                    <w:rPr>
                      <w:rFonts w:eastAsia="Helvetica"/>
                      <w:color w:val="auto"/>
                      <w:sz w:val="18"/>
                      <w:szCs w:val="18"/>
                      <w:shd w:val="clear" w:color="auto" w:fill="FFFFFF"/>
                    </w:rPr>
                    <w:t>N</w:t>
                  </w:r>
                  <w:r>
                    <w:rPr>
                      <w:color w:val="auto"/>
                      <w:sz w:val="18"/>
                      <w:szCs w:val="18"/>
                      <w:shd w:val="clear" w:color="auto" w:fill="FFFFFF"/>
                      <w:vertAlign w:val="subscript"/>
                    </w:rPr>
                    <w:t>2</w:t>
                  </w:r>
                </w:p>
              </w:tc>
              <w:tc>
                <w:tcPr>
                  <w:tcW w:w="762" w:type="dxa"/>
                  <w:vAlign w:val="center"/>
                </w:tcPr>
                <w:p w14:paraId="5B2DFE04">
                  <w:pPr>
                    <w:jc w:val="center"/>
                    <w:rPr>
                      <w:color w:val="auto"/>
                      <w:sz w:val="18"/>
                      <w:szCs w:val="18"/>
                    </w:rPr>
                  </w:pPr>
                  <w:r>
                    <w:rPr>
                      <w:rFonts w:hint="eastAsia"/>
                      <w:color w:val="auto"/>
                      <w:sz w:val="18"/>
                      <w:szCs w:val="18"/>
                    </w:rPr>
                    <w:t>0.2</w:t>
                  </w:r>
                </w:p>
              </w:tc>
              <w:tc>
                <w:tcPr>
                  <w:tcW w:w="817" w:type="dxa"/>
                  <w:vAlign w:val="center"/>
                </w:tcPr>
                <w:p w14:paraId="0E76B3E7">
                  <w:pPr>
                    <w:jc w:val="center"/>
                    <w:rPr>
                      <w:color w:val="auto"/>
                      <w:sz w:val="18"/>
                      <w:szCs w:val="18"/>
                    </w:rPr>
                  </w:pPr>
                  <w:r>
                    <w:rPr>
                      <w:rFonts w:hint="eastAsia"/>
                      <w:color w:val="auto"/>
                      <w:sz w:val="18"/>
                      <w:szCs w:val="18"/>
                    </w:rPr>
                    <w:t>0.1</w:t>
                  </w:r>
                </w:p>
              </w:tc>
              <w:tc>
                <w:tcPr>
                  <w:tcW w:w="1387" w:type="dxa"/>
                  <w:vAlign w:val="center"/>
                </w:tcPr>
                <w:p w14:paraId="7AE04D3A">
                  <w:pPr>
                    <w:adjustRightInd w:val="0"/>
                    <w:snapToGrid w:val="0"/>
                    <w:jc w:val="center"/>
                    <w:rPr>
                      <w:color w:val="auto"/>
                      <w:sz w:val="18"/>
                      <w:szCs w:val="18"/>
                    </w:rPr>
                  </w:pPr>
                  <w:r>
                    <w:rPr>
                      <w:color w:val="auto"/>
                      <w:sz w:val="18"/>
                      <w:szCs w:val="18"/>
                    </w:rPr>
                    <w:t>100g/瓶，</w:t>
                  </w:r>
                  <w:r>
                    <w:rPr>
                      <w:rFonts w:hint="eastAsia"/>
                      <w:color w:val="auto"/>
                      <w:sz w:val="18"/>
                      <w:szCs w:val="18"/>
                    </w:rPr>
                    <w:t>瓶装</w:t>
                  </w:r>
                </w:p>
              </w:tc>
              <w:tc>
                <w:tcPr>
                  <w:tcW w:w="465" w:type="dxa"/>
                  <w:vMerge w:val="continue"/>
                  <w:vAlign w:val="center"/>
                </w:tcPr>
                <w:p w14:paraId="09FF9FA3">
                  <w:pPr>
                    <w:pStyle w:val="4"/>
                    <w:spacing w:before="0" w:after="0" w:line="240" w:lineRule="auto"/>
                    <w:jc w:val="center"/>
                    <w:rPr>
                      <w:b w:val="0"/>
                      <w:bCs w:val="0"/>
                      <w:color w:val="auto"/>
                      <w:sz w:val="18"/>
                      <w:szCs w:val="18"/>
                    </w:rPr>
                  </w:pPr>
                </w:p>
              </w:tc>
            </w:tr>
            <w:tr w14:paraId="457E5E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2D750F3C">
                  <w:pPr>
                    <w:jc w:val="center"/>
                    <w:rPr>
                      <w:color w:val="auto"/>
                      <w:sz w:val="18"/>
                      <w:szCs w:val="18"/>
                    </w:rPr>
                  </w:pPr>
                </w:p>
              </w:tc>
              <w:tc>
                <w:tcPr>
                  <w:tcW w:w="809" w:type="dxa"/>
                  <w:vMerge w:val="continue"/>
                  <w:vAlign w:val="center"/>
                </w:tcPr>
                <w:p w14:paraId="7ED62C10">
                  <w:pPr>
                    <w:jc w:val="center"/>
                    <w:rPr>
                      <w:snapToGrid w:val="0"/>
                      <w:color w:val="auto"/>
                      <w:sz w:val="18"/>
                      <w:szCs w:val="18"/>
                    </w:rPr>
                  </w:pPr>
                </w:p>
              </w:tc>
              <w:tc>
                <w:tcPr>
                  <w:tcW w:w="1506" w:type="dxa"/>
                  <w:vAlign w:val="center"/>
                </w:tcPr>
                <w:p w14:paraId="796555A6">
                  <w:pPr>
                    <w:jc w:val="center"/>
                    <w:rPr>
                      <w:color w:val="auto"/>
                      <w:sz w:val="18"/>
                      <w:szCs w:val="18"/>
                    </w:rPr>
                  </w:pPr>
                  <w:r>
                    <w:rPr>
                      <w:rFonts w:hint="eastAsia"/>
                      <w:color w:val="auto"/>
                      <w:sz w:val="18"/>
                      <w:szCs w:val="18"/>
                    </w:rPr>
                    <w:t>正丁醇</w:t>
                  </w:r>
                </w:p>
              </w:tc>
              <w:tc>
                <w:tcPr>
                  <w:tcW w:w="2052" w:type="dxa"/>
                  <w:vAlign w:val="center"/>
                </w:tcPr>
                <w:p w14:paraId="3F93BA9D">
                  <w:pPr>
                    <w:jc w:val="center"/>
                    <w:rPr>
                      <w:color w:val="auto"/>
                      <w:sz w:val="18"/>
                      <w:szCs w:val="18"/>
                    </w:rPr>
                  </w:pPr>
                  <w:r>
                    <w:rPr>
                      <w:rFonts w:hint="eastAsia"/>
                      <w:color w:val="auto"/>
                      <w:sz w:val="18"/>
                      <w:szCs w:val="18"/>
                    </w:rPr>
                    <w:t>99.8%，AR</w:t>
                  </w:r>
                  <w:r>
                    <w:rPr>
                      <w:color w:val="auto"/>
                      <w:sz w:val="18"/>
                      <w:szCs w:val="18"/>
                    </w:rPr>
                    <w:t>，</w:t>
                  </w:r>
                  <w:r>
                    <w:rPr>
                      <w:rFonts w:eastAsia="Helvetica"/>
                      <w:color w:val="auto"/>
                      <w:sz w:val="18"/>
                      <w:szCs w:val="18"/>
                      <w:shd w:val="clear" w:color="auto" w:fill="FFFFFF"/>
                    </w:rPr>
                    <w:t>C</w:t>
                  </w:r>
                  <w:r>
                    <w:rPr>
                      <w:rFonts w:eastAsia="Helvetica"/>
                      <w:color w:val="auto"/>
                      <w:sz w:val="18"/>
                      <w:szCs w:val="18"/>
                      <w:shd w:val="clear" w:color="auto" w:fill="FFFFFF"/>
                      <w:vertAlign w:val="subscript"/>
                    </w:rPr>
                    <w:t>4</w:t>
                  </w:r>
                  <w:r>
                    <w:rPr>
                      <w:rFonts w:eastAsia="Helvetica"/>
                      <w:color w:val="auto"/>
                      <w:sz w:val="18"/>
                      <w:szCs w:val="18"/>
                      <w:shd w:val="clear" w:color="auto" w:fill="FFFFFF"/>
                    </w:rPr>
                    <w:t>H</w:t>
                  </w:r>
                  <w:r>
                    <w:rPr>
                      <w:rFonts w:eastAsia="Helvetica"/>
                      <w:color w:val="auto"/>
                      <w:sz w:val="18"/>
                      <w:szCs w:val="18"/>
                      <w:shd w:val="clear" w:color="auto" w:fill="FFFFFF"/>
                      <w:vertAlign w:val="subscript"/>
                    </w:rPr>
                    <w:t>10</w:t>
                  </w:r>
                  <w:r>
                    <w:rPr>
                      <w:rFonts w:eastAsia="Helvetica"/>
                      <w:color w:val="auto"/>
                      <w:sz w:val="18"/>
                      <w:szCs w:val="18"/>
                      <w:shd w:val="clear" w:color="auto" w:fill="FFFFFF"/>
                    </w:rPr>
                    <w:t>O</w:t>
                  </w:r>
                </w:p>
              </w:tc>
              <w:tc>
                <w:tcPr>
                  <w:tcW w:w="762" w:type="dxa"/>
                  <w:vAlign w:val="center"/>
                </w:tcPr>
                <w:p w14:paraId="216AF5E0">
                  <w:pPr>
                    <w:jc w:val="center"/>
                    <w:rPr>
                      <w:color w:val="auto"/>
                      <w:sz w:val="18"/>
                      <w:szCs w:val="18"/>
                    </w:rPr>
                  </w:pPr>
                  <w:r>
                    <w:rPr>
                      <w:rFonts w:hint="eastAsia"/>
                      <w:color w:val="auto"/>
                      <w:sz w:val="18"/>
                      <w:szCs w:val="18"/>
                    </w:rPr>
                    <w:t>2</w:t>
                  </w:r>
                </w:p>
              </w:tc>
              <w:tc>
                <w:tcPr>
                  <w:tcW w:w="817" w:type="dxa"/>
                  <w:vAlign w:val="center"/>
                </w:tcPr>
                <w:p w14:paraId="1F6747E0">
                  <w:pPr>
                    <w:jc w:val="center"/>
                    <w:rPr>
                      <w:color w:val="auto"/>
                      <w:sz w:val="18"/>
                      <w:szCs w:val="18"/>
                    </w:rPr>
                  </w:pPr>
                  <w:r>
                    <w:rPr>
                      <w:rFonts w:hint="eastAsia"/>
                      <w:color w:val="auto"/>
                      <w:sz w:val="18"/>
                      <w:szCs w:val="18"/>
                    </w:rPr>
                    <w:t>1</w:t>
                  </w:r>
                </w:p>
              </w:tc>
              <w:tc>
                <w:tcPr>
                  <w:tcW w:w="1387" w:type="dxa"/>
                  <w:vAlign w:val="center"/>
                </w:tcPr>
                <w:p w14:paraId="583D2A60">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3D8F8216">
                  <w:pPr>
                    <w:pStyle w:val="4"/>
                    <w:spacing w:before="0" w:after="0" w:line="240" w:lineRule="auto"/>
                    <w:jc w:val="center"/>
                    <w:rPr>
                      <w:b w:val="0"/>
                      <w:bCs w:val="0"/>
                      <w:color w:val="auto"/>
                      <w:sz w:val="18"/>
                      <w:szCs w:val="18"/>
                    </w:rPr>
                  </w:pPr>
                </w:p>
              </w:tc>
            </w:tr>
            <w:tr w14:paraId="43749E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1BF5C2A4">
                  <w:pPr>
                    <w:jc w:val="center"/>
                    <w:rPr>
                      <w:color w:val="auto"/>
                      <w:sz w:val="18"/>
                      <w:szCs w:val="18"/>
                    </w:rPr>
                  </w:pPr>
                </w:p>
              </w:tc>
              <w:tc>
                <w:tcPr>
                  <w:tcW w:w="809" w:type="dxa"/>
                  <w:vMerge w:val="continue"/>
                  <w:vAlign w:val="center"/>
                </w:tcPr>
                <w:p w14:paraId="3E38C64D">
                  <w:pPr>
                    <w:jc w:val="center"/>
                    <w:rPr>
                      <w:snapToGrid w:val="0"/>
                      <w:color w:val="auto"/>
                      <w:sz w:val="18"/>
                      <w:szCs w:val="18"/>
                    </w:rPr>
                  </w:pPr>
                </w:p>
              </w:tc>
              <w:tc>
                <w:tcPr>
                  <w:tcW w:w="1506" w:type="dxa"/>
                  <w:vAlign w:val="center"/>
                </w:tcPr>
                <w:p w14:paraId="231C3EB5">
                  <w:pPr>
                    <w:jc w:val="center"/>
                    <w:rPr>
                      <w:color w:val="auto"/>
                      <w:sz w:val="18"/>
                      <w:szCs w:val="18"/>
                    </w:rPr>
                  </w:pPr>
                  <w:r>
                    <w:rPr>
                      <w:rFonts w:hint="eastAsia"/>
                      <w:color w:val="auto"/>
                      <w:sz w:val="18"/>
                      <w:szCs w:val="18"/>
                    </w:rPr>
                    <w:t>异丙醇</w:t>
                  </w:r>
                </w:p>
              </w:tc>
              <w:tc>
                <w:tcPr>
                  <w:tcW w:w="2052" w:type="dxa"/>
                  <w:vAlign w:val="center"/>
                </w:tcPr>
                <w:p w14:paraId="0D9E6B37">
                  <w:pPr>
                    <w:jc w:val="center"/>
                    <w:rPr>
                      <w:color w:val="auto"/>
                      <w:sz w:val="18"/>
                      <w:szCs w:val="18"/>
                    </w:rPr>
                  </w:pPr>
                  <w:r>
                    <w:rPr>
                      <w:rFonts w:hint="eastAsia"/>
                      <w:color w:val="auto"/>
                      <w:sz w:val="18"/>
                      <w:szCs w:val="18"/>
                    </w:rPr>
                    <w:t>99.7%，AR</w:t>
                  </w:r>
                  <w:r>
                    <w:rPr>
                      <w:color w:val="auto"/>
                      <w:sz w:val="18"/>
                      <w:szCs w:val="18"/>
                    </w:rPr>
                    <w:t>，</w:t>
                  </w:r>
                  <w:r>
                    <w:rPr>
                      <w:rFonts w:eastAsia="Helvetica"/>
                      <w:color w:val="auto"/>
                      <w:sz w:val="18"/>
                      <w:szCs w:val="18"/>
                      <w:shd w:val="clear" w:color="auto" w:fill="FFFFFF"/>
                    </w:rPr>
                    <w:t>C</w:t>
                  </w:r>
                  <w:r>
                    <w:rPr>
                      <w:rFonts w:eastAsia="Helvetica"/>
                      <w:color w:val="auto"/>
                      <w:sz w:val="18"/>
                      <w:szCs w:val="18"/>
                      <w:shd w:val="clear" w:color="auto" w:fill="FFFFFF"/>
                      <w:vertAlign w:val="subscript"/>
                    </w:rPr>
                    <w:t>3</w:t>
                  </w:r>
                  <w:r>
                    <w:rPr>
                      <w:rFonts w:eastAsia="Helvetica"/>
                      <w:color w:val="auto"/>
                      <w:sz w:val="18"/>
                      <w:szCs w:val="18"/>
                      <w:shd w:val="clear" w:color="auto" w:fill="FFFFFF"/>
                    </w:rPr>
                    <w:t>H</w:t>
                  </w:r>
                  <w:r>
                    <w:rPr>
                      <w:rFonts w:eastAsia="Helvetica"/>
                      <w:color w:val="auto"/>
                      <w:sz w:val="18"/>
                      <w:szCs w:val="18"/>
                      <w:shd w:val="clear" w:color="auto" w:fill="FFFFFF"/>
                      <w:vertAlign w:val="subscript"/>
                    </w:rPr>
                    <w:t>8</w:t>
                  </w:r>
                  <w:r>
                    <w:rPr>
                      <w:rFonts w:eastAsia="Helvetica"/>
                      <w:color w:val="auto"/>
                      <w:sz w:val="18"/>
                      <w:szCs w:val="18"/>
                      <w:shd w:val="clear" w:color="auto" w:fill="FFFFFF"/>
                    </w:rPr>
                    <w:t>O</w:t>
                  </w:r>
                </w:p>
              </w:tc>
              <w:tc>
                <w:tcPr>
                  <w:tcW w:w="762" w:type="dxa"/>
                  <w:vAlign w:val="center"/>
                </w:tcPr>
                <w:p w14:paraId="1183DF12">
                  <w:pPr>
                    <w:jc w:val="center"/>
                    <w:rPr>
                      <w:color w:val="auto"/>
                      <w:sz w:val="18"/>
                      <w:szCs w:val="18"/>
                    </w:rPr>
                  </w:pPr>
                  <w:r>
                    <w:rPr>
                      <w:rFonts w:hint="eastAsia"/>
                      <w:color w:val="auto"/>
                      <w:sz w:val="18"/>
                      <w:szCs w:val="18"/>
                    </w:rPr>
                    <w:t>2</w:t>
                  </w:r>
                </w:p>
              </w:tc>
              <w:tc>
                <w:tcPr>
                  <w:tcW w:w="817" w:type="dxa"/>
                  <w:vAlign w:val="center"/>
                </w:tcPr>
                <w:p w14:paraId="0B1170F6">
                  <w:pPr>
                    <w:jc w:val="center"/>
                    <w:rPr>
                      <w:color w:val="auto"/>
                      <w:sz w:val="18"/>
                      <w:szCs w:val="18"/>
                    </w:rPr>
                  </w:pPr>
                  <w:r>
                    <w:rPr>
                      <w:rFonts w:hint="eastAsia"/>
                      <w:color w:val="auto"/>
                      <w:sz w:val="18"/>
                      <w:szCs w:val="18"/>
                    </w:rPr>
                    <w:t>1</w:t>
                  </w:r>
                </w:p>
              </w:tc>
              <w:tc>
                <w:tcPr>
                  <w:tcW w:w="1387" w:type="dxa"/>
                  <w:vAlign w:val="center"/>
                </w:tcPr>
                <w:p w14:paraId="3727426B">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782BCD6C">
                  <w:pPr>
                    <w:pStyle w:val="4"/>
                    <w:spacing w:before="0" w:after="0" w:line="240" w:lineRule="auto"/>
                    <w:jc w:val="center"/>
                    <w:rPr>
                      <w:b w:val="0"/>
                      <w:bCs w:val="0"/>
                      <w:color w:val="auto"/>
                      <w:sz w:val="18"/>
                      <w:szCs w:val="18"/>
                    </w:rPr>
                  </w:pPr>
                </w:p>
              </w:tc>
            </w:tr>
            <w:tr w14:paraId="666BA0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6BE4D439">
                  <w:pPr>
                    <w:jc w:val="center"/>
                    <w:rPr>
                      <w:color w:val="auto"/>
                      <w:sz w:val="18"/>
                      <w:szCs w:val="18"/>
                    </w:rPr>
                  </w:pPr>
                </w:p>
              </w:tc>
              <w:tc>
                <w:tcPr>
                  <w:tcW w:w="809" w:type="dxa"/>
                  <w:vMerge w:val="continue"/>
                  <w:vAlign w:val="center"/>
                </w:tcPr>
                <w:p w14:paraId="44AE9188">
                  <w:pPr>
                    <w:jc w:val="center"/>
                    <w:rPr>
                      <w:snapToGrid w:val="0"/>
                      <w:color w:val="auto"/>
                      <w:sz w:val="18"/>
                      <w:szCs w:val="18"/>
                    </w:rPr>
                  </w:pPr>
                </w:p>
              </w:tc>
              <w:tc>
                <w:tcPr>
                  <w:tcW w:w="1506" w:type="dxa"/>
                  <w:vAlign w:val="center"/>
                </w:tcPr>
                <w:p w14:paraId="7811EDF0">
                  <w:pPr>
                    <w:jc w:val="center"/>
                    <w:rPr>
                      <w:color w:val="auto"/>
                      <w:sz w:val="18"/>
                      <w:szCs w:val="18"/>
                    </w:rPr>
                  </w:pPr>
                  <w:r>
                    <w:rPr>
                      <w:rFonts w:hint="eastAsia"/>
                      <w:color w:val="auto"/>
                      <w:sz w:val="18"/>
                      <w:szCs w:val="18"/>
                    </w:rPr>
                    <w:t>异戊二烯</w:t>
                  </w:r>
                </w:p>
              </w:tc>
              <w:tc>
                <w:tcPr>
                  <w:tcW w:w="2052" w:type="dxa"/>
                  <w:vAlign w:val="center"/>
                </w:tcPr>
                <w:p w14:paraId="62E200BA">
                  <w:pPr>
                    <w:jc w:val="center"/>
                    <w:rPr>
                      <w:color w:val="auto"/>
                      <w:sz w:val="18"/>
                      <w:szCs w:val="18"/>
                    </w:rPr>
                  </w:pPr>
                  <w:r>
                    <w:rPr>
                      <w:rFonts w:hint="eastAsia"/>
                      <w:color w:val="auto"/>
                      <w:sz w:val="18"/>
                      <w:szCs w:val="18"/>
                    </w:rPr>
                    <w:t>99.0%，AR</w:t>
                  </w:r>
                  <w:r>
                    <w:rPr>
                      <w:color w:val="auto"/>
                      <w:sz w:val="18"/>
                      <w:szCs w:val="18"/>
                    </w:rPr>
                    <w:t>，</w:t>
                  </w:r>
                  <w:r>
                    <w:rPr>
                      <w:rFonts w:eastAsia="Helvetica"/>
                      <w:color w:val="auto"/>
                      <w:sz w:val="18"/>
                      <w:szCs w:val="18"/>
                      <w:shd w:val="clear" w:color="auto" w:fill="FFFFFF"/>
                    </w:rPr>
                    <w:t>C</w:t>
                  </w:r>
                  <w:r>
                    <w:rPr>
                      <w:rFonts w:eastAsia="Helvetica"/>
                      <w:color w:val="auto"/>
                      <w:sz w:val="18"/>
                      <w:szCs w:val="18"/>
                      <w:shd w:val="clear" w:color="auto" w:fill="FFFFFF"/>
                      <w:vertAlign w:val="subscript"/>
                    </w:rPr>
                    <w:t>5</w:t>
                  </w:r>
                  <w:r>
                    <w:rPr>
                      <w:rFonts w:eastAsia="Helvetica"/>
                      <w:color w:val="auto"/>
                      <w:sz w:val="18"/>
                      <w:szCs w:val="18"/>
                      <w:shd w:val="clear" w:color="auto" w:fill="FFFFFF"/>
                    </w:rPr>
                    <w:t>H</w:t>
                  </w:r>
                  <w:r>
                    <w:rPr>
                      <w:rFonts w:eastAsia="Helvetica"/>
                      <w:color w:val="auto"/>
                      <w:sz w:val="18"/>
                      <w:szCs w:val="18"/>
                      <w:shd w:val="clear" w:color="auto" w:fill="FFFFFF"/>
                      <w:vertAlign w:val="subscript"/>
                    </w:rPr>
                    <w:t>8</w:t>
                  </w:r>
                </w:p>
              </w:tc>
              <w:tc>
                <w:tcPr>
                  <w:tcW w:w="762" w:type="dxa"/>
                  <w:vAlign w:val="center"/>
                </w:tcPr>
                <w:p w14:paraId="1342D92F">
                  <w:pPr>
                    <w:jc w:val="center"/>
                    <w:rPr>
                      <w:color w:val="auto"/>
                      <w:sz w:val="18"/>
                      <w:szCs w:val="18"/>
                    </w:rPr>
                  </w:pPr>
                  <w:r>
                    <w:rPr>
                      <w:rFonts w:hint="eastAsia"/>
                      <w:color w:val="auto"/>
                      <w:sz w:val="18"/>
                      <w:szCs w:val="18"/>
                    </w:rPr>
                    <w:t>1</w:t>
                  </w:r>
                </w:p>
              </w:tc>
              <w:tc>
                <w:tcPr>
                  <w:tcW w:w="817" w:type="dxa"/>
                  <w:vAlign w:val="center"/>
                </w:tcPr>
                <w:p w14:paraId="06928BFC">
                  <w:pPr>
                    <w:jc w:val="center"/>
                    <w:rPr>
                      <w:color w:val="auto"/>
                      <w:sz w:val="18"/>
                      <w:szCs w:val="18"/>
                    </w:rPr>
                  </w:pPr>
                  <w:r>
                    <w:rPr>
                      <w:rFonts w:hint="eastAsia"/>
                      <w:color w:val="auto"/>
                      <w:sz w:val="18"/>
                      <w:szCs w:val="18"/>
                    </w:rPr>
                    <w:t>0.5</w:t>
                  </w:r>
                </w:p>
              </w:tc>
              <w:tc>
                <w:tcPr>
                  <w:tcW w:w="1387" w:type="dxa"/>
                  <w:vAlign w:val="center"/>
                </w:tcPr>
                <w:p w14:paraId="3F1106F5">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0B44B8A1">
                  <w:pPr>
                    <w:pStyle w:val="4"/>
                    <w:spacing w:before="0" w:after="0" w:line="240" w:lineRule="auto"/>
                    <w:jc w:val="center"/>
                    <w:rPr>
                      <w:b w:val="0"/>
                      <w:bCs w:val="0"/>
                      <w:color w:val="auto"/>
                      <w:sz w:val="18"/>
                      <w:szCs w:val="18"/>
                    </w:rPr>
                  </w:pPr>
                </w:p>
              </w:tc>
            </w:tr>
            <w:tr w14:paraId="2DDD27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7" w:hRule="atLeast"/>
                <w:jc w:val="center"/>
              </w:trPr>
              <w:tc>
                <w:tcPr>
                  <w:tcW w:w="669" w:type="dxa"/>
                  <w:vMerge w:val="continue"/>
                  <w:vAlign w:val="center"/>
                </w:tcPr>
                <w:p w14:paraId="4A07878B">
                  <w:pPr>
                    <w:jc w:val="center"/>
                    <w:rPr>
                      <w:color w:val="auto"/>
                      <w:sz w:val="18"/>
                      <w:szCs w:val="18"/>
                    </w:rPr>
                  </w:pPr>
                </w:p>
              </w:tc>
              <w:tc>
                <w:tcPr>
                  <w:tcW w:w="809" w:type="dxa"/>
                  <w:vMerge w:val="continue"/>
                  <w:vAlign w:val="center"/>
                </w:tcPr>
                <w:p w14:paraId="1DE7B4FE">
                  <w:pPr>
                    <w:jc w:val="center"/>
                    <w:rPr>
                      <w:snapToGrid w:val="0"/>
                      <w:color w:val="auto"/>
                      <w:sz w:val="18"/>
                      <w:szCs w:val="18"/>
                    </w:rPr>
                  </w:pPr>
                </w:p>
              </w:tc>
              <w:tc>
                <w:tcPr>
                  <w:tcW w:w="1506" w:type="dxa"/>
                  <w:vAlign w:val="center"/>
                </w:tcPr>
                <w:p w14:paraId="5D17316A">
                  <w:pPr>
                    <w:jc w:val="center"/>
                    <w:rPr>
                      <w:color w:val="auto"/>
                      <w:sz w:val="18"/>
                      <w:szCs w:val="18"/>
                    </w:rPr>
                  </w:pPr>
                  <w:r>
                    <w:rPr>
                      <w:rFonts w:hint="eastAsia"/>
                      <w:color w:val="auto"/>
                      <w:sz w:val="18"/>
                      <w:szCs w:val="18"/>
                    </w:rPr>
                    <w:t>柠檬酸</w:t>
                  </w:r>
                </w:p>
              </w:tc>
              <w:tc>
                <w:tcPr>
                  <w:tcW w:w="2052" w:type="dxa"/>
                  <w:vAlign w:val="center"/>
                </w:tcPr>
                <w:p w14:paraId="5DCF91BD">
                  <w:pPr>
                    <w:jc w:val="center"/>
                    <w:rPr>
                      <w:color w:val="auto"/>
                      <w:sz w:val="18"/>
                      <w:szCs w:val="18"/>
                    </w:rPr>
                  </w:pPr>
                  <w:r>
                    <w:rPr>
                      <w:rFonts w:hint="eastAsia"/>
                      <w:color w:val="auto"/>
                      <w:sz w:val="18"/>
                      <w:szCs w:val="18"/>
                    </w:rPr>
                    <w:t>99.5%，AR</w:t>
                  </w:r>
                  <w:r>
                    <w:rPr>
                      <w:color w:val="auto"/>
                      <w:sz w:val="18"/>
                      <w:szCs w:val="18"/>
                    </w:rPr>
                    <w:t>，</w:t>
                  </w:r>
                  <w:r>
                    <w:rPr>
                      <w:rFonts w:eastAsia="Helvetica"/>
                      <w:color w:val="auto"/>
                      <w:sz w:val="18"/>
                      <w:szCs w:val="18"/>
                      <w:shd w:val="clear" w:color="auto" w:fill="FFFFFF"/>
                    </w:rPr>
                    <w:t>C</w:t>
                  </w:r>
                  <w:r>
                    <w:rPr>
                      <w:color w:val="auto"/>
                      <w:sz w:val="18"/>
                      <w:szCs w:val="18"/>
                      <w:shd w:val="clear" w:color="auto" w:fill="FFFFFF"/>
                      <w:vertAlign w:val="subscript"/>
                    </w:rPr>
                    <w:t>6</w:t>
                  </w:r>
                  <w:r>
                    <w:rPr>
                      <w:rFonts w:eastAsia="Helvetica"/>
                      <w:color w:val="auto"/>
                      <w:sz w:val="18"/>
                      <w:szCs w:val="18"/>
                      <w:shd w:val="clear" w:color="auto" w:fill="FFFFFF"/>
                    </w:rPr>
                    <w:t>H</w:t>
                  </w:r>
                  <w:r>
                    <w:rPr>
                      <w:color w:val="auto"/>
                      <w:sz w:val="18"/>
                      <w:szCs w:val="18"/>
                      <w:shd w:val="clear" w:color="auto" w:fill="FFFFFF"/>
                      <w:vertAlign w:val="subscript"/>
                    </w:rPr>
                    <w:t>8</w:t>
                  </w:r>
                  <w:r>
                    <w:rPr>
                      <w:rFonts w:eastAsia="Helvetica"/>
                      <w:color w:val="auto"/>
                      <w:sz w:val="18"/>
                      <w:szCs w:val="18"/>
                      <w:shd w:val="clear" w:color="auto" w:fill="FFFFFF"/>
                    </w:rPr>
                    <w:t>O</w:t>
                  </w:r>
                  <w:r>
                    <w:rPr>
                      <w:color w:val="auto"/>
                      <w:sz w:val="18"/>
                      <w:szCs w:val="18"/>
                      <w:shd w:val="clear" w:color="auto" w:fill="FFFFFF"/>
                      <w:vertAlign w:val="subscript"/>
                    </w:rPr>
                    <w:t>7</w:t>
                  </w:r>
                </w:p>
              </w:tc>
              <w:tc>
                <w:tcPr>
                  <w:tcW w:w="762" w:type="dxa"/>
                  <w:vAlign w:val="center"/>
                </w:tcPr>
                <w:p w14:paraId="7F16DE84">
                  <w:pPr>
                    <w:jc w:val="center"/>
                    <w:rPr>
                      <w:color w:val="auto"/>
                      <w:sz w:val="18"/>
                      <w:szCs w:val="18"/>
                    </w:rPr>
                  </w:pPr>
                  <w:r>
                    <w:rPr>
                      <w:rFonts w:hint="eastAsia"/>
                      <w:color w:val="auto"/>
                      <w:sz w:val="18"/>
                      <w:szCs w:val="18"/>
                    </w:rPr>
                    <w:t>2</w:t>
                  </w:r>
                </w:p>
              </w:tc>
              <w:tc>
                <w:tcPr>
                  <w:tcW w:w="817" w:type="dxa"/>
                  <w:vAlign w:val="center"/>
                </w:tcPr>
                <w:p w14:paraId="2B636C82">
                  <w:pPr>
                    <w:jc w:val="center"/>
                    <w:rPr>
                      <w:color w:val="auto"/>
                      <w:sz w:val="18"/>
                      <w:szCs w:val="18"/>
                    </w:rPr>
                  </w:pPr>
                  <w:r>
                    <w:rPr>
                      <w:rFonts w:hint="eastAsia"/>
                      <w:color w:val="auto"/>
                      <w:sz w:val="18"/>
                      <w:szCs w:val="18"/>
                    </w:rPr>
                    <w:t>1</w:t>
                  </w:r>
                </w:p>
              </w:tc>
              <w:tc>
                <w:tcPr>
                  <w:tcW w:w="1387" w:type="dxa"/>
                  <w:vAlign w:val="center"/>
                </w:tcPr>
                <w:p w14:paraId="20468920">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4D07588E">
                  <w:pPr>
                    <w:pStyle w:val="4"/>
                    <w:spacing w:before="0" w:after="0" w:line="240" w:lineRule="auto"/>
                    <w:jc w:val="center"/>
                    <w:rPr>
                      <w:b w:val="0"/>
                      <w:bCs w:val="0"/>
                      <w:color w:val="auto"/>
                      <w:sz w:val="18"/>
                      <w:szCs w:val="18"/>
                    </w:rPr>
                  </w:pPr>
                </w:p>
              </w:tc>
            </w:tr>
            <w:tr w14:paraId="0D2088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184D2371">
                  <w:pPr>
                    <w:jc w:val="center"/>
                    <w:rPr>
                      <w:color w:val="auto"/>
                      <w:sz w:val="18"/>
                      <w:szCs w:val="18"/>
                    </w:rPr>
                  </w:pPr>
                </w:p>
              </w:tc>
              <w:tc>
                <w:tcPr>
                  <w:tcW w:w="809" w:type="dxa"/>
                  <w:vMerge w:val="continue"/>
                  <w:vAlign w:val="center"/>
                </w:tcPr>
                <w:p w14:paraId="62556776">
                  <w:pPr>
                    <w:jc w:val="center"/>
                    <w:rPr>
                      <w:snapToGrid w:val="0"/>
                      <w:color w:val="auto"/>
                      <w:sz w:val="18"/>
                      <w:szCs w:val="18"/>
                    </w:rPr>
                  </w:pPr>
                </w:p>
              </w:tc>
              <w:tc>
                <w:tcPr>
                  <w:tcW w:w="1506" w:type="dxa"/>
                  <w:vAlign w:val="center"/>
                </w:tcPr>
                <w:p w14:paraId="016F09AA">
                  <w:pPr>
                    <w:jc w:val="center"/>
                    <w:rPr>
                      <w:color w:val="auto"/>
                      <w:sz w:val="18"/>
                      <w:szCs w:val="18"/>
                    </w:rPr>
                  </w:pPr>
                  <w:r>
                    <w:rPr>
                      <w:rFonts w:hint="eastAsia"/>
                      <w:color w:val="auto"/>
                      <w:sz w:val="18"/>
                      <w:szCs w:val="18"/>
                    </w:rPr>
                    <w:t>丙三醇</w:t>
                  </w:r>
                </w:p>
              </w:tc>
              <w:tc>
                <w:tcPr>
                  <w:tcW w:w="2052" w:type="dxa"/>
                  <w:vAlign w:val="center"/>
                </w:tcPr>
                <w:p w14:paraId="1BD27289">
                  <w:pPr>
                    <w:jc w:val="center"/>
                    <w:rPr>
                      <w:color w:val="auto"/>
                      <w:sz w:val="18"/>
                      <w:szCs w:val="18"/>
                    </w:rPr>
                  </w:pPr>
                  <w:r>
                    <w:rPr>
                      <w:rFonts w:hint="eastAsia"/>
                      <w:color w:val="auto"/>
                      <w:sz w:val="18"/>
                      <w:szCs w:val="18"/>
                    </w:rPr>
                    <w:t>99.0%，AR，</w:t>
                  </w:r>
                  <w:r>
                    <w:rPr>
                      <w:rFonts w:eastAsia="Helvetica"/>
                      <w:color w:val="auto"/>
                      <w:sz w:val="18"/>
                      <w:szCs w:val="18"/>
                      <w:shd w:val="clear" w:color="auto" w:fill="FFFFFF"/>
                    </w:rPr>
                    <w:t>C</w:t>
                  </w:r>
                  <w:r>
                    <w:rPr>
                      <w:rFonts w:eastAsia="Helvetica"/>
                      <w:color w:val="auto"/>
                      <w:sz w:val="18"/>
                      <w:szCs w:val="18"/>
                      <w:shd w:val="clear" w:color="auto" w:fill="FFFFFF"/>
                      <w:vertAlign w:val="subscript"/>
                    </w:rPr>
                    <w:t>3</w:t>
                  </w:r>
                  <w:r>
                    <w:rPr>
                      <w:rFonts w:eastAsia="Helvetica"/>
                      <w:color w:val="auto"/>
                      <w:sz w:val="18"/>
                      <w:szCs w:val="18"/>
                      <w:shd w:val="clear" w:color="auto" w:fill="FFFFFF"/>
                    </w:rPr>
                    <w:t>H</w:t>
                  </w:r>
                  <w:r>
                    <w:rPr>
                      <w:rFonts w:eastAsia="Helvetica"/>
                      <w:color w:val="auto"/>
                      <w:sz w:val="18"/>
                      <w:szCs w:val="18"/>
                      <w:shd w:val="clear" w:color="auto" w:fill="FFFFFF"/>
                      <w:vertAlign w:val="subscript"/>
                    </w:rPr>
                    <w:t>8</w:t>
                  </w:r>
                  <w:r>
                    <w:rPr>
                      <w:rFonts w:eastAsia="Helvetica"/>
                      <w:color w:val="auto"/>
                      <w:sz w:val="18"/>
                      <w:szCs w:val="18"/>
                      <w:shd w:val="clear" w:color="auto" w:fill="FFFFFF"/>
                    </w:rPr>
                    <w:t>O</w:t>
                  </w:r>
                  <w:r>
                    <w:rPr>
                      <w:rFonts w:eastAsia="Helvetica"/>
                      <w:color w:val="auto"/>
                      <w:sz w:val="18"/>
                      <w:szCs w:val="18"/>
                      <w:shd w:val="clear" w:color="auto" w:fill="FFFFFF"/>
                      <w:vertAlign w:val="subscript"/>
                    </w:rPr>
                    <w:t>3</w:t>
                  </w:r>
                </w:p>
              </w:tc>
              <w:tc>
                <w:tcPr>
                  <w:tcW w:w="762" w:type="dxa"/>
                  <w:vAlign w:val="center"/>
                </w:tcPr>
                <w:p w14:paraId="7380B8F3">
                  <w:pPr>
                    <w:jc w:val="center"/>
                    <w:rPr>
                      <w:color w:val="auto"/>
                      <w:sz w:val="18"/>
                      <w:szCs w:val="18"/>
                    </w:rPr>
                  </w:pPr>
                  <w:r>
                    <w:rPr>
                      <w:rFonts w:hint="eastAsia"/>
                      <w:color w:val="auto"/>
                      <w:sz w:val="18"/>
                      <w:szCs w:val="18"/>
                    </w:rPr>
                    <w:t>2</w:t>
                  </w:r>
                </w:p>
              </w:tc>
              <w:tc>
                <w:tcPr>
                  <w:tcW w:w="817" w:type="dxa"/>
                  <w:vAlign w:val="center"/>
                </w:tcPr>
                <w:p w14:paraId="2C443D0D">
                  <w:pPr>
                    <w:jc w:val="center"/>
                    <w:rPr>
                      <w:color w:val="auto"/>
                      <w:sz w:val="18"/>
                      <w:szCs w:val="18"/>
                    </w:rPr>
                  </w:pPr>
                  <w:r>
                    <w:rPr>
                      <w:rFonts w:hint="eastAsia"/>
                      <w:color w:val="auto"/>
                      <w:sz w:val="18"/>
                      <w:szCs w:val="18"/>
                    </w:rPr>
                    <w:t>1</w:t>
                  </w:r>
                </w:p>
              </w:tc>
              <w:tc>
                <w:tcPr>
                  <w:tcW w:w="1387" w:type="dxa"/>
                  <w:vAlign w:val="center"/>
                </w:tcPr>
                <w:p w14:paraId="50E6D3D8">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4259E12E">
                  <w:pPr>
                    <w:pStyle w:val="4"/>
                    <w:spacing w:before="0" w:after="0" w:line="240" w:lineRule="auto"/>
                    <w:jc w:val="center"/>
                    <w:rPr>
                      <w:b w:val="0"/>
                      <w:bCs w:val="0"/>
                      <w:color w:val="auto"/>
                      <w:sz w:val="18"/>
                      <w:szCs w:val="18"/>
                    </w:rPr>
                  </w:pPr>
                </w:p>
              </w:tc>
            </w:tr>
            <w:tr w14:paraId="1F7CC8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74A737B3">
                  <w:pPr>
                    <w:jc w:val="center"/>
                    <w:rPr>
                      <w:color w:val="auto"/>
                      <w:sz w:val="18"/>
                      <w:szCs w:val="18"/>
                    </w:rPr>
                  </w:pPr>
                </w:p>
              </w:tc>
              <w:tc>
                <w:tcPr>
                  <w:tcW w:w="809" w:type="dxa"/>
                  <w:vMerge w:val="continue"/>
                  <w:vAlign w:val="center"/>
                </w:tcPr>
                <w:p w14:paraId="4E10B308">
                  <w:pPr>
                    <w:jc w:val="center"/>
                    <w:rPr>
                      <w:snapToGrid w:val="0"/>
                      <w:color w:val="auto"/>
                      <w:sz w:val="18"/>
                      <w:szCs w:val="18"/>
                    </w:rPr>
                  </w:pPr>
                </w:p>
              </w:tc>
              <w:tc>
                <w:tcPr>
                  <w:tcW w:w="1506" w:type="dxa"/>
                  <w:vAlign w:val="center"/>
                </w:tcPr>
                <w:p w14:paraId="71B10E0C">
                  <w:pPr>
                    <w:jc w:val="center"/>
                    <w:rPr>
                      <w:color w:val="auto"/>
                      <w:sz w:val="18"/>
                      <w:szCs w:val="18"/>
                    </w:rPr>
                  </w:pPr>
                  <w:r>
                    <w:rPr>
                      <w:rFonts w:hint="eastAsia"/>
                      <w:color w:val="auto"/>
                      <w:sz w:val="18"/>
                      <w:szCs w:val="18"/>
                    </w:rPr>
                    <w:t>苯乙酮</w:t>
                  </w:r>
                </w:p>
              </w:tc>
              <w:tc>
                <w:tcPr>
                  <w:tcW w:w="2052" w:type="dxa"/>
                  <w:vAlign w:val="center"/>
                </w:tcPr>
                <w:p w14:paraId="3074E1E3">
                  <w:pPr>
                    <w:jc w:val="center"/>
                    <w:rPr>
                      <w:color w:val="auto"/>
                      <w:sz w:val="18"/>
                      <w:szCs w:val="18"/>
                    </w:rPr>
                  </w:pPr>
                  <w:r>
                    <w:rPr>
                      <w:rFonts w:hint="eastAsia"/>
                      <w:color w:val="auto"/>
                      <w:sz w:val="18"/>
                      <w:szCs w:val="18"/>
                    </w:rPr>
                    <w:t>98.0%，AR，</w:t>
                  </w:r>
                  <w:r>
                    <w:rPr>
                      <w:rFonts w:eastAsia="Helvetica"/>
                      <w:color w:val="auto"/>
                      <w:sz w:val="18"/>
                      <w:szCs w:val="18"/>
                      <w:shd w:val="clear" w:color="auto" w:fill="FFFFFF"/>
                    </w:rPr>
                    <w:t>C</w:t>
                  </w:r>
                  <w:r>
                    <w:rPr>
                      <w:rFonts w:eastAsia="Helvetica"/>
                      <w:color w:val="auto"/>
                      <w:sz w:val="18"/>
                      <w:szCs w:val="18"/>
                      <w:shd w:val="clear" w:color="auto" w:fill="FFFFFF"/>
                      <w:vertAlign w:val="subscript"/>
                    </w:rPr>
                    <w:t>8</w:t>
                  </w:r>
                  <w:r>
                    <w:rPr>
                      <w:rFonts w:eastAsia="Helvetica"/>
                      <w:color w:val="auto"/>
                      <w:sz w:val="18"/>
                      <w:szCs w:val="18"/>
                      <w:shd w:val="clear" w:color="auto" w:fill="FFFFFF"/>
                    </w:rPr>
                    <w:t>H</w:t>
                  </w:r>
                  <w:r>
                    <w:rPr>
                      <w:rFonts w:eastAsia="Helvetica"/>
                      <w:color w:val="auto"/>
                      <w:sz w:val="18"/>
                      <w:szCs w:val="18"/>
                      <w:shd w:val="clear" w:color="auto" w:fill="FFFFFF"/>
                      <w:vertAlign w:val="subscript"/>
                    </w:rPr>
                    <w:t>8</w:t>
                  </w:r>
                  <w:r>
                    <w:rPr>
                      <w:rFonts w:eastAsia="Helvetica"/>
                      <w:color w:val="auto"/>
                      <w:sz w:val="18"/>
                      <w:szCs w:val="18"/>
                      <w:shd w:val="clear" w:color="auto" w:fill="FFFFFF"/>
                    </w:rPr>
                    <w:t>O</w:t>
                  </w:r>
                </w:p>
              </w:tc>
              <w:tc>
                <w:tcPr>
                  <w:tcW w:w="762" w:type="dxa"/>
                  <w:vAlign w:val="center"/>
                </w:tcPr>
                <w:p w14:paraId="0F0AA14D">
                  <w:pPr>
                    <w:jc w:val="center"/>
                    <w:rPr>
                      <w:color w:val="auto"/>
                      <w:sz w:val="18"/>
                      <w:szCs w:val="18"/>
                    </w:rPr>
                  </w:pPr>
                  <w:r>
                    <w:rPr>
                      <w:rFonts w:hint="eastAsia"/>
                      <w:color w:val="auto"/>
                      <w:sz w:val="18"/>
                      <w:szCs w:val="18"/>
                    </w:rPr>
                    <w:t>1</w:t>
                  </w:r>
                </w:p>
              </w:tc>
              <w:tc>
                <w:tcPr>
                  <w:tcW w:w="817" w:type="dxa"/>
                  <w:vAlign w:val="center"/>
                </w:tcPr>
                <w:p w14:paraId="25DAC6AA">
                  <w:pPr>
                    <w:jc w:val="center"/>
                    <w:rPr>
                      <w:color w:val="auto"/>
                      <w:sz w:val="18"/>
                      <w:szCs w:val="18"/>
                    </w:rPr>
                  </w:pPr>
                  <w:r>
                    <w:rPr>
                      <w:rFonts w:hint="eastAsia"/>
                      <w:color w:val="auto"/>
                      <w:sz w:val="18"/>
                      <w:szCs w:val="18"/>
                    </w:rPr>
                    <w:t>0.5</w:t>
                  </w:r>
                </w:p>
              </w:tc>
              <w:tc>
                <w:tcPr>
                  <w:tcW w:w="1387" w:type="dxa"/>
                  <w:vAlign w:val="center"/>
                </w:tcPr>
                <w:p w14:paraId="55042A5E">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1BDA4459">
                  <w:pPr>
                    <w:pStyle w:val="4"/>
                    <w:spacing w:before="0" w:after="0" w:line="240" w:lineRule="auto"/>
                    <w:jc w:val="center"/>
                    <w:rPr>
                      <w:b w:val="0"/>
                      <w:bCs w:val="0"/>
                      <w:color w:val="auto"/>
                      <w:sz w:val="18"/>
                      <w:szCs w:val="18"/>
                    </w:rPr>
                  </w:pPr>
                </w:p>
              </w:tc>
            </w:tr>
            <w:tr w14:paraId="7A91F8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1133ECBC">
                  <w:pPr>
                    <w:jc w:val="center"/>
                    <w:rPr>
                      <w:color w:val="auto"/>
                      <w:sz w:val="18"/>
                      <w:szCs w:val="18"/>
                    </w:rPr>
                  </w:pPr>
                </w:p>
              </w:tc>
              <w:tc>
                <w:tcPr>
                  <w:tcW w:w="809" w:type="dxa"/>
                  <w:vMerge w:val="continue"/>
                  <w:vAlign w:val="center"/>
                </w:tcPr>
                <w:p w14:paraId="100D9F39">
                  <w:pPr>
                    <w:jc w:val="center"/>
                    <w:rPr>
                      <w:snapToGrid w:val="0"/>
                      <w:color w:val="auto"/>
                      <w:sz w:val="18"/>
                      <w:szCs w:val="18"/>
                    </w:rPr>
                  </w:pPr>
                </w:p>
              </w:tc>
              <w:tc>
                <w:tcPr>
                  <w:tcW w:w="1506" w:type="dxa"/>
                  <w:vAlign w:val="center"/>
                </w:tcPr>
                <w:p w14:paraId="75A206A6">
                  <w:pPr>
                    <w:jc w:val="center"/>
                    <w:rPr>
                      <w:color w:val="auto"/>
                      <w:sz w:val="18"/>
                      <w:szCs w:val="18"/>
                    </w:rPr>
                  </w:pPr>
                  <w:r>
                    <w:rPr>
                      <w:rFonts w:hint="eastAsia"/>
                      <w:color w:val="auto"/>
                      <w:sz w:val="18"/>
                      <w:szCs w:val="18"/>
                    </w:rPr>
                    <w:t>二苯胺</w:t>
                  </w:r>
                </w:p>
              </w:tc>
              <w:tc>
                <w:tcPr>
                  <w:tcW w:w="2052" w:type="dxa"/>
                  <w:vAlign w:val="center"/>
                </w:tcPr>
                <w:p w14:paraId="63E6104E">
                  <w:pPr>
                    <w:jc w:val="center"/>
                    <w:rPr>
                      <w:color w:val="auto"/>
                      <w:sz w:val="18"/>
                      <w:szCs w:val="18"/>
                    </w:rPr>
                  </w:pPr>
                  <w:r>
                    <w:rPr>
                      <w:rFonts w:hint="eastAsia"/>
                      <w:color w:val="auto"/>
                      <w:sz w:val="18"/>
                      <w:szCs w:val="18"/>
                    </w:rPr>
                    <w:t>99.0%，AR，</w:t>
                  </w:r>
                  <w:r>
                    <w:rPr>
                      <w:rFonts w:eastAsia="Helvetica"/>
                      <w:color w:val="auto"/>
                      <w:sz w:val="18"/>
                      <w:szCs w:val="18"/>
                      <w:shd w:val="clear" w:color="auto" w:fill="FFFFFF"/>
                    </w:rPr>
                    <w:t>C</w:t>
                  </w:r>
                  <w:r>
                    <w:rPr>
                      <w:rFonts w:hint="eastAsia"/>
                      <w:color w:val="auto"/>
                      <w:sz w:val="18"/>
                      <w:szCs w:val="18"/>
                      <w:shd w:val="clear" w:color="auto" w:fill="FFFFFF"/>
                      <w:vertAlign w:val="subscript"/>
                    </w:rPr>
                    <w:t>12</w:t>
                  </w:r>
                  <w:r>
                    <w:rPr>
                      <w:rFonts w:eastAsia="Helvetica"/>
                      <w:color w:val="auto"/>
                      <w:sz w:val="18"/>
                      <w:szCs w:val="18"/>
                      <w:shd w:val="clear" w:color="auto" w:fill="FFFFFF"/>
                    </w:rPr>
                    <w:t>H</w:t>
                  </w:r>
                  <w:r>
                    <w:rPr>
                      <w:rFonts w:hint="eastAsia"/>
                      <w:color w:val="auto"/>
                      <w:sz w:val="18"/>
                      <w:szCs w:val="18"/>
                      <w:shd w:val="clear" w:color="auto" w:fill="FFFFFF"/>
                      <w:vertAlign w:val="subscript"/>
                    </w:rPr>
                    <w:t>11</w:t>
                  </w:r>
                  <w:r>
                    <w:rPr>
                      <w:rFonts w:eastAsia="Helvetica"/>
                      <w:color w:val="auto"/>
                      <w:sz w:val="18"/>
                      <w:szCs w:val="18"/>
                      <w:shd w:val="clear" w:color="auto" w:fill="FFFFFF"/>
                    </w:rPr>
                    <w:t>N</w:t>
                  </w:r>
                </w:p>
              </w:tc>
              <w:tc>
                <w:tcPr>
                  <w:tcW w:w="762" w:type="dxa"/>
                  <w:vAlign w:val="center"/>
                </w:tcPr>
                <w:p w14:paraId="0C0C5FDF">
                  <w:pPr>
                    <w:jc w:val="center"/>
                    <w:rPr>
                      <w:color w:val="auto"/>
                      <w:sz w:val="18"/>
                      <w:szCs w:val="18"/>
                    </w:rPr>
                  </w:pPr>
                  <w:r>
                    <w:rPr>
                      <w:rFonts w:hint="eastAsia"/>
                      <w:color w:val="auto"/>
                      <w:sz w:val="18"/>
                      <w:szCs w:val="18"/>
                    </w:rPr>
                    <w:t>1</w:t>
                  </w:r>
                </w:p>
              </w:tc>
              <w:tc>
                <w:tcPr>
                  <w:tcW w:w="817" w:type="dxa"/>
                  <w:vAlign w:val="center"/>
                </w:tcPr>
                <w:p w14:paraId="51C6B831">
                  <w:pPr>
                    <w:jc w:val="center"/>
                    <w:rPr>
                      <w:color w:val="auto"/>
                      <w:sz w:val="18"/>
                      <w:szCs w:val="18"/>
                    </w:rPr>
                  </w:pPr>
                  <w:r>
                    <w:rPr>
                      <w:rFonts w:hint="eastAsia"/>
                      <w:color w:val="auto"/>
                      <w:sz w:val="18"/>
                      <w:szCs w:val="18"/>
                    </w:rPr>
                    <w:t>0.5</w:t>
                  </w:r>
                </w:p>
              </w:tc>
              <w:tc>
                <w:tcPr>
                  <w:tcW w:w="1387" w:type="dxa"/>
                  <w:vAlign w:val="center"/>
                </w:tcPr>
                <w:p w14:paraId="4F9502E5">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229CF5E4">
                  <w:pPr>
                    <w:pStyle w:val="4"/>
                    <w:spacing w:before="0" w:after="0" w:line="240" w:lineRule="auto"/>
                    <w:jc w:val="center"/>
                    <w:rPr>
                      <w:b w:val="0"/>
                      <w:bCs w:val="0"/>
                      <w:color w:val="auto"/>
                      <w:sz w:val="18"/>
                      <w:szCs w:val="18"/>
                    </w:rPr>
                  </w:pPr>
                </w:p>
              </w:tc>
            </w:tr>
            <w:tr w14:paraId="3B6A27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4CF6598E">
                  <w:pPr>
                    <w:jc w:val="center"/>
                    <w:rPr>
                      <w:color w:val="auto"/>
                      <w:sz w:val="18"/>
                      <w:szCs w:val="18"/>
                    </w:rPr>
                  </w:pPr>
                </w:p>
              </w:tc>
              <w:tc>
                <w:tcPr>
                  <w:tcW w:w="809" w:type="dxa"/>
                  <w:vMerge w:val="continue"/>
                  <w:vAlign w:val="center"/>
                </w:tcPr>
                <w:p w14:paraId="21D67288">
                  <w:pPr>
                    <w:jc w:val="center"/>
                    <w:rPr>
                      <w:snapToGrid w:val="0"/>
                      <w:color w:val="auto"/>
                      <w:sz w:val="18"/>
                      <w:szCs w:val="18"/>
                    </w:rPr>
                  </w:pPr>
                </w:p>
              </w:tc>
              <w:tc>
                <w:tcPr>
                  <w:tcW w:w="1506" w:type="dxa"/>
                  <w:vAlign w:val="center"/>
                </w:tcPr>
                <w:p w14:paraId="3AF48BFF">
                  <w:pPr>
                    <w:jc w:val="center"/>
                    <w:rPr>
                      <w:color w:val="auto"/>
                      <w:sz w:val="18"/>
                      <w:szCs w:val="18"/>
                    </w:rPr>
                  </w:pPr>
                  <w:r>
                    <w:rPr>
                      <w:rFonts w:hint="eastAsia"/>
                      <w:color w:val="auto"/>
                      <w:sz w:val="18"/>
                      <w:szCs w:val="18"/>
                    </w:rPr>
                    <w:t>三氟乙酸</w:t>
                  </w:r>
                </w:p>
              </w:tc>
              <w:tc>
                <w:tcPr>
                  <w:tcW w:w="2052" w:type="dxa"/>
                  <w:vAlign w:val="center"/>
                </w:tcPr>
                <w:p w14:paraId="52AB7F24">
                  <w:pPr>
                    <w:jc w:val="center"/>
                    <w:rPr>
                      <w:color w:val="auto"/>
                      <w:sz w:val="18"/>
                      <w:szCs w:val="18"/>
                    </w:rPr>
                  </w:pPr>
                  <w:r>
                    <w:rPr>
                      <w:rFonts w:hint="eastAsia"/>
                      <w:color w:val="auto"/>
                      <w:sz w:val="18"/>
                      <w:szCs w:val="18"/>
                    </w:rPr>
                    <w:t>99.0%，AR，</w:t>
                  </w:r>
                  <w:r>
                    <w:rPr>
                      <w:rFonts w:eastAsia="Helvetica"/>
                      <w:color w:val="auto"/>
                      <w:sz w:val="18"/>
                      <w:szCs w:val="18"/>
                      <w:shd w:val="clear" w:color="auto" w:fill="FFFFFF"/>
                    </w:rPr>
                    <w:t>C</w:t>
                  </w:r>
                  <w:r>
                    <w:rPr>
                      <w:rFonts w:eastAsia="Helvetica"/>
                      <w:color w:val="auto"/>
                      <w:sz w:val="18"/>
                      <w:szCs w:val="18"/>
                      <w:shd w:val="clear" w:color="auto" w:fill="FFFFFF"/>
                      <w:vertAlign w:val="subscript"/>
                    </w:rPr>
                    <w:t>2</w:t>
                  </w:r>
                  <w:r>
                    <w:rPr>
                      <w:rFonts w:eastAsia="Helvetica"/>
                      <w:color w:val="auto"/>
                      <w:sz w:val="18"/>
                      <w:szCs w:val="18"/>
                      <w:shd w:val="clear" w:color="auto" w:fill="FFFFFF"/>
                    </w:rPr>
                    <w:t>HF</w:t>
                  </w:r>
                  <w:r>
                    <w:rPr>
                      <w:rFonts w:eastAsia="Helvetica"/>
                      <w:color w:val="auto"/>
                      <w:sz w:val="18"/>
                      <w:szCs w:val="18"/>
                      <w:shd w:val="clear" w:color="auto" w:fill="FFFFFF"/>
                      <w:vertAlign w:val="subscript"/>
                    </w:rPr>
                    <w:t>3</w:t>
                  </w:r>
                  <w:r>
                    <w:rPr>
                      <w:rFonts w:eastAsia="Helvetica"/>
                      <w:color w:val="auto"/>
                      <w:sz w:val="18"/>
                      <w:szCs w:val="18"/>
                      <w:shd w:val="clear" w:color="auto" w:fill="FFFFFF"/>
                    </w:rPr>
                    <w:t>O</w:t>
                  </w:r>
                  <w:r>
                    <w:rPr>
                      <w:rFonts w:eastAsia="Helvetica"/>
                      <w:color w:val="auto"/>
                      <w:sz w:val="18"/>
                      <w:szCs w:val="18"/>
                      <w:shd w:val="clear" w:color="auto" w:fill="FFFFFF"/>
                      <w:vertAlign w:val="subscript"/>
                    </w:rPr>
                    <w:t>2</w:t>
                  </w:r>
                </w:p>
              </w:tc>
              <w:tc>
                <w:tcPr>
                  <w:tcW w:w="762" w:type="dxa"/>
                  <w:vAlign w:val="center"/>
                </w:tcPr>
                <w:p w14:paraId="18396930">
                  <w:pPr>
                    <w:jc w:val="center"/>
                    <w:rPr>
                      <w:color w:val="auto"/>
                      <w:sz w:val="18"/>
                      <w:szCs w:val="18"/>
                    </w:rPr>
                  </w:pPr>
                  <w:r>
                    <w:rPr>
                      <w:rFonts w:hint="eastAsia"/>
                      <w:color w:val="auto"/>
                      <w:sz w:val="18"/>
                      <w:szCs w:val="18"/>
                    </w:rPr>
                    <w:t>2</w:t>
                  </w:r>
                </w:p>
              </w:tc>
              <w:tc>
                <w:tcPr>
                  <w:tcW w:w="817" w:type="dxa"/>
                  <w:vAlign w:val="center"/>
                </w:tcPr>
                <w:p w14:paraId="6D85197F">
                  <w:pPr>
                    <w:jc w:val="center"/>
                    <w:rPr>
                      <w:color w:val="auto"/>
                      <w:sz w:val="18"/>
                      <w:szCs w:val="18"/>
                    </w:rPr>
                  </w:pPr>
                  <w:r>
                    <w:rPr>
                      <w:rFonts w:hint="eastAsia"/>
                      <w:color w:val="auto"/>
                      <w:sz w:val="18"/>
                      <w:szCs w:val="18"/>
                    </w:rPr>
                    <w:t>1</w:t>
                  </w:r>
                </w:p>
              </w:tc>
              <w:tc>
                <w:tcPr>
                  <w:tcW w:w="1387" w:type="dxa"/>
                  <w:vAlign w:val="center"/>
                </w:tcPr>
                <w:p w14:paraId="26300CC8">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1C672103">
                  <w:pPr>
                    <w:pStyle w:val="4"/>
                    <w:spacing w:before="0" w:after="0" w:line="240" w:lineRule="auto"/>
                    <w:jc w:val="center"/>
                    <w:rPr>
                      <w:b w:val="0"/>
                      <w:bCs w:val="0"/>
                      <w:color w:val="auto"/>
                      <w:sz w:val="18"/>
                      <w:szCs w:val="18"/>
                    </w:rPr>
                  </w:pPr>
                </w:p>
              </w:tc>
            </w:tr>
            <w:tr w14:paraId="10CB97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726A5D44">
                  <w:pPr>
                    <w:jc w:val="center"/>
                    <w:rPr>
                      <w:color w:val="auto"/>
                      <w:sz w:val="18"/>
                      <w:szCs w:val="18"/>
                    </w:rPr>
                  </w:pPr>
                </w:p>
              </w:tc>
              <w:tc>
                <w:tcPr>
                  <w:tcW w:w="809" w:type="dxa"/>
                  <w:vMerge w:val="continue"/>
                  <w:vAlign w:val="center"/>
                </w:tcPr>
                <w:p w14:paraId="7588F794">
                  <w:pPr>
                    <w:jc w:val="center"/>
                    <w:rPr>
                      <w:snapToGrid w:val="0"/>
                      <w:color w:val="auto"/>
                      <w:sz w:val="18"/>
                      <w:szCs w:val="18"/>
                    </w:rPr>
                  </w:pPr>
                </w:p>
              </w:tc>
              <w:tc>
                <w:tcPr>
                  <w:tcW w:w="1506" w:type="dxa"/>
                  <w:vAlign w:val="center"/>
                </w:tcPr>
                <w:p w14:paraId="228EEEF7">
                  <w:pPr>
                    <w:jc w:val="center"/>
                    <w:rPr>
                      <w:color w:val="auto"/>
                      <w:sz w:val="18"/>
                      <w:szCs w:val="18"/>
                    </w:rPr>
                  </w:pPr>
                  <w:r>
                    <w:rPr>
                      <w:rFonts w:hint="eastAsia"/>
                      <w:color w:val="auto"/>
                      <w:sz w:val="18"/>
                      <w:szCs w:val="18"/>
                    </w:rPr>
                    <w:t>三乙胺</w:t>
                  </w:r>
                </w:p>
              </w:tc>
              <w:tc>
                <w:tcPr>
                  <w:tcW w:w="2052" w:type="dxa"/>
                  <w:vAlign w:val="center"/>
                </w:tcPr>
                <w:p w14:paraId="6072397E">
                  <w:pPr>
                    <w:jc w:val="center"/>
                    <w:rPr>
                      <w:color w:val="auto"/>
                      <w:sz w:val="18"/>
                      <w:szCs w:val="18"/>
                    </w:rPr>
                  </w:pPr>
                  <w:r>
                    <w:rPr>
                      <w:rFonts w:hint="eastAsia"/>
                      <w:color w:val="auto"/>
                      <w:sz w:val="18"/>
                      <w:szCs w:val="18"/>
                    </w:rPr>
                    <w:t>99.0%，AR，</w:t>
                  </w:r>
                  <w:r>
                    <w:rPr>
                      <w:rFonts w:eastAsia="Helvetica"/>
                      <w:color w:val="auto"/>
                      <w:sz w:val="18"/>
                      <w:szCs w:val="18"/>
                      <w:shd w:val="clear" w:color="auto" w:fill="FFFFFF"/>
                    </w:rPr>
                    <w:t>C</w:t>
                  </w:r>
                  <w:r>
                    <w:rPr>
                      <w:rFonts w:eastAsia="Helvetica"/>
                      <w:color w:val="auto"/>
                      <w:sz w:val="18"/>
                      <w:szCs w:val="18"/>
                      <w:shd w:val="clear" w:color="auto" w:fill="FFFFFF"/>
                      <w:vertAlign w:val="subscript"/>
                    </w:rPr>
                    <w:t>6</w:t>
                  </w:r>
                  <w:r>
                    <w:rPr>
                      <w:rFonts w:eastAsia="Helvetica"/>
                      <w:color w:val="auto"/>
                      <w:sz w:val="18"/>
                      <w:szCs w:val="18"/>
                      <w:shd w:val="clear" w:color="auto" w:fill="FFFFFF"/>
                    </w:rPr>
                    <w:t>H</w:t>
                  </w:r>
                  <w:r>
                    <w:rPr>
                      <w:rFonts w:eastAsia="Helvetica"/>
                      <w:color w:val="auto"/>
                      <w:sz w:val="18"/>
                      <w:szCs w:val="18"/>
                      <w:shd w:val="clear" w:color="auto" w:fill="FFFFFF"/>
                      <w:vertAlign w:val="subscript"/>
                    </w:rPr>
                    <w:t>15</w:t>
                  </w:r>
                  <w:r>
                    <w:rPr>
                      <w:rFonts w:eastAsia="Helvetica"/>
                      <w:color w:val="auto"/>
                      <w:sz w:val="18"/>
                      <w:szCs w:val="18"/>
                      <w:shd w:val="clear" w:color="auto" w:fill="FFFFFF"/>
                    </w:rPr>
                    <w:t>N</w:t>
                  </w:r>
                </w:p>
              </w:tc>
              <w:tc>
                <w:tcPr>
                  <w:tcW w:w="762" w:type="dxa"/>
                  <w:vAlign w:val="center"/>
                </w:tcPr>
                <w:p w14:paraId="191486B8">
                  <w:pPr>
                    <w:jc w:val="center"/>
                    <w:rPr>
                      <w:color w:val="auto"/>
                      <w:sz w:val="18"/>
                      <w:szCs w:val="18"/>
                    </w:rPr>
                  </w:pPr>
                  <w:r>
                    <w:rPr>
                      <w:rFonts w:hint="eastAsia"/>
                      <w:color w:val="auto"/>
                      <w:sz w:val="18"/>
                      <w:szCs w:val="18"/>
                    </w:rPr>
                    <w:t>2</w:t>
                  </w:r>
                </w:p>
              </w:tc>
              <w:tc>
                <w:tcPr>
                  <w:tcW w:w="817" w:type="dxa"/>
                  <w:vAlign w:val="center"/>
                </w:tcPr>
                <w:p w14:paraId="4381028E">
                  <w:pPr>
                    <w:jc w:val="center"/>
                    <w:rPr>
                      <w:color w:val="auto"/>
                      <w:sz w:val="18"/>
                      <w:szCs w:val="18"/>
                    </w:rPr>
                  </w:pPr>
                  <w:r>
                    <w:rPr>
                      <w:rFonts w:hint="eastAsia"/>
                      <w:color w:val="auto"/>
                      <w:sz w:val="18"/>
                      <w:szCs w:val="18"/>
                    </w:rPr>
                    <w:t>1</w:t>
                  </w:r>
                </w:p>
              </w:tc>
              <w:tc>
                <w:tcPr>
                  <w:tcW w:w="1387" w:type="dxa"/>
                  <w:vAlign w:val="center"/>
                </w:tcPr>
                <w:p w14:paraId="474BE6E4">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45E5827C">
                  <w:pPr>
                    <w:pStyle w:val="4"/>
                    <w:spacing w:before="0" w:after="0" w:line="240" w:lineRule="auto"/>
                    <w:jc w:val="center"/>
                    <w:rPr>
                      <w:b w:val="0"/>
                      <w:bCs w:val="0"/>
                      <w:color w:val="auto"/>
                      <w:sz w:val="18"/>
                      <w:szCs w:val="18"/>
                    </w:rPr>
                  </w:pPr>
                </w:p>
              </w:tc>
            </w:tr>
            <w:tr w14:paraId="33064B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0C546A8A">
                  <w:pPr>
                    <w:jc w:val="center"/>
                    <w:rPr>
                      <w:color w:val="auto"/>
                      <w:sz w:val="18"/>
                      <w:szCs w:val="18"/>
                    </w:rPr>
                  </w:pPr>
                </w:p>
              </w:tc>
              <w:tc>
                <w:tcPr>
                  <w:tcW w:w="809" w:type="dxa"/>
                  <w:vMerge w:val="continue"/>
                  <w:vAlign w:val="center"/>
                </w:tcPr>
                <w:p w14:paraId="1D87E782">
                  <w:pPr>
                    <w:jc w:val="center"/>
                    <w:rPr>
                      <w:snapToGrid w:val="0"/>
                      <w:color w:val="auto"/>
                      <w:sz w:val="18"/>
                      <w:szCs w:val="18"/>
                    </w:rPr>
                  </w:pPr>
                </w:p>
              </w:tc>
              <w:tc>
                <w:tcPr>
                  <w:tcW w:w="1506" w:type="dxa"/>
                  <w:vAlign w:val="center"/>
                </w:tcPr>
                <w:p w14:paraId="01C9229F">
                  <w:pPr>
                    <w:jc w:val="center"/>
                    <w:rPr>
                      <w:color w:val="auto"/>
                      <w:sz w:val="18"/>
                      <w:szCs w:val="18"/>
                    </w:rPr>
                  </w:pPr>
                  <w:r>
                    <w:rPr>
                      <w:rFonts w:hint="eastAsia"/>
                      <w:color w:val="auto"/>
                      <w:sz w:val="18"/>
                      <w:szCs w:val="18"/>
                    </w:rPr>
                    <w:t>乙腈</w:t>
                  </w:r>
                </w:p>
              </w:tc>
              <w:tc>
                <w:tcPr>
                  <w:tcW w:w="2052" w:type="dxa"/>
                  <w:vAlign w:val="center"/>
                </w:tcPr>
                <w:p w14:paraId="1C41F0AD">
                  <w:pPr>
                    <w:jc w:val="center"/>
                    <w:rPr>
                      <w:color w:val="auto"/>
                      <w:sz w:val="18"/>
                      <w:szCs w:val="18"/>
                    </w:rPr>
                  </w:pPr>
                  <w:r>
                    <w:rPr>
                      <w:rFonts w:hint="eastAsia"/>
                      <w:color w:val="auto"/>
                      <w:sz w:val="18"/>
                      <w:szCs w:val="18"/>
                    </w:rPr>
                    <w:t>99.0%，AR，C</w:t>
                  </w:r>
                  <w:r>
                    <w:rPr>
                      <w:rFonts w:hint="eastAsia"/>
                      <w:color w:val="auto"/>
                      <w:sz w:val="18"/>
                      <w:szCs w:val="18"/>
                      <w:vertAlign w:val="subscript"/>
                    </w:rPr>
                    <w:t>2</w:t>
                  </w:r>
                  <w:r>
                    <w:rPr>
                      <w:rFonts w:hint="eastAsia"/>
                      <w:color w:val="auto"/>
                      <w:sz w:val="18"/>
                      <w:szCs w:val="18"/>
                    </w:rPr>
                    <w:t>H</w:t>
                  </w:r>
                  <w:r>
                    <w:rPr>
                      <w:rFonts w:hint="eastAsia"/>
                      <w:color w:val="auto"/>
                      <w:sz w:val="18"/>
                      <w:szCs w:val="18"/>
                      <w:vertAlign w:val="subscript"/>
                    </w:rPr>
                    <w:t>3</w:t>
                  </w:r>
                  <w:r>
                    <w:rPr>
                      <w:rFonts w:hint="eastAsia"/>
                      <w:color w:val="auto"/>
                      <w:sz w:val="18"/>
                      <w:szCs w:val="18"/>
                    </w:rPr>
                    <w:t>N</w:t>
                  </w:r>
                </w:p>
              </w:tc>
              <w:tc>
                <w:tcPr>
                  <w:tcW w:w="762" w:type="dxa"/>
                  <w:vAlign w:val="center"/>
                </w:tcPr>
                <w:p w14:paraId="28BAD832">
                  <w:pPr>
                    <w:jc w:val="center"/>
                    <w:rPr>
                      <w:color w:val="auto"/>
                      <w:sz w:val="18"/>
                      <w:szCs w:val="18"/>
                    </w:rPr>
                  </w:pPr>
                  <w:r>
                    <w:rPr>
                      <w:rFonts w:hint="eastAsia"/>
                      <w:color w:val="auto"/>
                      <w:sz w:val="18"/>
                      <w:szCs w:val="18"/>
                    </w:rPr>
                    <w:t>10</w:t>
                  </w:r>
                </w:p>
              </w:tc>
              <w:tc>
                <w:tcPr>
                  <w:tcW w:w="817" w:type="dxa"/>
                  <w:vAlign w:val="center"/>
                </w:tcPr>
                <w:p w14:paraId="2304BB40">
                  <w:pPr>
                    <w:jc w:val="center"/>
                    <w:rPr>
                      <w:color w:val="auto"/>
                      <w:sz w:val="18"/>
                      <w:szCs w:val="18"/>
                    </w:rPr>
                  </w:pPr>
                  <w:r>
                    <w:rPr>
                      <w:rFonts w:hint="eastAsia"/>
                      <w:color w:val="auto"/>
                      <w:sz w:val="18"/>
                      <w:szCs w:val="18"/>
                    </w:rPr>
                    <w:t>2</w:t>
                  </w:r>
                </w:p>
              </w:tc>
              <w:tc>
                <w:tcPr>
                  <w:tcW w:w="1387" w:type="dxa"/>
                  <w:vAlign w:val="center"/>
                </w:tcPr>
                <w:p w14:paraId="07904BDD">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45BB06F2">
                  <w:pPr>
                    <w:pStyle w:val="4"/>
                    <w:spacing w:before="0" w:after="0" w:line="240" w:lineRule="auto"/>
                    <w:jc w:val="center"/>
                    <w:rPr>
                      <w:b w:val="0"/>
                      <w:bCs w:val="0"/>
                      <w:color w:val="auto"/>
                      <w:sz w:val="18"/>
                      <w:szCs w:val="18"/>
                    </w:rPr>
                  </w:pPr>
                </w:p>
              </w:tc>
            </w:tr>
            <w:tr w14:paraId="50C7B8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13897D4E">
                  <w:pPr>
                    <w:jc w:val="center"/>
                    <w:rPr>
                      <w:color w:val="auto"/>
                      <w:sz w:val="18"/>
                      <w:szCs w:val="18"/>
                    </w:rPr>
                  </w:pPr>
                </w:p>
              </w:tc>
              <w:tc>
                <w:tcPr>
                  <w:tcW w:w="809" w:type="dxa"/>
                  <w:vMerge w:val="continue"/>
                  <w:vAlign w:val="center"/>
                </w:tcPr>
                <w:p w14:paraId="1C98DCD9">
                  <w:pPr>
                    <w:jc w:val="center"/>
                    <w:rPr>
                      <w:snapToGrid w:val="0"/>
                      <w:color w:val="auto"/>
                      <w:sz w:val="18"/>
                      <w:szCs w:val="18"/>
                    </w:rPr>
                  </w:pPr>
                </w:p>
              </w:tc>
              <w:tc>
                <w:tcPr>
                  <w:tcW w:w="1506" w:type="dxa"/>
                  <w:vAlign w:val="center"/>
                </w:tcPr>
                <w:p w14:paraId="2F5D3D8F">
                  <w:pPr>
                    <w:jc w:val="center"/>
                    <w:rPr>
                      <w:color w:val="auto"/>
                      <w:sz w:val="18"/>
                      <w:szCs w:val="18"/>
                    </w:rPr>
                  </w:pPr>
                  <w:r>
                    <w:rPr>
                      <w:rFonts w:hint="eastAsia"/>
                      <w:color w:val="auto"/>
                      <w:sz w:val="18"/>
                      <w:szCs w:val="18"/>
                    </w:rPr>
                    <w:t>四苯硼钠</w:t>
                  </w:r>
                </w:p>
              </w:tc>
              <w:tc>
                <w:tcPr>
                  <w:tcW w:w="2052" w:type="dxa"/>
                  <w:vAlign w:val="center"/>
                </w:tcPr>
                <w:p w14:paraId="270F70CA">
                  <w:pPr>
                    <w:jc w:val="center"/>
                    <w:rPr>
                      <w:color w:val="auto"/>
                      <w:sz w:val="18"/>
                      <w:szCs w:val="18"/>
                    </w:rPr>
                  </w:pPr>
                  <w:r>
                    <w:rPr>
                      <w:rFonts w:hint="eastAsia"/>
                      <w:color w:val="auto"/>
                      <w:sz w:val="18"/>
                      <w:szCs w:val="18"/>
                    </w:rPr>
                    <w:t>99.0%，AR，</w:t>
                  </w:r>
                  <w:r>
                    <w:rPr>
                      <w:rFonts w:eastAsia="Helvetica"/>
                      <w:color w:val="auto"/>
                      <w:sz w:val="18"/>
                      <w:szCs w:val="18"/>
                      <w:shd w:val="clear" w:color="auto" w:fill="FFFFFF"/>
                    </w:rPr>
                    <w:t>C</w:t>
                  </w:r>
                  <w:r>
                    <w:rPr>
                      <w:rFonts w:eastAsia="Helvetica"/>
                      <w:color w:val="auto"/>
                      <w:sz w:val="18"/>
                      <w:szCs w:val="18"/>
                      <w:shd w:val="clear" w:color="auto" w:fill="FFFFFF"/>
                      <w:vertAlign w:val="subscript"/>
                    </w:rPr>
                    <w:t>24</w:t>
                  </w:r>
                  <w:r>
                    <w:rPr>
                      <w:rFonts w:eastAsia="Helvetica"/>
                      <w:color w:val="auto"/>
                      <w:sz w:val="18"/>
                      <w:szCs w:val="18"/>
                      <w:shd w:val="clear" w:color="auto" w:fill="FFFFFF"/>
                    </w:rPr>
                    <w:t>H</w:t>
                  </w:r>
                  <w:r>
                    <w:rPr>
                      <w:rFonts w:eastAsia="Helvetica"/>
                      <w:color w:val="auto"/>
                      <w:sz w:val="18"/>
                      <w:szCs w:val="18"/>
                      <w:shd w:val="clear" w:color="auto" w:fill="FFFFFF"/>
                      <w:vertAlign w:val="subscript"/>
                    </w:rPr>
                    <w:t>20</w:t>
                  </w:r>
                  <w:r>
                    <w:rPr>
                      <w:rFonts w:eastAsia="Helvetica"/>
                      <w:color w:val="auto"/>
                      <w:sz w:val="18"/>
                      <w:szCs w:val="18"/>
                      <w:shd w:val="clear" w:color="auto" w:fill="FFFFFF"/>
                    </w:rPr>
                    <w:t>BNa</w:t>
                  </w:r>
                </w:p>
              </w:tc>
              <w:tc>
                <w:tcPr>
                  <w:tcW w:w="762" w:type="dxa"/>
                  <w:vAlign w:val="center"/>
                </w:tcPr>
                <w:p w14:paraId="1666C70F">
                  <w:pPr>
                    <w:jc w:val="center"/>
                    <w:rPr>
                      <w:color w:val="auto"/>
                      <w:sz w:val="18"/>
                      <w:szCs w:val="18"/>
                    </w:rPr>
                  </w:pPr>
                  <w:r>
                    <w:rPr>
                      <w:rFonts w:hint="eastAsia"/>
                      <w:color w:val="auto"/>
                      <w:sz w:val="18"/>
                      <w:szCs w:val="18"/>
                    </w:rPr>
                    <w:t>10</w:t>
                  </w:r>
                </w:p>
              </w:tc>
              <w:tc>
                <w:tcPr>
                  <w:tcW w:w="817" w:type="dxa"/>
                  <w:vAlign w:val="center"/>
                </w:tcPr>
                <w:p w14:paraId="7FEF3D79">
                  <w:pPr>
                    <w:jc w:val="center"/>
                    <w:rPr>
                      <w:color w:val="auto"/>
                      <w:sz w:val="18"/>
                      <w:szCs w:val="18"/>
                    </w:rPr>
                  </w:pPr>
                  <w:r>
                    <w:rPr>
                      <w:rFonts w:hint="eastAsia"/>
                      <w:color w:val="auto"/>
                      <w:sz w:val="18"/>
                      <w:szCs w:val="18"/>
                    </w:rPr>
                    <w:t>2</w:t>
                  </w:r>
                </w:p>
              </w:tc>
              <w:tc>
                <w:tcPr>
                  <w:tcW w:w="1387" w:type="dxa"/>
                  <w:vAlign w:val="center"/>
                </w:tcPr>
                <w:p w14:paraId="18163F8C">
                  <w:pPr>
                    <w:adjustRightInd w:val="0"/>
                    <w:snapToGrid w:val="0"/>
                    <w:jc w:val="center"/>
                    <w:rPr>
                      <w:color w:val="auto"/>
                      <w:sz w:val="18"/>
                      <w:szCs w:val="18"/>
                    </w:rPr>
                  </w:pPr>
                  <w:r>
                    <w:rPr>
                      <w:color w:val="auto"/>
                      <w:sz w:val="18"/>
                      <w:szCs w:val="18"/>
                    </w:rPr>
                    <w:t>500g/瓶，</w:t>
                  </w:r>
                  <w:r>
                    <w:rPr>
                      <w:rFonts w:hint="eastAsia"/>
                      <w:color w:val="auto"/>
                      <w:sz w:val="18"/>
                      <w:szCs w:val="18"/>
                    </w:rPr>
                    <w:t>瓶装</w:t>
                  </w:r>
                </w:p>
              </w:tc>
              <w:tc>
                <w:tcPr>
                  <w:tcW w:w="465" w:type="dxa"/>
                  <w:vMerge w:val="continue"/>
                  <w:vAlign w:val="center"/>
                </w:tcPr>
                <w:p w14:paraId="2890A99D">
                  <w:pPr>
                    <w:pStyle w:val="4"/>
                    <w:spacing w:before="0" w:after="0" w:line="240" w:lineRule="auto"/>
                    <w:jc w:val="center"/>
                    <w:rPr>
                      <w:b w:val="0"/>
                      <w:bCs w:val="0"/>
                      <w:color w:val="auto"/>
                      <w:sz w:val="18"/>
                      <w:szCs w:val="18"/>
                    </w:rPr>
                  </w:pPr>
                </w:p>
              </w:tc>
            </w:tr>
            <w:tr w14:paraId="428996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684BC193">
                  <w:pPr>
                    <w:jc w:val="center"/>
                    <w:rPr>
                      <w:color w:val="auto"/>
                      <w:sz w:val="18"/>
                      <w:szCs w:val="18"/>
                    </w:rPr>
                  </w:pPr>
                </w:p>
              </w:tc>
              <w:tc>
                <w:tcPr>
                  <w:tcW w:w="809" w:type="dxa"/>
                  <w:vMerge w:val="continue"/>
                  <w:vAlign w:val="center"/>
                </w:tcPr>
                <w:p w14:paraId="3D4E0908">
                  <w:pPr>
                    <w:jc w:val="center"/>
                    <w:rPr>
                      <w:snapToGrid w:val="0"/>
                      <w:color w:val="auto"/>
                      <w:sz w:val="18"/>
                      <w:szCs w:val="18"/>
                    </w:rPr>
                  </w:pPr>
                </w:p>
              </w:tc>
              <w:tc>
                <w:tcPr>
                  <w:tcW w:w="1506" w:type="dxa"/>
                  <w:vAlign w:val="center"/>
                </w:tcPr>
                <w:p w14:paraId="75BD4F92">
                  <w:pPr>
                    <w:jc w:val="center"/>
                    <w:rPr>
                      <w:color w:val="auto"/>
                      <w:sz w:val="18"/>
                      <w:szCs w:val="18"/>
                    </w:rPr>
                  </w:pPr>
                  <w:r>
                    <w:rPr>
                      <w:rFonts w:hint="eastAsia"/>
                      <w:color w:val="auto"/>
                      <w:sz w:val="18"/>
                      <w:szCs w:val="18"/>
                    </w:rPr>
                    <w:t>乙酸乙酯</w:t>
                  </w:r>
                </w:p>
              </w:tc>
              <w:tc>
                <w:tcPr>
                  <w:tcW w:w="2052" w:type="dxa"/>
                  <w:vAlign w:val="center"/>
                </w:tcPr>
                <w:p w14:paraId="7AA281CE">
                  <w:pPr>
                    <w:jc w:val="center"/>
                    <w:rPr>
                      <w:color w:val="auto"/>
                      <w:sz w:val="18"/>
                      <w:szCs w:val="18"/>
                    </w:rPr>
                  </w:pPr>
                  <w:r>
                    <w:rPr>
                      <w:rFonts w:hint="eastAsia"/>
                      <w:color w:val="auto"/>
                      <w:sz w:val="18"/>
                      <w:szCs w:val="18"/>
                    </w:rPr>
                    <w:t>99.0%，AR，</w:t>
                  </w:r>
                  <w:r>
                    <w:rPr>
                      <w:rFonts w:eastAsia="Helvetica"/>
                      <w:color w:val="auto"/>
                      <w:sz w:val="18"/>
                      <w:szCs w:val="18"/>
                      <w:shd w:val="clear" w:color="auto" w:fill="FFFFFF"/>
                    </w:rPr>
                    <w:t>C</w:t>
                  </w:r>
                  <w:r>
                    <w:rPr>
                      <w:rFonts w:eastAsia="Helvetica"/>
                      <w:color w:val="auto"/>
                      <w:sz w:val="18"/>
                      <w:szCs w:val="18"/>
                      <w:shd w:val="clear" w:color="auto" w:fill="FFFFFF"/>
                      <w:vertAlign w:val="subscript"/>
                    </w:rPr>
                    <w:t>4</w:t>
                  </w:r>
                  <w:r>
                    <w:rPr>
                      <w:rFonts w:eastAsia="Helvetica"/>
                      <w:color w:val="auto"/>
                      <w:sz w:val="18"/>
                      <w:szCs w:val="18"/>
                      <w:shd w:val="clear" w:color="auto" w:fill="FFFFFF"/>
                    </w:rPr>
                    <w:t>H</w:t>
                  </w:r>
                  <w:r>
                    <w:rPr>
                      <w:rFonts w:eastAsia="Helvetica"/>
                      <w:color w:val="auto"/>
                      <w:sz w:val="18"/>
                      <w:szCs w:val="18"/>
                      <w:shd w:val="clear" w:color="auto" w:fill="FFFFFF"/>
                      <w:vertAlign w:val="subscript"/>
                    </w:rPr>
                    <w:t>8</w:t>
                  </w:r>
                  <w:r>
                    <w:rPr>
                      <w:rFonts w:eastAsia="Helvetica"/>
                      <w:color w:val="auto"/>
                      <w:sz w:val="18"/>
                      <w:szCs w:val="18"/>
                      <w:shd w:val="clear" w:color="auto" w:fill="FFFFFF"/>
                    </w:rPr>
                    <w:t>O</w:t>
                  </w:r>
                  <w:r>
                    <w:rPr>
                      <w:rFonts w:eastAsia="Helvetica"/>
                      <w:color w:val="auto"/>
                      <w:sz w:val="18"/>
                      <w:szCs w:val="18"/>
                      <w:shd w:val="clear" w:color="auto" w:fill="FFFFFF"/>
                      <w:vertAlign w:val="subscript"/>
                    </w:rPr>
                    <w:t>2</w:t>
                  </w:r>
                </w:p>
              </w:tc>
              <w:tc>
                <w:tcPr>
                  <w:tcW w:w="762" w:type="dxa"/>
                  <w:vAlign w:val="center"/>
                </w:tcPr>
                <w:p w14:paraId="475AC016">
                  <w:pPr>
                    <w:jc w:val="center"/>
                    <w:rPr>
                      <w:color w:val="auto"/>
                      <w:sz w:val="18"/>
                      <w:szCs w:val="18"/>
                    </w:rPr>
                  </w:pPr>
                  <w:r>
                    <w:rPr>
                      <w:rFonts w:hint="eastAsia"/>
                      <w:color w:val="auto"/>
                      <w:sz w:val="18"/>
                      <w:szCs w:val="18"/>
                    </w:rPr>
                    <w:t>5</w:t>
                  </w:r>
                </w:p>
              </w:tc>
              <w:tc>
                <w:tcPr>
                  <w:tcW w:w="817" w:type="dxa"/>
                  <w:vAlign w:val="center"/>
                </w:tcPr>
                <w:p w14:paraId="7F87D664">
                  <w:pPr>
                    <w:jc w:val="center"/>
                    <w:rPr>
                      <w:color w:val="auto"/>
                      <w:sz w:val="18"/>
                      <w:szCs w:val="18"/>
                    </w:rPr>
                  </w:pPr>
                  <w:r>
                    <w:rPr>
                      <w:rFonts w:hint="eastAsia"/>
                      <w:color w:val="auto"/>
                      <w:sz w:val="18"/>
                      <w:szCs w:val="18"/>
                    </w:rPr>
                    <w:t>1</w:t>
                  </w:r>
                </w:p>
              </w:tc>
              <w:tc>
                <w:tcPr>
                  <w:tcW w:w="1387" w:type="dxa"/>
                  <w:vAlign w:val="center"/>
                </w:tcPr>
                <w:p w14:paraId="1938C8B2">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32780CA3">
                  <w:pPr>
                    <w:pStyle w:val="4"/>
                    <w:spacing w:before="0" w:after="0" w:line="240" w:lineRule="auto"/>
                    <w:jc w:val="center"/>
                    <w:rPr>
                      <w:b w:val="0"/>
                      <w:bCs w:val="0"/>
                      <w:color w:val="auto"/>
                      <w:sz w:val="18"/>
                      <w:szCs w:val="18"/>
                    </w:rPr>
                  </w:pPr>
                </w:p>
              </w:tc>
            </w:tr>
            <w:tr w14:paraId="410489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33725695">
                  <w:pPr>
                    <w:jc w:val="center"/>
                    <w:rPr>
                      <w:color w:val="auto"/>
                      <w:sz w:val="18"/>
                      <w:szCs w:val="18"/>
                    </w:rPr>
                  </w:pPr>
                </w:p>
              </w:tc>
              <w:tc>
                <w:tcPr>
                  <w:tcW w:w="809" w:type="dxa"/>
                  <w:vMerge w:val="continue"/>
                  <w:vAlign w:val="center"/>
                </w:tcPr>
                <w:p w14:paraId="44705078">
                  <w:pPr>
                    <w:jc w:val="center"/>
                    <w:rPr>
                      <w:snapToGrid w:val="0"/>
                      <w:color w:val="auto"/>
                      <w:sz w:val="18"/>
                      <w:szCs w:val="18"/>
                    </w:rPr>
                  </w:pPr>
                </w:p>
              </w:tc>
              <w:tc>
                <w:tcPr>
                  <w:tcW w:w="1506" w:type="dxa"/>
                  <w:vAlign w:val="center"/>
                </w:tcPr>
                <w:p w14:paraId="23CBEA3B">
                  <w:pPr>
                    <w:jc w:val="center"/>
                    <w:rPr>
                      <w:color w:val="auto"/>
                      <w:sz w:val="18"/>
                      <w:szCs w:val="18"/>
                    </w:rPr>
                  </w:pPr>
                  <w:r>
                    <w:rPr>
                      <w:rFonts w:hint="eastAsia"/>
                      <w:color w:val="auto"/>
                      <w:sz w:val="18"/>
                      <w:szCs w:val="18"/>
                    </w:rPr>
                    <w:t>吡啶</w:t>
                  </w:r>
                </w:p>
              </w:tc>
              <w:tc>
                <w:tcPr>
                  <w:tcW w:w="2052" w:type="dxa"/>
                  <w:vAlign w:val="center"/>
                </w:tcPr>
                <w:p w14:paraId="60E59CB8">
                  <w:pPr>
                    <w:jc w:val="center"/>
                    <w:rPr>
                      <w:color w:val="auto"/>
                      <w:sz w:val="18"/>
                      <w:szCs w:val="18"/>
                    </w:rPr>
                  </w:pPr>
                  <w:r>
                    <w:rPr>
                      <w:rFonts w:hint="eastAsia"/>
                      <w:color w:val="auto"/>
                      <w:sz w:val="18"/>
                      <w:szCs w:val="18"/>
                    </w:rPr>
                    <w:t>99.0%，AR，</w:t>
                  </w:r>
                  <w:r>
                    <w:rPr>
                      <w:rFonts w:eastAsia="Helvetica"/>
                      <w:color w:val="auto"/>
                      <w:sz w:val="18"/>
                      <w:szCs w:val="18"/>
                      <w:shd w:val="clear" w:color="auto" w:fill="FFFFFF"/>
                    </w:rPr>
                    <w:t>C</w:t>
                  </w:r>
                  <w:r>
                    <w:rPr>
                      <w:rFonts w:eastAsia="Helvetica"/>
                      <w:color w:val="auto"/>
                      <w:sz w:val="18"/>
                      <w:szCs w:val="18"/>
                      <w:shd w:val="clear" w:color="auto" w:fill="FFFFFF"/>
                      <w:vertAlign w:val="subscript"/>
                    </w:rPr>
                    <w:t>5</w:t>
                  </w:r>
                  <w:r>
                    <w:rPr>
                      <w:rFonts w:eastAsia="Helvetica"/>
                      <w:color w:val="auto"/>
                      <w:sz w:val="18"/>
                      <w:szCs w:val="18"/>
                      <w:shd w:val="clear" w:color="auto" w:fill="FFFFFF"/>
                    </w:rPr>
                    <w:t>H</w:t>
                  </w:r>
                  <w:r>
                    <w:rPr>
                      <w:rFonts w:eastAsia="Helvetica"/>
                      <w:color w:val="auto"/>
                      <w:sz w:val="18"/>
                      <w:szCs w:val="18"/>
                      <w:shd w:val="clear" w:color="auto" w:fill="FFFFFF"/>
                      <w:vertAlign w:val="subscript"/>
                    </w:rPr>
                    <w:t>5</w:t>
                  </w:r>
                  <w:r>
                    <w:rPr>
                      <w:rFonts w:eastAsia="Helvetica"/>
                      <w:color w:val="auto"/>
                      <w:sz w:val="18"/>
                      <w:szCs w:val="18"/>
                      <w:shd w:val="clear" w:color="auto" w:fill="FFFFFF"/>
                    </w:rPr>
                    <w:t>N</w:t>
                  </w:r>
                </w:p>
              </w:tc>
              <w:tc>
                <w:tcPr>
                  <w:tcW w:w="762" w:type="dxa"/>
                  <w:vAlign w:val="center"/>
                </w:tcPr>
                <w:p w14:paraId="63BA1D07">
                  <w:pPr>
                    <w:jc w:val="center"/>
                    <w:rPr>
                      <w:color w:val="auto"/>
                      <w:sz w:val="18"/>
                      <w:szCs w:val="18"/>
                    </w:rPr>
                  </w:pPr>
                  <w:r>
                    <w:rPr>
                      <w:rFonts w:hint="eastAsia"/>
                      <w:color w:val="auto"/>
                      <w:sz w:val="18"/>
                      <w:szCs w:val="18"/>
                    </w:rPr>
                    <w:t>2</w:t>
                  </w:r>
                </w:p>
              </w:tc>
              <w:tc>
                <w:tcPr>
                  <w:tcW w:w="817" w:type="dxa"/>
                  <w:vAlign w:val="center"/>
                </w:tcPr>
                <w:p w14:paraId="75F87BBE">
                  <w:pPr>
                    <w:jc w:val="center"/>
                    <w:rPr>
                      <w:color w:val="auto"/>
                      <w:sz w:val="18"/>
                      <w:szCs w:val="18"/>
                    </w:rPr>
                  </w:pPr>
                  <w:r>
                    <w:rPr>
                      <w:rFonts w:hint="eastAsia"/>
                      <w:color w:val="auto"/>
                      <w:sz w:val="18"/>
                      <w:szCs w:val="18"/>
                    </w:rPr>
                    <w:t>1</w:t>
                  </w:r>
                </w:p>
              </w:tc>
              <w:tc>
                <w:tcPr>
                  <w:tcW w:w="1387" w:type="dxa"/>
                  <w:vAlign w:val="center"/>
                </w:tcPr>
                <w:p w14:paraId="58B01EEF">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779F9ADA">
                  <w:pPr>
                    <w:pStyle w:val="4"/>
                    <w:spacing w:before="0" w:after="0" w:line="240" w:lineRule="auto"/>
                    <w:jc w:val="center"/>
                    <w:rPr>
                      <w:b w:val="0"/>
                      <w:bCs w:val="0"/>
                      <w:color w:val="auto"/>
                      <w:sz w:val="18"/>
                      <w:szCs w:val="18"/>
                    </w:rPr>
                  </w:pPr>
                </w:p>
              </w:tc>
            </w:tr>
            <w:tr w14:paraId="525812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6628E5A1">
                  <w:pPr>
                    <w:jc w:val="center"/>
                    <w:rPr>
                      <w:color w:val="auto"/>
                      <w:sz w:val="18"/>
                      <w:szCs w:val="18"/>
                    </w:rPr>
                  </w:pPr>
                </w:p>
              </w:tc>
              <w:tc>
                <w:tcPr>
                  <w:tcW w:w="809" w:type="dxa"/>
                  <w:vMerge w:val="continue"/>
                  <w:vAlign w:val="center"/>
                </w:tcPr>
                <w:p w14:paraId="49FE3A3D">
                  <w:pPr>
                    <w:jc w:val="center"/>
                    <w:rPr>
                      <w:snapToGrid w:val="0"/>
                      <w:color w:val="auto"/>
                      <w:sz w:val="18"/>
                      <w:szCs w:val="18"/>
                    </w:rPr>
                  </w:pPr>
                </w:p>
              </w:tc>
              <w:tc>
                <w:tcPr>
                  <w:tcW w:w="1506" w:type="dxa"/>
                  <w:vAlign w:val="center"/>
                </w:tcPr>
                <w:p w14:paraId="390D0D74">
                  <w:pPr>
                    <w:jc w:val="center"/>
                    <w:rPr>
                      <w:color w:val="auto"/>
                      <w:sz w:val="18"/>
                      <w:szCs w:val="18"/>
                    </w:rPr>
                  </w:pPr>
                  <w:r>
                    <w:rPr>
                      <w:rFonts w:hint="eastAsia"/>
                      <w:color w:val="auto"/>
                      <w:sz w:val="18"/>
                      <w:szCs w:val="18"/>
                    </w:rPr>
                    <w:t>叔丁醇</w:t>
                  </w:r>
                </w:p>
              </w:tc>
              <w:tc>
                <w:tcPr>
                  <w:tcW w:w="2052" w:type="dxa"/>
                  <w:vAlign w:val="center"/>
                </w:tcPr>
                <w:p w14:paraId="44C9E612">
                  <w:pPr>
                    <w:jc w:val="center"/>
                    <w:rPr>
                      <w:color w:val="auto"/>
                      <w:sz w:val="18"/>
                      <w:szCs w:val="18"/>
                    </w:rPr>
                  </w:pPr>
                  <w:r>
                    <w:rPr>
                      <w:rFonts w:hint="eastAsia"/>
                      <w:color w:val="auto"/>
                      <w:sz w:val="18"/>
                      <w:szCs w:val="18"/>
                    </w:rPr>
                    <w:t>99.0%，AR，</w:t>
                  </w:r>
                  <w:r>
                    <w:rPr>
                      <w:rFonts w:eastAsia="Helvetica"/>
                      <w:color w:val="auto"/>
                      <w:sz w:val="18"/>
                      <w:szCs w:val="18"/>
                      <w:shd w:val="clear" w:color="auto" w:fill="FFFFFF"/>
                    </w:rPr>
                    <w:t>C</w:t>
                  </w:r>
                  <w:r>
                    <w:rPr>
                      <w:rFonts w:eastAsia="Helvetica"/>
                      <w:color w:val="auto"/>
                      <w:sz w:val="18"/>
                      <w:szCs w:val="18"/>
                      <w:shd w:val="clear" w:color="auto" w:fill="FFFFFF"/>
                      <w:vertAlign w:val="subscript"/>
                    </w:rPr>
                    <w:t>4</w:t>
                  </w:r>
                  <w:r>
                    <w:rPr>
                      <w:rFonts w:eastAsia="Helvetica"/>
                      <w:color w:val="auto"/>
                      <w:sz w:val="18"/>
                      <w:szCs w:val="18"/>
                      <w:shd w:val="clear" w:color="auto" w:fill="FFFFFF"/>
                    </w:rPr>
                    <w:t>H</w:t>
                  </w:r>
                  <w:r>
                    <w:rPr>
                      <w:rFonts w:eastAsia="Helvetica"/>
                      <w:color w:val="auto"/>
                      <w:sz w:val="18"/>
                      <w:szCs w:val="18"/>
                      <w:shd w:val="clear" w:color="auto" w:fill="FFFFFF"/>
                      <w:vertAlign w:val="subscript"/>
                    </w:rPr>
                    <w:t>10</w:t>
                  </w:r>
                  <w:r>
                    <w:rPr>
                      <w:rFonts w:eastAsia="Helvetica"/>
                      <w:color w:val="auto"/>
                      <w:sz w:val="18"/>
                      <w:szCs w:val="18"/>
                      <w:shd w:val="clear" w:color="auto" w:fill="F5F5F5"/>
                    </w:rPr>
                    <w:t>O</w:t>
                  </w:r>
                </w:p>
              </w:tc>
              <w:tc>
                <w:tcPr>
                  <w:tcW w:w="762" w:type="dxa"/>
                  <w:vAlign w:val="center"/>
                </w:tcPr>
                <w:p w14:paraId="108C0C98">
                  <w:pPr>
                    <w:jc w:val="center"/>
                    <w:rPr>
                      <w:color w:val="auto"/>
                      <w:sz w:val="18"/>
                      <w:szCs w:val="18"/>
                    </w:rPr>
                  </w:pPr>
                  <w:r>
                    <w:rPr>
                      <w:rFonts w:hint="eastAsia"/>
                      <w:color w:val="auto"/>
                      <w:sz w:val="18"/>
                      <w:szCs w:val="18"/>
                    </w:rPr>
                    <w:t>4</w:t>
                  </w:r>
                </w:p>
              </w:tc>
              <w:tc>
                <w:tcPr>
                  <w:tcW w:w="817" w:type="dxa"/>
                  <w:vAlign w:val="center"/>
                </w:tcPr>
                <w:p w14:paraId="67CBE4B4">
                  <w:pPr>
                    <w:jc w:val="center"/>
                    <w:rPr>
                      <w:color w:val="auto"/>
                      <w:sz w:val="18"/>
                      <w:szCs w:val="18"/>
                    </w:rPr>
                  </w:pPr>
                  <w:r>
                    <w:rPr>
                      <w:rFonts w:hint="eastAsia"/>
                      <w:color w:val="auto"/>
                      <w:sz w:val="18"/>
                      <w:szCs w:val="18"/>
                    </w:rPr>
                    <w:t>2</w:t>
                  </w:r>
                </w:p>
              </w:tc>
              <w:tc>
                <w:tcPr>
                  <w:tcW w:w="1387" w:type="dxa"/>
                  <w:vAlign w:val="center"/>
                </w:tcPr>
                <w:p w14:paraId="1411C428">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089EE230">
                  <w:pPr>
                    <w:pStyle w:val="4"/>
                    <w:spacing w:before="0" w:after="0" w:line="240" w:lineRule="auto"/>
                    <w:jc w:val="center"/>
                    <w:rPr>
                      <w:b w:val="0"/>
                      <w:bCs w:val="0"/>
                      <w:color w:val="auto"/>
                      <w:sz w:val="18"/>
                      <w:szCs w:val="18"/>
                    </w:rPr>
                  </w:pPr>
                </w:p>
              </w:tc>
            </w:tr>
            <w:tr w14:paraId="70B72C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17DD8606">
                  <w:pPr>
                    <w:jc w:val="center"/>
                    <w:rPr>
                      <w:color w:val="auto"/>
                      <w:sz w:val="18"/>
                      <w:szCs w:val="18"/>
                    </w:rPr>
                  </w:pPr>
                </w:p>
              </w:tc>
              <w:tc>
                <w:tcPr>
                  <w:tcW w:w="809" w:type="dxa"/>
                  <w:vMerge w:val="continue"/>
                  <w:vAlign w:val="center"/>
                </w:tcPr>
                <w:p w14:paraId="286B4F4D">
                  <w:pPr>
                    <w:jc w:val="center"/>
                    <w:rPr>
                      <w:snapToGrid w:val="0"/>
                      <w:color w:val="auto"/>
                      <w:sz w:val="18"/>
                      <w:szCs w:val="18"/>
                    </w:rPr>
                  </w:pPr>
                </w:p>
              </w:tc>
              <w:tc>
                <w:tcPr>
                  <w:tcW w:w="1506" w:type="dxa"/>
                  <w:vAlign w:val="center"/>
                </w:tcPr>
                <w:p w14:paraId="37CDFC83">
                  <w:pPr>
                    <w:jc w:val="center"/>
                    <w:rPr>
                      <w:color w:val="auto"/>
                      <w:sz w:val="18"/>
                      <w:szCs w:val="18"/>
                    </w:rPr>
                  </w:pPr>
                  <w:r>
                    <w:rPr>
                      <w:rFonts w:hint="eastAsia"/>
                      <w:color w:val="auto"/>
                      <w:sz w:val="18"/>
                      <w:szCs w:val="18"/>
                    </w:rPr>
                    <w:t>N,N-二甲基甲酰胺</w:t>
                  </w:r>
                </w:p>
              </w:tc>
              <w:tc>
                <w:tcPr>
                  <w:tcW w:w="2052" w:type="dxa"/>
                  <w:vAlign w:val="center"/>
                </w:tcPr>
                <w:p w14:paraId="745D08A0">
                  <w:pPr>
                    <w:jc w:val="center"/>
                    <w:rPr>
                      <w:color w:val="auto"/>
                      <w:sz w:val="18"/>
                      <w:szCs w:val="18"/>
                    </w:rPr>
                  </w:pPr>
                  <w:r>
                    <w:rPr>
                      <w:rFonts w:hint="eastAsia"/>
                      <w:color w:val="auto"/>
                      <w:sz w:val="18"/>
                      <w:szCs w:val="18"/>
                    </w:rPr>
                    <w:t>99.5%，AR，</w:t>
                  </w:r>
                  <w:r>
                    <w:rPr>
                      <w:rFonts w:eastAsia="Helvetica"/>
                      <w:color w:val="auto"/>
                      <w:sz w:val="18"/>
                      <w:szCs w:val="18"/>
                      <w:shd w:val="clear" w:color="auto" w:fill="FFFFFF"/>
                    </w:rPr>
                    <w:t>C</w:t>
                  </w:r>
                  <w:r>
                    <w:rPr>
                      <w:rFonts w:eastAsia="Helvetica"/>
                      <w:color w:val="auto"/>
                      <w:sz w:val="18"/>
                      <w:szCs w:val="18"/>
                      <w:shd w:val="clear" w:color="auto" w:fill="FFFFFF"/>
                      <w:vertAlign w:val="subscript"/>
                    </w:rPr>
                    <w:t>3</w:t>
                  </w:r>
                  <w:r>
                    <w:rPr>
                      <w:rFonts w:eastAsia="Helvetica"/>
                      <w:color w:val="auto"/>
                      <w:sz w:val="18"/>
                      <w:szCs w:val="18"/>
                      <w:shd w:val="clear" w:color="auto" w:fill="FFFFFF"/>
                    </w:rPr>
                    <w:t>H</w:t>
                  </w:r>
                  <w:r>
                    <w:rPr>
                      <w:rFonts w:eastAsia="Helvetica"/>
                      <w:color w:val="auto"/>
                      <w:sz w:val="18"/>
                      <w:szCs w:val="18"/>
                      <w:shd w:val="clear" w:color="auto" w:fill="FFFFFF"/>
                      <w:vertAlign w:val="subscript"/>
                    </w:rPr>
                    <w:t>7</w:t>
                  </w:r>
                  <w:r>
                    <w:rPr>
                      <w:rFonts w:eastAsia="Helvetica"/>
                      <w:color w:val="auto"/>
                      <w:sz w:val="18"/>
                      <w:szCs w:val="18"/>
                      <w:shd w:val="clear" w:color="auto" w:fill="FFFFFF"/>
                    </w:rPr>
                    <w:t>NO</w:t>
                  </w:r>
                </w:p>
              </w:tc>
              <w:tc>
                <w:tcPr>
                  <w:tcW w:w="762" w:type="dxa"/>
                  <w:vAlign w:val="center"/>
                </w:tcPr>
                <w:p w14:paraId="3020D691">
                  <w:pPr>
                    <w:jc w:val="center"/>
                    <w:rPr>
                      <w:color w:val="auto"/>
                      <w:sz w:val="18"/>
                      <w:szCs w:val="18"/>
                    </w:rPr>
                  </w:pPr>
                  <w:r>
                    <w:rPr>
                      <w:rFonts w:hint="eastAsia"/>
                      <w:color w:val="auto"/>
                      <w:sz w:val="18"/>
                      <w:szCs w:val="18"/>
                    </w:rPr>
                    <w:t>4</w:t>
                  </w:r>
                </w:p>
              </w:tc>
              <w:tc>
                <w:tcPr>
                  <w:tcW w:w="817" w:type="dxa"/>
                  <w:vAlign w:val="center"/>
                </w:tcPr>
                <w:p w14:paraId="76D436A3">
                  <w:pPr>
                    <w:jc w:val="center"/>
                    <w:rPr>
                      <w:color w:val="auto"/>
                      <w:sz w:val="18"/>
                      <w:szCs w:val="18"/>
                    </w:rPr>
                  </w:pPr>
                  <w:r>
                    <w:rPr>
                      <w:rFonts w:hint="eastAsia"/>
                      <w:color w:val="auto"/>
                      <w:sz w:val="18"/>
                      <w:szCs w:val="18"/>
                    </w:rPr>
                    <w:t>2</w:t>
                  </w:r>
                </w:p>
              </w:tc>
              <w:tc>
                <w:tcPr>
                  <w:tcW w:w="1387" w:type="dxa"/>
                  <w:vAlign w:val="center"/>
                </w:tcPr>
                <w:p w14:paraId="464113BC">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499EEB56">
                  <w:pPr>
                    <w:pStyle w:val="4"/>
                    <w:spacing w:before="0" w:after="0" w:line="240" w:lineRule="auto"/>
                    <w:jc w:val="center"/>
                    <w:rPr>
                      <w:b w:val="0"/>
                      <w:bCs w:val="0"/>
                      <w:color w:val="auto"/>
                      <w:sz w:val="18"/>
                      <w:szCs w:val="18"/>
                    </w:rPr>
                  </w:pPr>
                </w:p>
              </w:tc>
            </w:tr>
            <w:tr w14:paraId="608ABC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3E32A6FB">
                  <w:pPr>
                    <w:jc w:val="center"/>
                    <w:rPr>
                      <w:color w:val="auto"/>
                      <w:sz w:val="18"/>
                      <w:szCs w:val="18"/>
                    </w:rPr>
                  </w:pPr>
                </w:p>
              </w:tc>
              <w:tc>
                <w:tcPr>
                  <w:tcW w:w="809" w:type="dxa"/>
                  <w:vMerge w:val="continue"/>
                  <w:vAlign w:val="center"/>
                </w:tcPr>
                <w:p w14:paraId="383CB07E">
                  <w:pPr>
                    <w:jc w:val="center"/>
                    <w:rPr>
                      <w:snapToGrid w:val="0"/>
                      <w:color w:val="auto"/>
                      <w:sz w:val="18"/>
                      <w:szCs w:val="18"/>
                    </w:rPr>
                  </w:pPr>
                </w:p>
              </w:tc>
              <w:tc>
                <w:tcPr>
                  <w:tcW w:w="1506" w:type="dxa"/>
                  <w:vAlign w:val="center"/>
                </w:tcPr>
                <w:p w14:paraId="0B4BAC4A">
                  <w:pPr>
                    <w:jc w:val="center"/>
                    <w:rPr>
                      <w:color w:val="auto"/>
                      <w:sz w:val="18"/>
                      <w:szCs w:val="18"/>
                    </w:rPr>
                  </w:pPr>
                  <w:r>
                    <w:rPr>
                      <w:rFonts w:hint="eastAsia"/>
                      <w:color w:val="auto"/>
                      <w:sz w:val="18"/>
                      <w:szCs w:val="18"/>
                    </w:rPr>
                    <w:t>二甲基乙酰胺</w:t>
                  </w:r>
                </w:p>
              </w:tc>
              <w:tc>
                <w:tcPr>
                  <w:tcW w:w="2052" w:type="dxa"/>
                  <w:vAlign w:val="center"/>
                </w:tcPr>
                <w:p w14:paraId="711D568A">
                  <w:pPr>
                    <w:jc w:val="center"/>
                    <w:rPr>
                      <w:color w:val="auto"/>
                      <w:sz w:val="18"/>
                      <w:szCs w:val="18"/>
                    </w:rPr>
                  </w:pPr>
                  <w:r>
                    <w:rPr>
                      <w:rFonts w:hint="eastAsia"/>
                      <w:color w:val="auto"/>
                      <w:sz w:val="18"/>
                      <w:szCs w:val="18"/>
                    </w:rPr>
                    <w:t>99.5%，AR，</w:t>
                  </w:r>
                  <w:r>
                    <w:rPr>
                      <w:rFonts w:eastAsia="Helvetica"/>
                      <w:color w:val="auto"/>
                      <w:sz w:val="18"/>
                      <w:szCs w:val="18"/>
                      <w:shd w:val="clear" w:color="auto" w:fill="FFFFFF"/>
                    </w:rPr>
                    <w:t>C</w:t>
                  </w:r>
                  <w:r>
                    <w:rPr>
                      <w:rFonts w:eastAsia="Helvetica"/>
                      <w:color w:val="auto"/>
                      <w:sz w:val="18"/>
                      <w:szCs w:val="18"/>
                      <w:shd w:val="clear" w:color="auto" w:fill="FFFFFF"/>
                      <w:vertAlign w:val="subscript"/>
                    </w:rPr>
                    <w:t>4</w:t>
                  </w:r>
                  <w:r>
                    <w:rPr>
                      <w:rFonts w:eastAsia="Helvetica"/>
                      <w:color w:val="auto"/>
                      <w:sz w:val="18"/>
                      <w:szCs w:val="18"/>
                      <w:shd w:val="clear" w:color="auto" w:fill="FFFFFF"/>
                    </w:rPr>
                    <w:t>H</w:t>
                  </w:r>
                  <w:r>
                    <w:rPr>
                      <w:rFonts w:eastAsia="Helvetica"/>
                      <w:color w:val="auto"/>
                      <w:sz w:val="18"/>
                      <w:szCs w:val="18"/>
                      <w:shd w:val="clear" w:color="auto" w:fill="FFFFFF"/>
                      <w:vertAlign w:val="subscript"/>
                    </w:rPr>
                    <w:t>9</w:t>
                  </w:r>
                  <w:r>
                    <w:rPr>
                      <w:rFonts w:eastAsia="Helvetica"/>
                      <w:color w:val="auto"/>
                      <w:sz w:val="18"/>
                      <w:szCs w:val="18"/>
                      <w:shd w:val="clear" w:color="auto" w:fill="FFFFFF"/>
                    </w:rPr>
                    <w:t>NO</w:t>
                  </w:r>
                </w:p>
              </w:tc>
              <w:tc>
                <w:tcPr>
                  <w:tcW w:w="762" w:type="dxa"/>
                  <w:vAlign w:val="center"/>
                </w:tcPr>
                <w:p w14:paraId="0D8DED2A">
                  <w:pPr>
                    <w:jc w:val="center"/>
                    <w:rPr>
                      <w:color w:val="auto"/>
                      <w:sz w:val="18"/>
                      <w:szCs w:val="18"/>
                    </w:rPr>
                  </w:pPr>
                  <w:r>
                    <w:rPr>
                      <w:rFonts w:hint="eastAsia"/>
                      <w:color w:val="auto"/>
                      <w:sz w:val="18"/>
                      <w:szCs w:val="18"/>
                    </w:rPr>
                    <w:t>4</w:t>
                  </w:r>
                </w:p>
              </w:tc>
              <w:tc>
                <w:tcPr>
                  <w:tcW w:w="817" w:type="dxa"/>
                  <w:vAlign w:val="center"/>
                </w:tcPr>
                <w:p w14:paraId="18D00FA5">
                  <w:pPr>
                    <w:jc w:val="center"/>
                    <w:rPr>
                      <w:color w:val="auto"/>
                      <w:sz w:val="18"/>
                      <w:szCs w:val="18"/>
                    </w:rPr>
                  </w:pPr>
                  <w:r>
                    <w:rPr>
                      <w:rFonts w:hint="eastAsia"/>
                      <w:color w:val="auto"/>
                      <w:sz w:val="18"/>
                      <w:szCs w:val="18"/>
                    </w:rPr>
                    <w:t>2</w:t>
                  </w:r>
                </w:p>
              </w:tc>
              <w:tc>
                <w:tcPr>
                  <w:tcW w:w="1387" w:type="dxa"/>
                  <w:vAlign w:val="center"/>
                </w:tcPr>
                <w:p w14:paraId="00F4E6F1">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4E4C4F4B">
                  <w:pPr>
                    <w:pStyle w:val="4"/>
                    <w:spacing w:before="0" w:after="0" w:line="240" w:lineRule="auto"/>
                    <w:jc w:val="center"/>
                    <w:rPr>
                      <w:b w:val="0"/>
                      <w:bCs w:val="0"/>
                      <w:color w:val="auto"/>
                      <w:sz w:val="18"/>
                      <w:szCs w:val="18"/>
                    </w:rPr>
                  </w:pPr>
                </w:p>
              </w:tc>
            </w:tr>
            <w:tr w14:paraId="4A8105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494524C8">
                  <w:pPr>
                    <w:jc w:val="center"/>
                    <w:rPr>
                      <w:color w:val="auto"/>
                      <w:sz w:val="18"/>
                      <w:szCs w:val="18"/>
                    </w:rPr>
                  </w:pPr>
                </w:p>
              </w:tc>
              <w:tc>
                <w:tcPr>
                  <w:tcW w:w="809" w:type="dxa"/>
                  <w:vMerge w:val="continue"/>
                  <w:vAlign w:val="center"/>
                </w:tcPr>
                <w:p w14:paraId="7CA0F541">
                  <w:pPr>
                    <w:jc w:val="center"/>
                    <w:rPr>
                      <w:snapToGrid w:val="0"/>
                      <w:color w:val="auto"/>
                      <w:sz w:val="18"/>
                      <w:szCs w:val="18"/>
                    </w:rPr>
                  </w:pPr>
                </w:p>
              </w:tc>
              <w:tc>
                <w:tcPr>
                  <w:tcW w:w="1506" w:type="dxa"/>
                  <w:vAlign w:val="center"/>
                </w:tcPr>
                <w:p w14:paraId="45EDAE55">
                  <w:pPr>
                    <w:jc w:val="center"/>
                    <w:rPr>
                      <w:color w:val="auto"/>
                      <w:sz w:val="18"/>
                      <w:szCs w:val="18"/>
                    </w:rPr>
                  </w:pPr>
                  <w:r>
                    <w:rPr>
                      <w:rFonts w:hint="eastAsia"/>
                      <w:color w:val="auto"/>
                      <w:sz w:val="18"/>
                      <w:szCs w:val="18"/>
                    </w:rPr>
                    <w:t>二氧六环</w:t>
                  </w:r>
                </w:p>
              </w:tc>
              <w:tc>
                <w:tcPr>
                  <w:tcW w:w="2052" w:type="dxa"/>
                  <w:vAlign w:val="center"/>
                </w:tcPr>
                <w:p w14:paraId="4A45C620">
                  <w:pPr>
                    <w:jc w:val="center"/>
                    <w:rPr>
                      <w:color w:val="auto"/>
                      <w:sz w:val="18"/>
                      <w:szCs w:val="18"/>
                    </w:rPr>
                  </w:pPr>
                  <w:r>
                    <w:rPr>
                      <w:rFonts w:hint="eastAsia"/>
                      <w:color w:val="auto"/>
                      <w:sz w:val="18"/>
                      <w:szCs w:val="18"/>
                    </w:rPr>
                    <w:t>99.0%，AR，</w:t>
                  </w:r>
                  <w:r>
                    <w:rPr>
                      <w:rFonts w:eastAsia="Helvetica"/>
                      <w:color w:val="auto"/>
                      <w:sz w:val="18"/>
                      <w:szCs w:val="18"/>
                      <w:shd w:val="clear" w:color="auto" w:fill="FFFFFF"/>
                    </w:rPr>
                    <w:t>C</w:t>
                  </w:r>
                  <w:r>
                    <w:rPr>
                      <w:rFonts w:eastAsia="Helvetica"/>
                      <w:color w:val="auto"/>
                      <w:sz w:val="18"/>
                      <w:szCs w:val="18"/>
                      <w:shd w:val="clear" w:color="auto" w:fill="FFFFFF"/>
                      <w:vertAlign w:val="subscript"/>
                    </w:rPr>
                    <w:t>4</w:t>
                  </w:r>
                  <w:r>
                    <w:rPr>
                      <w:rFonts w:eastAsia="Helvetica"/>
                      <w:color w:val="auto"/>
                      <w:sz w:val="18"/>
                      <w:szCs w:val="18"/>
                      <w:shd w:val="clear" w:color="auto" w:fill="FFFFFF"/>
                    </w:rPr>
                    <w:t>H</w:t>
                  </w:r>
                  <w:r>
                    <w:rPr>
                      <w:rFonts w:eastAsia="Helvetica"/>
                      <w:color w:val="auto"/>
                      <w:sz w:val="18"/>
                      <w:szCs w:val="18"/>
                      <w:shd w:val="clear" w:color="auto" w:fill="FFFFFF"/>
                      <w:vertAlign w:val="subscript"/>
                    </w:rPr>
                    <w:t>8</w:t>
                  </w:r>
                  <w:r>
                    <w:rPr>
                      <w:rFonts w:eastAsia="Helvetica"/>
                      <w:color w:val="auto"/>
                      <w:sz w:val="18"/>
                      <w:szCs w:val="18"/>
                      <w:shd w:val="clear" w:color="auto" w:fill="FFFFFF"/>
                    </w:rPr>
                    <w:t>O</w:t>
                  </w:r>
                  <w:r>
                    <w:rPr>
                      <w:rFonts w:eastAsia="Helvetica"/>
                      <w:color w:val="auto"/>
                      <w:sz w:val="18"/>
                      <w:szCs w:val="18"/>
                      <w:shd w:val="clear" w:color="auto" w:fill="FFFFFF"/>
                      <w:vertAlign w:val="subscript"/>
                    </w:rPr>
                    <w:t>2</w:t>
                  </w:r>
                </w:p>
              </w:tc>
              <w:tc>
                <w:tcPr>
                  <w:tcW w:w="762" w:type="dxa"/>
                  <w:vAlign w:val="center"/>
                </w:tcPr>
                <w:p w14:paraId="71CE8BE5">
                  <w:pPr>
                    <w:jc w:val="center"/>
                    <w:rPr>
                      <w:color w:val="auto"/>
                      <w:sz w:val="18"/>
                      <w:szCs w:val="18"/>
                    </w:rPr>
                  </w:pPr>
                  <w:r>
                    <w:rPr>
                      <w:rFonts w:hint="eastAsia"/>
                      <w:color w:val="auto"/>
                      <w:sz w:val="18"/>
                      <w:szCs w:val="18"/>
                    </w:rPr>
                    <w:t>3</w:t>
                  </w:r>
                </w:p>
              </w:tc>
              <w:tc>
                <w:tcPr>
                  <w:tcW w:w="817" w:type="dxa"/>
                  <w:vAlign w:val="center"/>
                </w:tcPr>
                <w:p w14:paraId="1BD9BAF7">
                  <w:pPr>
                    <w:jc w:val="center"/>
                    <w:rPr>
                      <w:color w:val="auto"/>
                      <w:sz w:val="18"/>
                      <w:szCs w:val="18"/>
                    </w:rPr>
                  </w:pPr>
                  <w:r>
                    <w:rPr>
                      <w:rFonts w:hint="eastAsia"/>
                      <w:color w:val="auto"/>
                      <w:sz w:val="18"/>
                      <w:szCs w:val="18"/>
                    </w:rPr>
                    <w:t>2</w:t>
                  </w:r>
                </w:p>
              </w:tc>
              <w:tc>
                <w:tcPr>
                  <w:tcW w:w="1387" w:type="dxa"/>
                  <w:vAlign w:val="center"/>
                </w:tcPr>
                <w:p w14:paraId="0AE6696E">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44675051">
                  <w:pPr>
                    <w:pStyle w:val="4"/>
                    <w:spacing w:before="0" w:after="0" w:line="240" w:lineRule="auto"/>
                    <w:jc w:val="center"/>
                    <w:rPr>
                      <w:b w:val="0"/>
                      <w:bCs w:val="0"/>
                      <w:color w:val="auto"/>
                      <w:sz w:val="18"/>
                      <w:szCs w:val="18"/>
                    </w:rPr>
                  </w:pPr>
                </w:p>
              </w:tc>
            </w:tr>
            <w:tr w14:paraId="34E987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52BBC8D3">
                  <w:pPr>
                    <w:jc w:val="center"/>
                    <w:rPr>
                      <w:color w:val="auto"/>
                      <w:sz w:val="18"/>
                      <w:szCs w:val="18"/>
                    </w:rPr>
                  </w:pPr>
                </w:p>
              </w:tc>
              <w:tc>
                <w:tcPr>
                  <w:tcW w:w="809" w:type="dxa"/>
                  <w:vMerge w:val="continue"/>
                  <w:vAlign w:val="center"/>
                </w:tcPr>
                <w:p w14:paraId="091426A4">
                  <w:pPr>
                    <w:jc w:val="center"/>
                    <w:rPr>
                      <w:snapToGrid w:val="0"/>
                      <w:color w:val="auto"/>
                      <w:sz w:val="18"/>
                      <w:szCs w:val="18"/>
                    </w:rPr>
                  </w:pPr>
                </w:p>
              </w:tc>
              <w:tc>
                <w:tcPr>
                  <w:tcW w:w="1506" w:type="dxa"/>
                  <w:vAlign w:val="center"/>
                </w:tcPr>
                <w:p w14:paraId="651B08D7">
                  <w:pPr>
                    <w:jc w:val="center"/>
                    <w:rPr>
                      <w:color w:val="auto"/>
                      <w:sz w:val="18"/>
                      <w:szCs w:val="18"/>
                    </w:rPr>
                  </w:pPr>
                  <w:r>
                    <w:rPr>
                      <w:rFonts w:hint="eastAsia"/>
                      <w:color w:val="auto"/>
                      <w:sz w:val="18"/>
                      <w:szCs w:val="18"/>
                    </w:rPr>
                    <w:t>乳酸</w:t>
                  </w:r>
                </w:p>
              </w:tc>
              <w:tc>
                <w:tcPr>
                  <w:tcW w:w="2052" w:type="dxa"/>
                  <w:vAlign w:val="center"/>
                </w:tcPr>
                <w:p w14:paraId="592F00D6">
                  <w:pPr>
                    <w:jc w:val="center"/>
                    <w:rPr>
                      <w:color w:val="auto"/>
                      <w:sz w:val="18"/>
                      <w:szCs w:val="18"/>
                    </w:rPr>
                  </w:pPr>
                  <w:r>
                    <w:rPr>
                      <w:rFonts w:hint="eastAsia"/>
                      <w:color w:val="auto"/>
                      <w:sz w:val="18"/>
                      <w:szCs w:val="18"/>
                    </w:rPr>
                    <w:t>85.0%，AR，</w:t>
                  </w:r>
                  <w:r>
                    <w:rPr>
                      <w:rFonts w:eastAsia="Helvetica"/>
                      <w:color w:val="auto"/>
                      <w:sz w:val="18"/>
                      <w:szCs w:val="18"/>
                      <w:shd w:val="clear" w:color="auto" w:fill="FFFFFF"/>
                    </w:rPr>
                    <w:t>C</w:t>
                  </w:r>
                  <w:r>
                    <w:rPr>
                      <w:rFonts w:eastAsia="Helvetica"/>
                      <w:color w:val="auto"/>
                      <w:sz w:val="18"/>
                      <w:szCs w:val="18"/>
                      <w:shd w:val="clear" w:color="auto" w:fill="FFFFFF"/>
                      <w:vertAlign w:val="subscript"/>
                    </w:rPr>
                    <w:t>3</w:t>
                  </w:r>
                  <w:r>
                    <w:rPr>
                      <w:rFonts w:eastAsia="Helvetica"/>
                      <w:color w:val="auto"/>
                      <w:sz w:val="18"/>
                      <w:szCs w:val="18"/>
                      <w:shd w:val="clear" w:color="auto" w:fill="FFFFFF"/>
                    </w:rPr>
                    <w:t>H</w:t>
                  </w:r>
                  <w:r>
                    <w:rPr>
                      <w:rFonts w:eastAsia="Helvetica"/>
                      <w:color w:val="auto"/>
                      <w:sz w:val="18"/>
                      <w:szCs w:val="18"/>
                      <w:shd w:val="clear" w:color="auto" w:fill="FFFFFF"/>
                      <w:vertAlign w:val="subscript"/>
                    </w:rPr>
                    <w:t>6</w:t>
                  </w:r>
                  <w:r>
                    <w:rPr>
                      <w:rFonts w:eastAsia="Helvetica"/>
                      <w:color w:val="auto"/>
                      <w:sz w:val="18"/>
                      <w:szCs w:val="18"/>
                      <w:shd w:val="clear" w:color="auto" w:fill="FFFFFF"/>
                    </w:rPr>
                    <w:t>O</w:t>
                  </w:r>
                  <w:r>
                    <w:rPr>
                      <w:rFonts w:eastAsia="Helvetica"/>
                      <w:color w:val="auto"/>
                      <w:sz w:val="18"/>
                      <w:szCs w:val="18"/>
                      <w:shd w:val="clear" w:color="auto" w:fill="FFFFFF"/>
                      <w:vertAlign w:val="subscript"/>
                    </w:rPr>
                    <w:t>3</w:t>
                  </w:r>
                </w:p>
              </w:tc>
              <w:tc>
                <w:tcPr>
                  <w:tcW w:w="762" w:type="dxa"/>
                  <w:vAlign w:val="center"/>
                </w:tcPr>
                <w:p w14:paraId="7B3FFEAF">
                  <w:pPr>
                    <w:jc w:val="center"/>
                    <w:rPr>
                      <w:color w:val="auto"/>
                      <w:sz w:val="18"/>
                      <w:szCs w:val="18"/>
                    </w:rPr>
                  </w:pPr>
                  <w:r>
                    <w:rPr>
                      <w:rFonts w:hint="eastAsia"/>
                      <w:color w:val="auto"/>
                      <w:sz w:val="18"/>
                      <w:szCs w:val="18"/>
                    </w:rPr>
                    <w:t>2</w:t>
                  </w:r>
                </w:p>
              </w:tc>
              <w:tc>
                <w:tcPr>
                  <w:tcW w:w="817" w:type="dxa"/>
                  <w:vAlign w:val="center"/>
                </w:tcPr>
                <w:p w14:paraId="611A83D2">
                  <w:pPr>
                    <w:jc w:val="center"/>
                    <w:rPr>
                      <w:color w:val="auto"/>
                      <w:sz w:val="18"/>
                      <w:szCs w:val="18"/>
                    </w:rPr>
                  </w:pPr>
                  <w:r>
                    <w:rPr>
                      <w:rFonts w:hint="eastAsia"/>
                      <w:color w:val="auto"/>
                      <w:sz w:val="18"/>
                      <w:szCs w:val="18"/>
                    </w:rPr>
                    <w:t>1</w:t>
                  </w:r>
                </w:p>
              </w:tc>
              <w:tc>
                <w:tcPr>
                  <w:tcW w:w="1387" w:type="dxa"/>
                  <w:vAlign w:val="center"/>
                </w:tcPr>
                <w:p w14:paraId="5140000E">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1F4F0117">
                  <w:pPr>
                    <w:pStyle w:val="4"/>
                    <w:spacing w:before="0" w:after="0" w:line="240" w:lineRule="auto"/>
                    <w:jc w:val="center"/>
                    <w:rPr>
                      <w:b w:val="0"/>
                      <w:bCs w:val="0"/>
                      <w:color w:val="auto"/>
                      <w:sz w:val="18"/>
                      <w:szCs w:val="18"/>
                    </w:rPr>
                  </w:pPr>
                </w:p>
              </w:tc>
            </w:tr>
            <w:tr w14:paraId="38515B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91" w:hRule="atLeast"/>
                <w:jc w:val="center"/>
              </w:trPr>
              <w:tc>
                <w:tcPr>
                  <w:tcW w:w="669" w:type="dxa"/>
                  <w:vMerge w:val="continue"/>
                  <w:vAlign w:val="center"/>
                </w:tcPr>
                <w:p w14:paraId="7DF96F4A">
                  <w:pPr>
                    <w:jc w:val="center"/>
                    <w:rPr>
                      <w:color w:val="auto"/>
                      <w:sz w:val="18"/>
                      <w:szCs w:val="18"/>
                    </w:rPr>
                  </w:pPr>
                </w:p>
              </w:tc>
              <w:tc>
                <w:tcPr>
                  <w:tcW w:w="809" w:type="dxa"/>
                  <w:vMerge w:val="continue"/>
                  <w:vAlign w:val="center"/>
                </w:tcPr>
                <w:p w14:paraId="652F588D">
                  <w:pPr>
                    <w:jc w:val="center"/>
                    <w:rPr>
                      <w:snapToGrid w:val="0"/>
                      <w:color w:val="auto"/>
                      <w:sz w:val="18"/>
                      <w:szCs w:val="18"/>
                    </w:rPr>
                  </w:pPr>
                </w:p>
              </w:tc>
              <w:tc>
                <w:tcPr>
                  <w:tcW w:w="1506" w:type="dxa"/>
                  <w:vAlign w:val="center"/>
                </w:tcPr>
                <w:p w14:paraId="6464FE00">
                  <w:pPr>
                    <w:jc w:val="center"/>
                    <w:rPr>
                      <w:color w:val="auto"/>
                      <w:sz w:val="18"/>
                      <w:szCs w:val="18"/>
                    </w:rPr>
                  </w:pPr>
                  <w:r>
                    <w:rPr>
                      <w:rFonts w:hint="eastAsia"/>
                      <w:color w:val="auto"/>
                      <w:sz w:val="18"/>
                      <w:szCs w:val="18"/>
                    </w:rPr>
                    <w:t>异丙苯</w:t>
                  </w:r>
                </w:p>
              </w:tc>
              <w:tc>
                <w:tcPr>
                  <w:tcW w:w="2052" w:type="dxa"/>
                  <w:vAlign w:val="center"/>
                </w:tcPr>
                <w:p w14:paraId="11712B9B">
                  <w:pPr>
                    <w:jc w:val="center"/>
                    <w:rPr>
                      <w:color w:val="auto"/>
                      <w:sz w:val="18"/>
                      <w:szCs w:val="18"/>
                    </w:rPr>
                  </w:pPr>
                  <w:r>
                    <w:rPr>
                      <w:rFonts w:hint="eastAsia"/>
                      <w:color w:val="auto"/>
                      <w:sz w:val="18"/>
                      <w:szCs w:val="18"/>
                    </w:rPr>
                    <w:t>99.9%，AR，</w:t>
                  </w:r>
                  <w:r>
                    <w:rPr>
                      <w:rFonts w:eastAsia="Helvetica"/>
                      <w:color w:val="auto"/>
                      <w:sz w:val="18"/>
                      <w:szCs w:val="18"/>
                      <w:shd w:val="clear" w:color="auto" w:fill="FFFFFF"/>
                    </w:rPr>
                    <w:t>C</w:t>
                  </w:r>
                  <w:r>
                    <w:rPr>
                      <w:rFonts w:eastAsia="Helvetica"/>
                      <w:color w:val="auto"/>
                      <w:sz w:val="18"/>
                      <w:szCs w:val="18"/>
                      <w:shd w:val="clear" w:color="auto" w:fill="FFFFFF"/>
                      <w:vertAlign w:val="subscript"/>
                    </w:rPr>
                    <w:t>9</w:t>
                  </w:r>
                  <w:r>
                    <w:rPr>
                      <w:rFonts w:eastAsia="Helvetica"/>
                      <w:color w:val="auto"/>
                      <w:sz w:val="18"/>
                      <w:szCs w:val="18"/>
                      <w:shd w:val="clear" w:color="auto" w:fill="FFFFFF"/>
                    </w:rPr>
                    <w:t>H</w:t>
                  </w:r>
                  <w:r>
                    <w:rPr>
                      <w:rFonts w:eastAsia="Helvetica"/>
                      <w:color w:val="auto"/>
                      <w:sz w:val="18"/>
                      <w:szCs w:val="18"/>
                      <w:shd w:val="clear" w:color="auto" w:fill="FFFFFF"/>
                      <w:vertAlign w:val="subscript"/>
                    </w:rPr>
                    <w:t>12</w:t>
                  </w:r>
                </w:p>
              </w:tc>
              <w:tc>
                <w:tcPr>
                  <w:tcW w:w="762" w:type="dxa"/>
                  <w:vAlign w:val="center"/>
                </w:tcPr>
                <w:p w14:paraId="3DA29879">
                  <w:pPr>
                    <w:jc w:val="center"/>
                    <w:rPr>
                      <w:color w:val="auto"/>
                      <w:sz w:val="18"/>
                      <w:szCs w:val="18"/>
                    </w:rPr>
                  </w:pPr>
                  <w:r>
                    <w:rPr>
                      <w:rFonts w:hint="eastAsia"/>
                      <w:color w:val="auto"/>
                      <w:sz w:val="18"/>
                      <w:szCs w:val="18"/>
                    </w:rPr>
                    <w:t>2</w:t>
                  </w:r>
                </w:p>
              </w:tc>
              <w:tc>
                <w:tcPr>
                  <w:tcW w:w="817" w:type="dxa"/>
                  <w:vAlign w:val="center"/>
                </w:tcPr>
                <w:p w14:paraId="21C03885">
                  <w:pPr>
                    <w:jc w:val="center"/>
                    <w:rPr>
                      <w:color w:val="auto"/>
                      <w:sz w:val="18"/>
                      <w:szCs w:val="18"/>
                    </w:rPr>
                  </w:pPr>
                  <w:r>
                    <w:rPr>
                      <w:rFonts w:hint="eastAsia"/>
                      <w:color w:val="auto"/>
                      <w:sz w:val="18"/>
                      <w:szCs w:val="18"/>
                    </w:rPr>
                    <w:t>1</w:t>
                  </w:r>
                </w:p>
              </w:tc>
              <w:tc>
                <w:tcPr>
                  <w:tcW w:w="1387" w:type="dxa"/>
                  <w:vAlign w:val="center"/>
                </w:tcPr>
                <w:p w14:paraId="664502A2">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0082E329">
                  <w:pPr>
                    <w:pStyle w:val="4"/>
                    <w:spacing w:before="0" w:after="0" w:line="240" w:lineRule="auto"/>
                    <w:jc w:val="center"/>
                    <w:rPr>
                      <w:b w:val="0"/>
                      <w:bCs w:val="0"/>
                      <w:color w:val="auto"/>
                      <w:sz w:val="18"/>
                      <w:szCs w:val="18"/>
                    </w:rPr>
                  </w:pPr>
                </w:p>
              </w:tc>
            </w:tr>
            <w:tr w14:paraId="53BEDF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92" w:hRule="atLeast"/>
                <w:jc w:val="center"/>
              </w:trPr>
              <w:tc>
                <w:tcPr>
                  <w:tcW w:w="669" w:type="dxa"/>
                  <w:vMerge w:val="continue"/>
                  <w:vAlign w:val="center"/>
                </w:tcPr>
                <w:p w14:paraId="242AAC7F">
                  <w:pPr>
                    <w:jc w:val="center"/>
                    <w:rPr>
                      <w:color w:val="auto"/>
                      <w:sz w:val="18"/>
                      <w:szCs w:val="18"/>
                    </w:rPr>
                  </w:pPr>
                </w:p>
              </w:tc>
              <w:tc>
                <w:tcPr>
                  <w:tcW w:w="809" w:type="dxa"/>
                  <w:vMerge w:val="continue"/>
                  <w:vAlign w:val="center"/>
                </w:tcPr>
                <w:p w14:paraId="14283B70">
                  <w:pPr>
                    <w:jc w:val="center"/>
                    <w:rPr>
                      <w:snapToGrid w:val="0"/>
                      <w:color w:val="auto"/>
                      <w:sz w:val="18"/>
                      <w:szCs w:val="18"/>
                    </w:rPr>
                  </w:pPr>
                </w:p>
              </w:tc>
              <w:tc>
                <w:tcPr>
                  <w:tcW w:w="1506" w:type="dxa"/>
                  <w:vAlign w:val="center"/>
                </w:tcPr>
                <w:p w14:paraId="667CED1C">
                  <w:pPr>
                    <w:jc w:val="center"/>
                    <w:rPr>
                      <w:color w:val="auto"/>
                      <w:sz w:val="18"/>
                      <w:szCs w:val="18"/>
                    </w:rPr>
                  </w:pPr>
                  <w:r>
                    <w:rPr>
                      <w:rFonts w:hint="eastAsia"/>
                      <w:color w:val="auto"/>
                      <w:sz w:val="18"/>
                      <w:szCs w:val="18"/>
                    </w:rPr>
                    <w:t>对二甲苯</w:t>
                  </w:r>
                </w:p>
              </w:tc>
              <w:tc>
                <w:tcPr>
                  <w:tcW w:w="2052" w:type="dxa"/>
                  <w:vAlign w:val="center"/>
                </w:tcPr>
                <w:p w14:paraId="61A13891">
                  <w:pPr>
                    <w:jc w:val="center"/>
                    <w:rPr>
                      <w:color w:val="auto"/>
                      <w:sz w:val="18"/>
                      <w:szCs w:val="18"/>
                    </w:rPr>
                  </w:pPr>
                  <w:r>
                    <w:rPr>
                      <w:rFonts w:hint="eastAsia"/>
                      <w:color w:val="auto"/>
                      <w:sz w:val="18"/>
                      <w:szCs w:val="18"/>
                    </w:rPr>
                    <w:t>99.0%，AR，</w:t>
                  </w:r>
                  <w:r>
                    <w:rPr>
                      <w:rFonts w:eastAsia="Helvetica"/>
                      <w:color w:val="auto"/>
                      <w:sz w:val="18"/>
                      <w:szCs w:val="18"/>
                      <w:shd w:val="clear" w:color="auto" w:fill="FFFFFF"/>
                    </w:rPr>
                    <w:t>C</w:t>
                  </w:r>
                  <w:r>
                    <w:rPr>
                      <w:rFonts w:eastAsia="Helvetica"/>
                      <w:color w:val="auto"/>
                      <w:sz w:val="18"/>
                      <w:szCs w:val="18"/>
                      <w:shd w:val="clear" w:color="auto" w:fill="FFFFFF"/>
                      <w:vertAlign w:val="subscript"/>
                    </w:rPr>
                    <w:t>8</w:t>
                  </w:r>
                  <w:r>
                    <w:rPr>
                      <w:rFonts w:eastAsia="Helvetica"/>
                      <w:color w:val="auto"/>
                      <w:sz w:val="18"/>
                      <w:szCs w:val="18"/>
                      <w:shd w:val="clear" w:color="auto" w:fill="FFFFFF"/>
                    </w:rPr>
                    <w:t>H</w:t>
                  </w:r>
                  <w:r>
                    <w:rPr>
                      <w:rFonts w:eastAsia="Helvetica"/>
                      <w:color w:val="auto"/>
                      <w:sz w:val="18"/>
                      <w:szCs w:val="18"/>
                      <w:shd w:val="clear" w:color="auto" w:fill="FFFFFF"/>
                      <w:vertAlign w:val="subscript"/>
                    </w:rPr>
                    <w:t>10</w:t>
                  </w:r>
                </w:p>
              </w:tc>
              <w:tc>
                <w:tcPr>
                  <w:tcW w:w="762" w:type="dxa"/>
                  <w:vAlign w:val="center"/>
                </w:tcPr>
                <w:p w14:paraId="0103F403">
                  <w:pPr>
                    <w:jc w:val="center"/>
                    <w:rPr>
                      <w:color w:val="auto"/>
                      <w:sz w:val="18"/>
                      <w:szCs w:val="18"/>
                    </w:rPr>
                  </w:pPr>
                  <w:r>
                    <w:rPr>
                      <w:rFonts w:hint="eastAsia"/>
                      <w:color w:val="auto"/>
                      <w:sz w:val="18"/>
                      <w:szCs w:val="18"/>
                    </w:rPr>
                    <w:t>2</w:t>
                  </w:r>
                </w:p>
              </w:tc>
              <w:tc>
                <w:tcPr>
                  <w:tcW w:w="817" w:type="dxa"/>
                  <w:vAlign w:val="center"/>
                </w:tcPr>
                <w:p w14:paraId="0FB4C8B2">
                  <w:pPr>
                    <w:jc w:val="center"/>
                    <w:rPr>
                      <w:color w:val="auto"/>
                      <w:sz w:val="18"/>
                      <w:szCs w:val="18"/>
                    </w:rPr>
                  </w:pPr>
                  <w:r>
                    <w:rPr>
                      <w:rFonts w:hint="eastAsia"/>
                      <w:color w:val="auto"/>
                      <w:sz w:val="18"/>
                      <w:szCs w:val="18"/>
                    </w:rPr>
                    <w:t>1</w:t>
                  </w:r>
                </w:p>
              </w:tc>
              <w:tc>
                <w:tcPr>
                  <w:tcW w:w="1387" w:type="dxa"/>
                  <w:vAlign w:val="center"/>
                </w:tcPr>
                <w:p w14:paraId="25841195">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56A359F5">
                  <w:pPr>
                    <w:pStyle w:val="4"/>
                    <w:spacing w:before="0" w:after="0" w:line="240" w:lineRule="auto"/>
                    <w:jc w:val="center"/>
                    <w:rPr>
                      <w:b w:val="0"/>
                      <w:bCs w:val="0"/>
                      <w:color w:val="auto"/>
                      <w:sz w:val="18"/>
                      <w:szCs w:val="18"/>
                    </w:rPr>
                  </w:pPr>
                </w:p>
              </w:tc>
            </w:tr>
            <w:tr w14:paraId="3B364F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5C917C1B">
                  <w:pPr>
                    <w:jc w:val="center"/>
                    <w:rPr>
                      <w:color w:val="auto"/>
                      <w:sz w:val="18"/>
                      <w:szCs w:val="18"/>
                    </w:rPr>
                  </w:pPr>
                </w:p>
              </w:tc>
              <w:tc>
                <w:tcPr>
                  <w:tcW w:w="809" w:type="dxa"/>
                  <w:vMerge w:val="continue"/>
                  <w:vAlign w:val="center"/>
                </w:tcPr>
                <w:p w14:paraId="5452F7A4">
                  <w:pPr>
                    <w:jc w:val="center"/>
                    <w:rPr>
                      <w:snapToGrid w:val="0"/>
                      <w:color w:val="auto"/>
                      <w:sz w:val="18"/>
                      <w:szCs w:val="18"/>
                    </w:rPr>
                  </w:pPr>
                </w:p>
              </w:tc>
              <w:tc>
                <w:tcPr>
                  <w:tcW w:w="1506" w:type="dxa"/>
                  <w:vAlign w:val="center"/>
                </w:tcPr>
                <w:p w14:paraId="0DF334A2">
                  <w:pPr>
                    <w:jc w:val="center"/>
                    <w:rPr>
                      <w:color w:val="auto"/>
                      <w:sz w:val="18"/>
                      <w:szCs w:val="18"/>
                    </w:rPr>
                  </w:pPr>
                  <w:r>
                    <w:rPr>
                      <w:rFonts w:hint="eastAsia"/>
                      <w:color w:val="auto"/>
                      <w:sz w:val="18"/>
                      <w:szCs w:val="18"/>
                    </w:rPr>
                    <w:t>邻二甲苯</w:t>
                  </w:r>
                </w:p>
              </w:tc>
              <w:tc>
                <w:tcPr>
                  <w:tcW w:w="2052" w:type="dxa"/>
                  <w:vAlign w:val="center"/>
                </w:tcPr>
                <w:p w14:paraId="4636ED76">
                  <w:pPr>
                    <w:jc w:val="center"/>
                    <w:rPr>
                      <w:color w:val="auto"/>
                      <w:sz w:val="18"/>
                      <w:szCs w:val="18"/>
                    </w:rPr>
                  </w:pPr>
                  <w:r>
                    <w:rPr>
                      <w:rFonts w:hint="eastAsia"/>
                      <w:color w:val="auto"/>
                      <w:sz w:val="18"/>
                      <w:szCs w:val="18"/>
                    </w:rPr>
                    <w:t>99.0%，AR，</w:t>
                  </w:r>
                  <w:r>
                    <w:rPr>
                      <w:rFonts w:eastAsia="Helvetica"/>
                      <w:color w:val="auto"/>
                      <w:sz w:val="18"/>
                      <w:szCs w:val="18"/>
                      <w:shd w:val="clear" w:color="auto" w:fill="FFFFFF"/>
                    </w:rPr>
                    <w:t>C</w:t>
                  </w:r>
                  <w:r>
                    <w:rPr>
                      <w:rFonts w:eastAsia="Helvetica"/>
                      <w:color w:val="auto"/>
                      <w:sz w:val="18"/>
                      <w:szCs w:val="18"/>
                      <w:shd w:val="clear" w:color="auto" w:fill="FFFFFF"/>
                      <w:vertAlign w:val="subscript"/>
                    </w:rPr>
                    <w:t>8</w:t>
                  </w:r>
                  <w:r>
                    <w:rPr>
                      <w:rFonts w:eastAsia="Helvetica"/>
                      <w:color w:val="auto"/>
                      <w:sz w:val="18"/>
                      <w:szCs w:val="18"/>
                      <w:shd w:val="clear" w:color="auto" w:fill="FFFFFF"/>
                    </w:rPr>
                    <w:t>H</w:t>
                  </w:r>
                  <w:r>
                    <w:rPr>
                      <w:rFonts w:eastAsia="Helvetica"/>
                      <w:color w:val="auto"/>
                      <w:sz w:val="18"/>
                      <w:szCs w:val="18"/>
                      <w:shd w:val="clear" w:color="auto" w:fill="FFFFFF"/>
                      <w:vertAlign w:val="subscript"/>
                    </w:rPr>
                    <w:t>10</w:t>
                  </w:r>
                </w:p>
              </w:tc>
              <w:tc>
                <w:tcPr>
                  <w:tcW w:w="762" w:type="dxa"/>
                  <w:vAlign w:val="center"/>
                </w:tcPr>
                <w:p w14:paraId="4440B410">
                  <w:pPr>
                    <w:jc w:val="center"/>
                    <w:rPr>
                      <w:color w:val="auto"/>
                      <w:sz w:val="18"/>
                      <w:szCs w:val="18"/>
                    </w:rPr>
                  </w:pPr>
                  <w:r>
                    <w:rPr>
                      <w:rFonts w:hint="eastAsia"/>
                      <w:color w:val="auto"/>
                      <w:sz w:val="18"/>
                      <w:szCs w:val="18"/>
                    </w:rPr>
                    <w:t>2</w:t>
                  </w:r>
                </w:p>
              </w:tc>
              <w:tc>
                <w:tcPr>
                  <w:tcW w:w="817" w:type="dxa"/>
                  <w:vAlign w:val="center"/>
                </w:tcPr>
                <w:p w14:paraId="0148AEBF">
                  <w:pPr>
                    <w:jc w:val="center"/>
                    <w:rPr>
                      <w:color w:val="auto"/>
                      <w:sz w:val="18"/>
                      <w:szCs w:val="18"/>
                    </w:rPr>
                  </w:pPr>
                  <w:r>
                    <w:rPr>
                      <w:rFonts w:hint="eastAsia"/>
                      <w:color w:val="auto"/>
                      <w:sz w:val="18"/>
                      <w:szCs w:val="18"/>
                    </w:rPr>
                    <w:t>1</w:t>
                  </w:r>
                </w:p>
              </w:tc>
              <w:tc>
                <w:tcPr>
                  <w:tcW w:w="1387" w:type="dxa"/>
                  <w:vAlign w:val="center"/>
                </w:tcPr>
                <w:p w14:paraId="5C647C33">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15FD8DD1">
                  <w:pPr>
                    <w:pStyle w:val="4"/>
                    <w:spacing w:before="0" w:after="0" w:line="240" w:lineRule="auto"/>
                    <w:jc w:val="center"/>
                    <w:rPr>
                      <w:b w:val="0"/>
                      <w:bCs w:val="0"/>
                      <w:color w:val="auto"/>
                      <w:sz w:val="18"/>
                      <w:szCs w:val="18"/>
                    </w:rPr>
                  </w:pPr>
                </w:p>
              </w:tc>
            </w:tr>
            <w:tr w14:paraId="4DA5E2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91" w:hRule="atLeast"/>
                <w:jc w:val="center"/>
              </w:trPr>
              <w:tc>
                <w:tcPr>
                  <w:tcW w:w="669" w:type="dxa"/>
                  <w:vMerge w:val="continue"/>
                  <w:vAlign w:val="center"/>
                </w:tcPr>
                <w:p w14:paraId="2D8E69DD">
                  <w:pPr>
                    <w:jc w:val="center"/>
                    <w:rPr>
                      <w:color w:val="auto"/>
                      <w:sz w:val="18"/>
                      <w:szCs w:val="18"/>
                    </w:rPr>
                  </w:pPr>
                </w:p>
              </w:tc>
              <w:tc>
                <w:tcPr>
                  <w:tcW w:w="809" w:type="dxa"/>
                  <w:vMerge w:val="continue"/>
                  <w:vAlign w:val="center"/>
                </w:tcPr>
                <w:p w14:paraId="4B801209">
                  <w:pPr>
                    <w:jc w:val="center"/>
                    <w:rPr>
                      <w:snapToGrid w:val="0"/>
                      <w:color w:val="auto"/>
                      <w:sz w:val="18"/>
                      <w:szCs w:val="18"/>
                    </w:rPr>
                  </w:pPr>
                </w:p>
              </w:tc>
              <w:tc>
                <w:tcPr>
                  <w:tcW w:w="1506" w:type="dxa"/>
                  <w:vAlign w:val="center"/>
                </w:tcPr>
                <w:p w14:paraId="0B40B971">
                  <w:pPr>
                    <w:jc w:val="center"/>
                    <w:rPr>
                      <w:color w:val="auto"/>
                      <w:sz w:val="18"/>
                      <w:szCs w:val="18"/>
                    </w:rPr>
                  </w:pPr>
                  <w:r>
                    <w:rPr>
                      <w:rFonts w:hint="eastAsia"/>
                      <w:color w:val="auto"/>
                      <w:sz w:val="18"/>
                      <w:szCs w:val="18"/>
                    </w:rPr>
                    <w:t>间二甲苯</w:t>
                  </w:r>
                </w:p>
              </w:tc>
              <w:tc>
                <w:tcPr>
                  <w:tcW w:w="2052" w:type="dxa"/>
                  <w:vAlign w:val="center"/>
                </w:tcPr>
                <w:p w14:paraId="4D16D32E">
                  <w:pPr>
                    <w:jc w:val="center"/>
                    <w:rPr>
                      <w:color w:val="auto"/>
                      <w:sz w:val="18"/>
                      <w:szCs w:val="18"/>
                    </w:rPr>
                  </w:pPr>
                  <w:r>
                    <w:rPr>
                      <w:rFonts w:hint="eastAsia"/>
                      <w:color w:val="auto"/>
                      <w:sz w:val="18"/>
                      <w:szCs w:val="18"/>
                    </w:rPr>
                    <w:t>99.0%，AR，</w:t>
                  </w:r>
                  <w:r>
                    <w:rPr>
                      <w:rFonts w:eastAsia="Helvetica"/>
                      <w:color w:val="auto"/>
                      <w:sz w:val="18"/>
                      <w:szCs w:val="18"/>
                      <w:shd w:val="clear" w:color="auto" w:fill="FFFFFF"/>
                    </w:rPr>
                    <w:t>C</w:t>
                  </w:r>
                  <w:r>
                    <w:rPr>
                      <w:rFonts w:eastAsia="Helvetica"/>
                      <w:color w:val="auto"/>
                      <w:sz w:val="18"/>
                      <w:szCs w:val="18"/>
                      <w:shd w:val="clear" w:color="auto" w:fill="FFFFFF"/>
                      <w:vertAlign w:val="subscript"/>
                    </w:rPr>
                    <w:t>8</w:t>
                  </w:r>
                  <w:r>
                    <w:rPr>
                      <w:rFonts w:eastAsia="Helvetica"/>
                      <w:color w:val="auto"/>
                      <w:sz w:val="18"/>
                      <w:szCs w:val="18"/>
                      <w:shd w:val="clear" w:color="auto" w:fill="FFFFFF"/>
                    </w:rPr>
                    <w:t>H</w:t>
                  </w:r>
                  <w:r>
                    <w:rPr>
                      <w:rFonts w:eastAsia="Helvetica"/>
                      <w:color w:val="auto"/>
                      <w:sz w:val="18"/>
                      <w:szCs w:val="18"/>
                      <w:shd w:val="clear" w:color="auto" w:fill="FFFFFF"/>
                      <w:vertAlign w:val="subscript"/>
                    </w:rPr>
                    <w:t>10</w:t>
                  </w:r>
                </w:p>
              </w:tc>
              <w:tc>
                <w:tcPr>
                  <w:tcW w:w="762" w:type="dxa"/>
                  <w:vAlign w:val="center"/>
                </w:tcPr>
                <w:p w14:paraId="7FB06F36">
                  <w:pPr>
                    <w:jc w:val="center"/>
                    <w:rPr>
                      <w:color w:val="auto"/>
                      <w:sz w:val="18"/>
                      <w:szCs w:val="18"/>
                    </w:rPr>
                  </w:pPr>
                  <w:r>
                    <w:rPr>
                      <w:rFonts w:hint="eastAsia"/>
                      <w:color w:val="auto"/>
                      <w:sz w:val="18"/>
                      <w:szCs w:val="18"/>
                    </w:rPr>
                    <w:t>2</w:t>
                  </w:r>
                </w:p>
              </w:tc>
              <w:tc>
                <w:tcPr>
                  <w:tcW w:w="817" w:type="dxa"/>
                  <w:vAlign w:val="center"/>
                </w:tcPr>
                <w:p w14:paraId="2EA77336">
                  <w:pPr>
                    <w:jc w:val="center"/>
                    <w:rPr>
                      <w:color w:val="auto"/>
                      <w:sz w:val="18"/>
                      <w:szCs w:val="18"/>
                    </w:rPr>
                  </w:pPr>
                  <w:r>
                    <w:rPr>
                      <w:rFonts w:hint="eastAsia"/>
                      <w:color w:val="auto"/>
                      <w:sz w:val="18"/>
                      <w:szCs w:val="18"/>
                    </w:rPr>
                    <w:t>1</w:t>
                  </w:r>
                </w:p>
              </w:tc>
              <w:tc>
                <w:tcPr>
                  <w:tcW w:w="1387" w:type="dxa"/>
                  <w:vAlign w:val="center"/>
                </w:tcPr>
                <w:p w14:paraId="68FBBD8D">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1CA3A962">
                  <w:pPr>
                    <w:pStyle w:val="4"/>
                    <w:spacing w:before="0" w:after="0" w:line="240" w:lineRule="auto"/>
                    <w:jc w:val="center"/>
                    <w:rPr>
                      <w:b w:val="0"/>
                      <w:bCs w:val="0"/>
                      <w:color w:val="auto"/>
                      <w:sz w:val="18"/>
                      <w:szCs w:val="18"/>
                    </w:rPr>
                  </w:pPr>
                </w:p>
              </w:tc>
            </w:tr>
            <w:tr w14:paraId="244F34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98" w:hRule="atLeast"/>
                <w:jc w:val="center"/>
              </w:trPr>
              <w:tc>
                <w:tcPr>
                  <w:tcW w:w="669" w:type="dxa"/>
                  <w:vMerge w:val="continue"/>
                  <w:vAlign w:val="center"/>
                </w:tcPr>
                <w:p w14:paraId="6FE78BAC">
                  <w:pPr>
                    <w:jc w:val="center"/>
                    <w:rPr>
                      <w:color w:val="auto"/>
                      <w:sz w:val="18"/>
                      <w:szCs w:val="18"/>
                    </w:rPr>
                  </w:pPr>
                </w:p>
              </w:tc>
              <w:tc>
                <w:tcPr>
                  <w:tcW w:w="809" w:type="dxa"/>
                  <w:vMerge w:val="continue"/>
                  <w:vAlign w:val="center"/>
                </w:tcPr>
                <w:p w14:paraId="20E62E50">
                  <w:pPr>
                    <w:jc w:val="center"/>
                    <w:rPr>
                      <w:snapToGrid w:val="0"/>
                      <w:color w:val="auto"/>
                      <w:sz w:val="18"/>
                      <w:szCs w:val="18"/>
                    </w:rPr>
                  </w:pPr>
                </w:p>
              </w:tc>
              <w:tc>
                <w:tcPr>
                  <w:tcW w:w="1506" w:type="dxa"/>
                  <w:vAlign w:val="center"/>
                </w:tcPr>
                <w:p w14:paraId="398B6B09">
                  <w:pPr>
                    <w:jc w:val="center"/>
                    <w:rPr>
                      <w:color w:val="auto"/>
                      <w:sz w:val="18"/>
                      <w:szCs w:val="18"/>
                    </w:rPr>
                  </w:pPr>
                  <w:r>
                    <w:rPr>
                      <w:rFonts w:hint="eastAsia"/>
                      <w:color w:val="auto"/>
                      <w:sz w:val="18"/>
                      <w:szCs w:val="18"/>
                    </w:rPr>
                    <w:t>苯乙烯</w:t>
                  </w:r>
                </w:p>
              </w:tc>
              <w:tc>
                <w:tcPr>
                  <w:tcW w:w="2052" w:type="dxa"/>
                  <w:vAlign w:val="center"/>
                </w:tcPr>
                <w:p w14:paraId="3496060C">
                  <w:pPr>
                    <w:jc w:val="center"/>
                    <w:rPr>
                      <w:color w:val="auto"/>
                      <w:sz w:val="18"/>
                      <w:szCs w:val="18"/>
                    </w:rPr>
                  </w:pPr>
                  <w:r>
                    <w:rPr>
                      <w:rFonts w:hint="eastAsia"/>
                      <w:color w:val="auto"/>
                      <w:sz w:val="18"/>
                      <w:szCs w:val="18"/>
                    </w:rPr>
                    <w:t>99.0%，AR，</w:t>
                  </w:r>
                  <w:r>
                    <w:rPr>
                      <w:rFonts w:eastAsia="Helvetica"/>
                      <w:color w:val="auto"/>
                      <w:sz w:val="18"/>
                      <w:szCs w:val="18"/>
                      <w:shd w:val="clear" w:color="auto" w:fill="FFFFFF"/>
                    </w:rPr>
                    <w:t>C</w:t>
                  </w:r>
                  <w:r>
                    <w:rPr>
                      <w:rFonts w:eastAsia="Helvetica"/>
                      <w:color w:val="auto"/>
                      <w:sz w:val="18"/>
                      <w:szCs w:val="18"/>
                      <w:shd w:val="clear" w:color="auto" w:fill="FFFFFF"/>
                      <w:vertAlign w:val="subscript"/>
                    </w:rPr>
                    <w:t>8</w:t>
                  </w:r>
                  <w:r>
                    <w:rPr>
                      <w:rFonts w:eastAsia="Helvetica"/>
                      <w:color w:val="auto"/>
                      <w:sz w:val="18"/>
                      <w:szCs w:val="18"/>
                      <w:shd w:val="clear" w:color="auto" w:fill="FFFFFF"/>
                    </w:rPr>
                    <w:t>H</w:t>
                  </w:r>
                  <w:r>
                    <w:rPr>
                      <w:rFonts w:eastAsia="Helvetica"/>
                      <w:color w:val="auto"/>
                      <w:sz w:val="18"/>
                      <w:szCs w:val="18"/>
                      <w:shd w:val="clear" w:color="auto" w:fill="FFFFFF"/>
                      <w:vertAlign w:val="subscript"/>
                    </w:rPr>
                    <w:t>8</w:t>
                  </w:r>
                </w:p>
              </w:tc>
              <w:tc>
                <w:tcPr>
                  <w:tcW w:w="762" w:type="dxa"/>
                  <w:vAlign w:val="center"/>
                </w:tcPr>
                <w:p w14:paraId="7A72C2A9">
                  <w:pPr>
                    <w:jc w:val="center"/>
                    <w:rPr>
                      <w:color w:val="auto"/>
                      <w:sz w:val="18"/>
                      <w:szCs w:val="18"/>
                    </w:rPr>
                  </w:pPr>
                  <w:r>
                    <w:rPr>
                      <w:rFonts w:hint="eastAsia"/>
                      <w:color w:val="auto"/>
                      <w:sz w:val="18"/>
                      <w:szCs w:val="18"/>
                    </w:rPr>
                    <w:t>2</w:t>
                  </w:r>
                </w:p>
              </w:tc>
              <w:tc>
                <w:tcPr>
                  <w:tcW w:w="817" w:type="dxa"/>
                  <w:vAlign w:val="center"/>
                </w:tcPr>
                <w:p w14:paraId="1FA2D877">
                  <w:pPr>
                    <w:jc w:val="center"/>
                    <w:rPr>
                      <w:color w:val="auto"/>
                      <w:sz w:val="18"/>
                      <w:szCs w:val="18"/>
                    </w:rPr>
                  </w:pPr>
                  <w:r>
                    <w:rPr>
                      <w:rFonts w:hint="eastAsia"/>
                      <w:color w:val="auto"/>
                      <w:sz w:val="18"/>
                      <w:szCs w:val="18"/>
                    </w:rPr>
                    <w:t>1</w:t>
                  </w:r>
                </w:p>
              </w:tc>
              <w:tc>
                <w:tcPr>
                  <w:tcW w:w="1387" w:type="dxa"/>
                  <w:vAlign w:val="center"/>
                </w:tcPr>
                <w:p w14:paraId="45570580">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367AE926">
                  <w:pPr>
                    <w:pStyle w:val="4"/>
                    <w:spacing w:before="0" w:after="0" w:line="240" w:lineRule="auto"/>
                    <w:jc w:val="center"/>
                    <w:rPr>
                      <w:b w:val="0"/>
                      <w:bCs w:val="0"/>
                      <w:color w:val="auto"/>
                      <w:sz w:val="18"/>
                      <w:szCs w:val="18"/>
                    </w:rPr>
                  </w:pPr>
                </w:p>
              </w:tc>
            </w:tr>
            <w:tr w14:paraId="3A4AEB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0DB0B41E">
                  <w:pPr>
                    <w:jc w:val="center"/>
                    <w:rPr>
                      <w:color w:val="auto"/>
                      <w:sz w:val="18"/>
                      <w:szCs w:val="18"/>
                    </w:rPr>
                  </w:pPr>
                </w:p>
              </w:tc>
              <w:tc>
                <w:tcPr>
                  <w:tcW w:w="809" w:type="dxa"/>
                  <w:vMerge w:val="continue"/>
                  <w:vAlign w:val="center"/>
                </w:tcPr>
                <w:p w14:paraId="4EFA8D15">
                  <w:pPr>
                    <w:jc w:val="center"/>
                    <w:rPr>
                      <w:snapToGrid w:val="0"/>
                      <w:color w:val="auto"/>
                      <w:sz w:val="18"/>
                      <w:szCs w:val="18"/>
                    </w:rPr>
                  </w:pPr>
                </w:p>
              </w:tc>
              <w:tc>
                <w:tcPr>
                  <w:tcW w:w="1506" w:type="dxa"/>
                  <w:vAlign w:val="center"/>
                </w:tcPr>
                <w:p w14:paraId="7D034294">
                  <w:pPr>
                    <w:jc w:val="center"/>
                    <w:rPr>
                      <w:color w:val="auto"/>
                      <w:sz w:val="18"/>
                      <w:szCs w:val="18"/>
                    </w:rPr>
                  </w:pPr>
                  <w:r>
                    <w:rPr>
                      <w:rFonts w:hint="eastAsia"/>
                      <w:color w:val="auto"/>
                      <w:sz w:val="18"/>
                      <w:szCs w:val="18"/>
                    </w:rPr>
                    <w:t>苯酚</w:t>
                  </w:r>
                </w:p>
              </w:tc>
              <w:tc>
                <w:tcPr>
                  <w:tcW w:w="2052" w:type="dxa"/>
                  <w:vAlign w:val="center"/>
                </w:tcPr>
                <w:p w14:paraId="011E33D0">
                  <w:pPr>
                    <w:jc w:val="center"/>
                    <w:rPr>
                      <w:color w:val="auto"/>
                      <w:sz w:val="18"/>
                      <w:szCs w:val="18"/>
                    </w:rPr>
                  </w:pPr>
                  <w:r>
                    <w:rPr>
                      <w:rFonts w:hint="eastAsia"/>
                      <w:color w:val="auto"/>
                      <w:sz w:val="18"/>
                      <w:szCs w:val="18"/>
                    </w:rPr>
                    <w:t>99.9%，AR，C</w:t>
                  </w:r>
                  <w:r>
                    <w:rPr>
                      <w:rFonts w:hint="eastAsia"/>
                      <w:color w:val="auto"/>
                      <w:sz w:val="18"/>
                      <w:szCs w:val="18"/>
                      <w:vertAlign w:val="subscript"/>
                    </w:rPr>
                    <w:t>6</w:t>
                  </w:r>
                  <w:r>
                    <w:rPr>
                      <w:rFonts w:hint="eastAsia"/>
                      <w:color w:val="auto"/>
                      <w:sz w:val="18"/>
                      <w:szCs w:val="18"/>
                    </w:rPr>
                    <w:t>H</w:t>
                  </w:r>
                  <w:r>
                    <w:rPr>
                      <w:rFonts w:hint="eastAsia"/>
                      <w:color w:val="auto"/>
                      <w:sz w:val="18"/>
                      <w:szCs w:val="18"/>
                      <w:vertAlign w:val="subscript"/>
                    </w:rPr>
                    <w:t>5</w:t>
                  </w:r>
                  <w:r>
                    <w:rPr>
                      <w:rFonts w:hint="eastAsia"/>
                      <w:color w:val="auto"/>
                      <w:sz w:val="18"/>
                      <w:szCs w:val="18"/>
                    </w:rPr>
                    <w:t>OH</w:t>
                  </w:r>
                </w:p>
              </w:tc>
              <w:tc>
                <w:tcPr>
                  <w:tcW w:w="762" w:type="dxa"/>
                  <w:vAlign w:val="center"/>
                </w:tcPr>
                <w:p w14:paraId="7EB65267">
                  <w:pPr>
                    <w:jc w:val="center"/>
                    <w:rPr>
                      <w:color w:val="auto"/>
                      <w:sz w:val="18"/>
                      <w:szCs w:val="18"/>
                    </w:rPr>
                  </w:pPr>
                  <w:r>
                    <w:rPr>
                      <w:rFonts w:hint="eastAsia"/>
                      <w:color w:val="auto"/>
                      <w:sz w:val="18"/>
                      <w:szCs w:val="18"/>
                    </w:rPr>
                    <w:t>2</w:t>
                  </w:r>
                </w:p>
              </w:tc>
              <w:tc>
                <w:tcPr>
                  <w:tcW w:w="817" w:type="dxa"/>
                  <w:vAlign w:val="center"/>
                </w:tcPr>
                <w:p w14:paraId="33844131">
                  <w:pPr>
                    <w:jc w:val="center"/>
                    <w:rPr>
                      <w:color w:val="auto"/>
                      <w:sz w:val="18"/>
                      <w:szCs w:val="18"/>
                    </w:rPr>
                  </w:pPr>
                  <w:r>
                    <w:rPr>
                      <w:rFonts w:hint="eastAsia"/>
                      <w:color w:val="auto"/>
                      <w:sz w:val="18"/>
                      <w:szCs w:val="18"/>
                    </w:rPr>
                    <w:t>1</w:t>
                  </w:r>
                </w:p>
              </w:tc>
              <w:tc>
                <w:tcPr>
                  <w:tcW w:w="1387" w:type="dxa"/>
                  <w:vAlign w:val="center"/>
                </w:tcPr>
                <w:p w14:paraId="73C5B8E8">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0353A0C2">
                  <w:pPr>
                    <w:pStyle w:val="4"/>
                    <w:spacing w:before="0" w:after="0" w:line="240" w:lineRule="auto"/>
                    <w:jc w:val="center"/>
                    <w:rPr>
                      <w:b w:val="0"/>
                      <w:bCs w:val="0"/>
                      <w:color w:val="auto"/>
                      <w:sz w:val="18"/>
                      <w:szCs w:val="18"/>
                    </w:rPr>
                  </w:pPr>
                </w:p>
              </w:tc>
            </w:tr>
            <w:tr w14:paraId="63535E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67338A00">
                  <w:pPr>
                    <w:jc w:val="center"/>
                    <w:rPr>
                      <w:color w:val="auto"/>
                      <w:sz w:val="18"/>
                      <w:szCs w:val="18"/>
                    </w:rPr>
                  </w:pPr>
                </w:p>
              </w:tc>
              <w:tc>
                <w:tcPr>
                  <w:tcW w:w="809" w:type="dxa"/>
                  <w:vMerge w:val="continue"/>
                  <w:vAlign w:val="center"/>
                </w:tcPr>
                <w:p w14:paraId="3F421C95">
                  <w:pPr>
                    <w:jc w:val="center"/>
                    <w:rPr>
                      <w:snapToGrid w:val="0"/>
                      <w:color w:val="auto"/>
                      <w:sz w:val="18"/>
                      <w:szCs w:val="18"/>
                    </w:rPr>
                  </w:pPr>
                </w:p>
              </w:tc>
              <w:tc>
                <w:tcPr>
                  <w:tcW w:w="1506" w:type="dxa"/>
                  <w:vAlign w:val="center"/>
                </w:tcPr>
                <w:p w14:paraId="664F6043">
                  <w:pPr>
                    <w:jc w:val="center"/>
                    <w:rPr>
                      <w:color w:val="auto"/>
                      <w:sz w:val="18"/>
                      <w:szCs w:val="18"/>
                    </w:rPr>
                  </w:pPr>
                  <w:r>
                    <w:rPr>
                      <w:rFonts w:hint="eastAsia"/>
                      <w:color w:val="auto"/>
                      <w:sz w:val="18"/>
                      <w:szCs w:val="18"/>
                    </w:rPr>
                    <w:t>苯胺</w:t>
                  </w:r>
                </w:p>
              </w:tc>
              <w:tc>
                <w:tcPr>
                  <w:tcW w:w="2052" w:type="dxa"/>
                  <w:vAlign w:val="center"/>
                </w:tcPr>
                <w:p w14:paraId="0E2CC5E8">
                  <w:pPr>
                    <w:jc w:val="center"/>
                    <w:rPr>
                      <w:color w:val="auto"/>
                      <w:sz w:val="18"/>
                      <w:szCs w:val="18"/>
                    </w:rPr>
                  </w:pPr>
                  <w:r>
                    <w:rPr>
                      <w:rFonts w:hint="eastAsia"/>
                      <w:color w:val="auto"/>
                      <w:sz w:val="18"/>
                      <w:szCs w:val="18"/>
                    </w:rPr>
                    <w:t>99.5%，AR，</w:t>
                  </w:r>
                  <w:r>
                    <w:rPr>
                      <w:rFonts w:eastAsia="Helvetica"/>
                      <w:color w:val="auto"/>
                      <w:sz w:val="18"/>
                      <w:szCs w:val="18"/>
                      <w:shd w:val="clear" w:color="auto" w:fill="FFFFFF"/>
                    </w:rPr>
                    <w:t>C</w:t>
                  </w:r>
                  <w:r>
                    <w:rPr>
                      <w:rFonts w:eastAsia="Helvetica"/>
                      <w:color w:val="auto"/>
                      <w:sz w:val="18"/>
                      <w:szCs w:val="18"/>
                      <w:shd w:val="clear" w:color="auto" w:fill="FFFFFF"/>
                      <w:vertAlign w:val="subscript"/>
                    </w:rPr>
                    <w:t>6</w:t>
                  </w:r>
                  <w:r>
                    <w:rPr>
                      <w:rFonts w:eastAsia="Helvetica"/>
                      <w:color w:val="auto"/>
                      <w:sz w:val="18"/>
                      <w:szCs w:val="18"/>
                      <w:shd w:val="clear" w:color="auto" w:fill="FFFFFF"/>
                    </w:rPr>
                    <w:t>H</w:t>
                  </w:r>
                  <w:r>
                    <w:rPr>
                      <w:rFonts w:eastAsia="Helvetica"/>
                      <w:color w:val="auto"/>
                      <w:sz w:val="18"/>
                      <w:szCs w:val="18"/>
                      <w:shd w:val="clear" w:color="auto" w:fill="FFFFFF"/>
                      <w:vertAlign w:val="subscript"/>
                    </w:rPr>
                    <w:t>7</w:t>
                  </w:r>
                  <w:r>
                    <w:rPr>
                      <w:rFonts w:eastAsia="Helvetica"/>
                      <w:color w:val="auto"/>
                      <w:sz w:val="18"/>
                      <w:szCs w:val="18"/>
                      <w:shd w:val="clear" w:color="auto" w:fill="FFFFFF"/>
                    </w:rPr>
                    <w:t>N</w:t>
                  </w:r>
                </w:p>
              </w:tc>
              <w:tc>
                <w:tcPr>
                  <w:tcW w:w="762" w:type="dxa"/>
                  <w:vAlign w:val="center"/>
                </w:tcPr>
                <w:p w14:paraId="66B10768">
                  <w:pPr>
                    <w:jc w:val="center"/>
                    <w:rPr>
                      <w:color w:val="auto"/>
                      <w:sz w:val="18"/>
                      <w:szCs w:val="18"/>
                    </w:rPr>
                  </w:pPr>
                  <w:r>
                    <w:rPr>
                      <w:rFonts w:hint="eastAsia"/>
                      <w:color w:val="auto"/>
                      <w:sz w:val="18"/>
                      <w:szCs w:val="18"/>
                    </w:rPr>
                    <w:t>2</w:t>
                  </w:r>
                </w:p>
              </w:tc>
              <w:tc>
                <w:tcPr>
                  <w:tcW w:w="817" w:type="dxa"/>
                  <w:vAlign w:val="center"/>
                </w:tcPr>
                <w:p w14:paraId="30760E7A">
                  <w:pPr>
                    <w:jc w:val="center"/>
                    <w:rPr>
                      <w:color w:val="auto"/>
                      <w:sz w:val="18"/>
                      <w:szCs w:val="18"/>
                    </w:rPr>
                  </w:pPr>
                  <w:r>
                    <w:rPr>
                      <w:rFonts w:hint="eastAsia"/>
                      <w:color w:val="auto"/>
                      <w:sz w:val="18"/>
                      <w:szCs w:val="18"/>
                    </w:rPr>
                    <w:t>1</w:t>
                  </w:r>
                </w:p>
              </w:tc>
              <w:tc>
                <w:tcPr>
                  <w:tcW w:w="1387" w:type="dxa"/>
                  <w:vAlign w:val="center"/>
                </w:tcPr>
                <w:p w14:paraId="3C16352A">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3B0253BD">
                  <w:pPr>
                    <w:pStyle w:val="4"/>
                    <w:spacing w:before="0" w:after="0" w:line="240" w:lineRule="auto"/>
                    <w:jc w:val="center"/>
                    <w:rPr>
                      <w:b w:val="0"/>
                      <w:bCs w:val="0"/>
                      <w:color w:val="auto"/>
                      <w:sz w:val="18"/>
                      <w:szCs w:val="18"/>
                    </w:rPr>
                  </w:pPr>
                </w:p>
              </w:tc>
            </w:tr>
            <w:tr w14:paraId="151BBE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4" w:hRule="atLeast"/>
                <w:jc w:val="center"/>
              </w:trPr>
              <w:tc>
                <w:tcPr>
                  <w:tcW w:w="669" w:type="dxa"/>
                  <w:vMerge w:val="continue"/>
                  <w:vAlign w:val="center"/>
                </w:tcPr>
                <w:p w14:paraId="215BCD3C">
                  <w:pPr>
                    <w:jc w:val="center"/>
                    <w:rPr>
                      <w:color w:val="auto"/>
                      <w:sz w:val="18"/>
                      <w:szCs w:val="18"/>
                    </w:rPr>
                  </w:pPr>
                </w:p>
              </w:tc>
              <w:tc>
                <w:tcPr>
                  <w:tcW w:w="809" w:type="dxa"/>
                  <w:vMerge w:val="continue"/>
                  <w:vAlign w:val="center"/>
                </w:tcPr>
                <w:p w14:paraId="59DD452C">
                  <w:pPr>
                    <w:jc w:val="center"/>
                    <w:rPr>
                      <w:color w:val="auto"/>
                      <w:sz w:val="18"/>
                      <w:szCs w:val="18"/>
                    </w:rPr>
                  </w:pPr>
                </w:p>
              </w:tc>
              <w:tc>
                <w:tcPr>
                  <w:tcW w:w="1506" w:type="dxa"/>
                  <w:vAlign w:val="center"/>
                </w:tcPr>
                <w:p w14:paraId="18B382AD">
                  <w:pPr>
                    <w:jc w:val="center"/>
                    <w:rPr>
                      <w:color w:val="auto"/>
                      <w:sz w:val="18"/>
                      <w:szCs w:val="18"/>
                    </w:rPr>
                  </w:pPr>
                  <w:r>
                    <w:rPr>
                      <w:color w:val="auto"/>
                      <w:sz w:val="18"/>
                      <w:szCs w:val="18"/>
                    </w:rPr>
                    <w:t>β-环柠檬醛</w:t>
                  </w:r>
                </w:p>
              </w:tc>
              <w:tc>
                <w:tcPr>
                  <w:tcW w:w="2052" w:type="dxa"/>
                  <w:vAlign w:val="center"/>
                </w:tcPr>
                <w:p w14:paraId="39A8EA95">
                  <w:pPr>
                    <w:jc w:val="center"/>
                    <w:rPr>
                      <w:color w:val="auto"/>
                      <w:sz w:val="18"/>
                      <w:szCs w:val="18"/>
                    </w:rPr>
                  </w:pPr>
                  <w:r>
                    <w:rPr>
                      <w:rFonts w:hint="eastAsia"/>
                      <w:color w:val="auto"/>
                      <w:sz w:val="18"/>
                      <w:szCs w:val="18"/>
                    </w:rPr>
                    <w:t>95.0%，AR，</w:t>
                  </w:r>
                  <w:r>
                    <w:rPr>
                      <w:rFonts w:eastAsia="Helvetica"/>
                      <w:color w:val="auto"/>
                      <w:sz w:val="18"/>
                      <w:szCs w:val="18"/>
                      <w:shd w:val="clear" w:color="auto" w:fill="FFFFFF"/>
                    </w:rPr>
                    <w:t>C</w:t>
                  </w:r>
                  <w:r>
                    <w:rPr>
                      <w:rFonts w:eastAsia="Helvetica"/>
                      <w:color w:val="auto"/>
                      <w:sz w:val="18"/>
                      <w:szCs w:val="18"/>
                      <w:shd w:val="clear" w:color="auto" w:fill="FFFFFF"/>
                      <w:vertAlign w:val="subscript"/>
                    </w:rPr>
                    <w:t>10</w:t>
                  </w:r>
                  <w:r>
                    <w:rPr>
                      <w:rFonts w:eastAsia="Helvetica"/>
                      <w:color w:val="auto"/>
                      <w:sz w:val="18"/>
                      <w:szCs w:val="18"/>
                      <w:shd w:val="clear" w:color="auto" w:fill="FFFFFF"/>
                    </w:rPr>
                    <w:t>H</w:t>
                  </w:r>
                  <w:r>
                    <w:rPr>
                      <w:rFonts w:eastAsia="Helvetica"/>
                      <w:color w:val="auto"/>
                      <w:sz w:val="18"/>
                      <w:szCs w:val="18"/>
                      <w:shd w:val="clear" w:color="auto" w:fill="FFFFFF"/>
                      <w:vertAlign w:val="subscript"/>
                    </w:rPr>
                    <w:t>16</w:t>
                  </w:r>
                  <w:r>
                    <w:rPr>
                      <w:rFonts w:eastAsia="Helvetica"/>
                      <w:color w:val="auto"/>
                      <w:sz w:val="18"/>
                      <w:szCs w:val="18"/>
                      <w:shd w:val="clear" w:color="auto" w:fill="FFFFFF"/>
                    </w:rPr>
                    <w:t>O</w:t>
                  </w:r>
                </w:p>
              </w:tc>
              <w:tc>
                <w:tcPr>
                  <w:tcW w:w="762" w:type="dxa"/>
                  <w:vAlign w:val="center"/>
                </w:tcPr>
                <w:p w14:paraId="203C37C3">
                  <w:pPr>
                    <w:jc w:val="center"/>
                    <w:rPr>
                      <w:color w:val="auto"/>
                      <w:sz w:val="18"/>
                      <w:szCs w:val="18"/>
                    </w:rPr>
                  </w:pPr>
                  <w:r>
                    <w:rPr>
                      <w:rFonts w:hint="eastAsia"/>
                      <w:color w:val="auto"/>
                      <w:sz w:val="18"/>
                      <w:szCs w:val="18"/>
                    </w:rPr>
                    <w:t>0.5</w:t>
                  </w:r>
                </w:p>
              </w:tc>
              <w:tc>
                <w:tcPr>
                  <w:tcW w:w="817" w:type="dxa"/>
                  <w:vAlign w:val="center"/>
                </w:tcPr>
                <w:p w14:paraId="41340151">
                  <w:pPr>
                    <w:jc w:val="center"/>
                    <w:rPr>
                      <w:color w:val="auto"/>
                      <w:sz w:val="18"/>
                      <w:szCs w:val="18"/>
                    </w:rPr>
                  </w:pPr>
                  <w:r>
                    <w:rPr>
                      <w:rFonts w:hint="eastAsia"/>
                      <w:color w:val="auto"/>
                      <w:sz w:val="18"/>
                      <w:szCs w:val="18"/>
                    </w:rPr>
                    <w:t>0.5</w:t>
                  </w:r>
                </w:p>
              </w:tc>
              <w:tc>
                <w:tcPr>
                  <w:tcW w:w="1387" w:type="dxa"/>
                  <w:vAlign w:val="center"/>
                </w:tcPr>
                <w:p w14:paraId="0323533A">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7D3C8087">
                  <w:pPr>
                    <w:pStyle w:val="4"/>
                    <w:spacing w:before="0" w:after="0" w:line="240" w:lineRule="auto"/>
                    <w:rPr>
                      <w:color w:val="auto"/>
                    </w:rPr>
                  </w:pPr>
                </w:p>
              </w:tc>
            </w:tr>
            <w:tr w14:paraId="400089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6469C2DF">
                  <w:pPr>
                    <w:jc w:val="center"/>
                    <w:rPr>
                      <w:color w:val="auto"/>
                      <w:sz w:val="18"/>
                      <w:szCs w:val="18"/>
                    </w:rPr>
                  </w:pPr>
                </w:p>
              </w:tc>
              <w:tc>
                <w:tcPr>
                  <w:tcW w:w="809" w:type="dxa"/>
                  <w:vMerge w:val="continue"/>
                  <w:vAlign w:val="center"/>
                </w:tcPr>
                <w:p w14:paraId="4865BFD3">
                  <w:pPr>
                    <w:jc w:val="center"/>
                    <w:rPr>
                      <w:color w:val="auto"/>
                      <w:sz w:val="18"/>
                      <w:szCs w:val="18"/>
                    </w:rPr>
                  </w:pPr>
                </w:p>
              </w:tc>
              <w:tc>
                <w:tcPr>
                  <w:tcW w:w="1506" w:type="dxa"/>
                  <w:vAlign w:val="center"/>
                </w:tcPr>
                <w:p w14:paraId="027CE131">
                  <w:pPr>
                    <w:jc w:val="center"/>
                    <w:rPr>
                      <w:color w:val="auto"/>
                      <w:sz w:val="18"/>
                      <w:szCs w:val="18"/>
                    </w:rPr>
                  </w:pPr>
                  <w:r>
                    <w:rPr>
                      <w:color w:val="auto"/>
                      <w:sz w:val="18"/>
                      <w:szCs w:val="18"/>
                    </w:rPr>
                    <w:t>2，4-二溴酚</w:t>
                  </w:r>
                </w:p>
              </w:tc>
              <w:tc>
                <w:tcPr>
                  <w:tcW w:w="2052" w:type="dxa"/>
                  <w:vAlign w:val="center"/>
                </w:tcPr>
                <w:p w14:paraId="0BD7B89F">
                  <w:pPr>
                    <w:jc w:val="center"/>
                    <w:rPr>
                      <w:color w:val="auto"/>
                      <w:sz w:val="18"/>
                      <w:szCs w:val="18"/>
                    </w:rPr>
                  </w:pPr>
                  <w:r>
                    <w:rPr>
                      <w:rFonts w:hint="eastAsia"/>
                      <w:color w:val="auto"/>
                      <w:sz w:val="18"/>
                      <w:szCs w:val="18"/>
                    </w:rPr>
                    <w:t>99.0%，AR，</w:t>
                  </w:r>
                  <w:r>
                    <w:rPr>
                      <w:color w:val="auto"/>
                      <w:sz w:val="18"/>
                      <w:szCs w:val="18"/>
                    </w:rPr>
                    <w:t>C</w:t>
                  </w:r>
                  <w:r>
                    <w:rPr>
                      <w:color w:val="auto"/>
                      <w:sz w:val="18"/>
                      <w:szCs w:val="18"/>
                      <w:vertAlign w:val="subscript"/>
                    </w:rPr>
                    <w:t>6</w:t>
                  </w:r>
                  <w:r>
                    <w:rPr>
                      <w:color w:val="auto"/>
                      <w:sz w:val="18"/>
                      <w:szCs w:val="18"/>
                    </w:rPr>
                    <w:t>H</w:t>
                  </w:r>
                  <w:r>
                    <w:rPr>
                      <w:color w:val="auto"/>
                      <w:sz w:val="18"/>
                      <w:szCs w:val="18"/>
                      <w:vertAlign w:val="subscript"/>
                    </w:rPr>
                    <w:t>4</w:t>
                  </w:r>
                  <w:r>
                    <w:rPr>
                      <w:color w:val="auto"/>
                      <w:sz w:val="18"/>
                      <w:szCs w:val="18"/>
                    </w:rPr>
                    <w:t>Br</w:t>
                  </w:r>
                  <w:r>
                    <w:rPr>
                      <w:color w:val="auto"/>
                      <w:sz w:val="18"/>
                      <w:szCs w:val="18"/>
                      <w:vertAlign w:val="subscript"/>
                    </w:rPr>
                    <w:t>2</w:t>
                  </w:r>
                  <w:r>
                    <w:rPr>
                      <w:color w:val="auto"/>
                      <w:sz w:val="18"/>
                      <w:szCs w:val="18"/>
                    </w:rPr>
                    <w:t>O</w:t>
                  </w:r>
                </w:p>
              </w:tc>
              <w:tc>
                <w:tcPr>
                  <w:tcW w:w="762" w:type="dxa"/>
                  <w:vAlign w:val="center"/>
                </w:tcPr>
                <w:p w14:paraId="6DD2587E">
                  <w:pPr>
                    <w:jc w:val="center"/>
                    <w:rPr>
                      <w:color w:val="auto"/>
                      <w:sz w:val="18"/>
                      <w:szCs w:val="18"/>
                    </w:rPr>
                  </w:pPr>
                  <w:r>
                    <w:rPr>
                      <w:rFonts w:hint="eastAsia"/>
                      <w:color w:val="auto"/>
                      <w:sz w:val="18"/>
                      <w:szCs w:val="18"/>
                    </w:rPr>
                    <w:t>0.5</w:t>
                  </w:r>
                </w:p>
              </w:tc>
              <w:tc>
                <w:tcPr>
                  <w:tcW w:w="817" w:type="dxa"/>
                  <w:vAlign w:val="center"/>
                </w:tcPr>
                <w:p w14:paraId="3999DB77">
                  <w:pPr>
                    <w:jc w:val="center"/>
                    <w:rPr>
                      <w:color w:val="auto"/>
                      <w:sz w:val="18"/>
                      <w:szCs w:val="18"/>
                    </w:rPr>
                  </w:pPr>
                  <w:r>
                    <w:rPr>
                      <w:rFonts w:hint="eastAsia"/>
                      <w:color w:val="auto"/>
                      <w:sz w:val="18"/>
                      <w:szCs w:val="18"/>
                    </w:rPr>
                    <w:t>0.5</w:t>
                  </w:r>
                </w:p>
              </w:tc>
              <w:tc>
                <w:tcPr>
                  <w:tcW w:w="1387" w:type="dxa"/>
                  <w:vAlign w:val="center"/>
                </w:tcPr>
                <w:p w14:paraId="5E853EF8">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38CD88A9">
                  <w:pPr>
                    <w:pStyle w:val="4"/>
                    <w:spacing w:before="0" w:after="0" w:line="240" w:lineRule="auto"/>
                    <w:rPr>
                      <w:color w:val="auto"/>
                    </w:rPr>
                  </w:pPr>
                </w:p>
              </w:tc>
            </w:tr>
            <w:tr w14:paraId="627291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6FAF4462">
                  <w:pPr>
                    <w:jc w:val="center"/>
                    <w:rPr>
                      <w:color w:val="auto"/>
                      <w:sz w:val="18"/>
                      <w:szCs w:val="18"/>
                    </w:rPr>
                  </w:pPr>
                </w:p>
              </w:tc>
              <w:tc>
                <w:tcPr>
                  <w:tcW w:w="809" w:type="dxa"/>
                  <w:vMerge w:val="continue"/>
                  <w:vAlign w:val="center"/>
                </w:tcPr>
                <w:p w14:paraId="31DF51D3">
                  <w:pPr>
                    <w:jc w:val="center"/>
                    <w:rPr>
                      <w:color w:val="auto"/>
                      <w:sz w:val="18"/>
                      <w:szCs w:val="18"/>
                    </w:rPr>
                  </w:pPr>
                </w:p>
              </w:tc>
              <w:tc>
                <w:tcPr>
                  <w:tcW w:w="1506" w:type="dxa"/>
                  <w:vAlign w:val="center"/>
                </w:tcPr>
                <w:p w14:paraId="5F52C69F">
                  <w:pPr>
                    <w:jc w:val="center"/>
                    <w:rPr>
                      <w:color w:val="auto"/>
                      <w:sz w:val="18"/>
                      <w:szCs w:val="18"/>
                    </w:rPr>
                  </w:pPr>
                  <w:r>
                    <w:rPr>
                      <w:color w:val="auto"/>
                      <w:sz w:val="18"/>
                      <w:szCs w:val="18"/>
                    </w:rPr>
                    <w:t>异氟尔酮</w:t>
                  </w:r>
                </w:p>
              </w:tc>
              <w:tc>
                <w:tcPr>
                  <w:tcW w:w="2052" w:type="dxa"/>
                  <w:vAlign w:val="center"/>
                </w:tcPr>
                <w:p w14:paraId="059A99BB">
                  <w:pPr>
                    <w:jc w:val="center"/>
                    <w:rPr>
                      <w:color w:val="auto"/>
                      <w:sz w:val="18"/>
                      <w:szCs w:val="18"/>
                    </w:rPr>
                  </w:pPr>
                  <w:r>
                    <w:rPr>
                      <w:rFonts w:hint="eastAsia"/>
                      <w:color w:val="auto"/>
                      <w:sz w:val="18"/>
                      <w:szCs w:val="18"/>
                    </w:rPr>
                    <w:t>98.0%，AR，</w:t>
                  </w:r>
                  <w:r>
                    <w:rPr>
                      <w:rFonts w:eastAsia="Helvetica"/>
                      <w:color w:val="auto"/>
                      <w:sz w:val="18"/>
                      <w:szCs w:val="18"/>
                      <w:shd w:val="clear" w:color="auto" w:fill="FFFFFF"/>
                    </w:rPr>
                    <w:t>C</w:t>
                  </w:r>
                  <w:r>
                    <w:rPr>
                      <w:rFonts w:eastAsia="Helvetica"/>
                      <w:color w:val="auto"/>
                      <w:sz w:val="18"/>
                      <w:szCs w:val="18"/>
                      <w:shd w:val="clear" w:color="auto" w:fill="FFFFFF"/>
                      <w:vertAlign w:val="subscript"/>
                    </w:rPr>
                    <w:t>9</w:t>
                  </w:r>
                  <w:r>
                    <w:rPr>
                      <w:rFonts w:eastAsia="Helvetica"/>
                      <w:color w:val="auto"/>
                      <w:sz w:val="18"/>
                      <w:szCs w:val="18"/>
                      <w:shd w:val="clear" w:color="auto" w:fill="FFFFFF"/>
                    </w:rPr>
                    <w:t>H</w:t>
                  </w:r>
                  <w:r>
                    <w:rPr>
                      <w:rFonts w:eastAsia="Helvetica"/>
                      <w:color w:val="auto"/>
                      <w:sz w:val="18"/>
                      <w:szCs w:val="18"/>
                      <w:shd w:val="clear" w:color="auto" w:fill="FFFFFF"/>
                      <w:vertAlign w:val="subscript"/>
                    </w:rPr>
                    <w:t>14</w:t>
                  </w:r>
                  <w:r>
                    <w:rPr>
                      <w:rFonts w:eastAsia="Helvetica"/>
                      <w:color w:val="auto"/>
                      <w:sz w:val="18"/>
                      <w:szCs w:val="18"/>
                      <w:shd w:val="clear" w:color="auto" w:fill="FFFFFF"/>
                    </w:rPr>
                    <w:t>O</w:t>
                  </w:r>
                </w:p>
              </w:tc>
              <w:tc>
                <w:tcPr>
                  <w:tcW w:w="762" w:type="dxa"/>
                  <w:vAlign w:val="center"/>
                </w:tcPr>
                <w:p w14:paraId="170857DA">
                  <w:pPr>
                    <w:jc w:val="center"/>
                    <w:rPr>
                      <w:color w:val="auto"/>
                      <w:sz w:val="18"/>
                      <w:szCs w:val="18"/>
                    </w:rPr>
                  </w:pPr>
                  <w:r>
                    <w:rPr>
                      <w:rFonts w:hint="eastAsia"/>
                      <w:color w:val="auto"/>
                      <w:sz w:val="18"/>
                      <w:szCs w:val="18"/>
                    </w:rPr>
                    <w:t>0.5</w:t>
                  </w:r>
                </w:p>
              </w:tc>
              <w:tc>
                <w:tcPr>
                  <w:tcW w:w="817" w:type="dxa"/>
                  <w:vAlign w:val="center"/>
                </w:tcPr>
                <w:p w14:paraId="361F1386">
                  <w:pPr>
                    <w:jc w:val="center"/>
                    <w:rPr>
                      <w:color w:val="auto"/>
                      <w:sz w:val="18"/>
                      <w:szCs w:val="18"/>
                    </w:rPr>
                  </w:pPr>
                  <w:r>
                    <w:rPr>
                      <w:rFonts w:hint="eastAsia"/>
                      <w:color w:val="auto"/>
                      <w:sz w:val="18"/>
                      <w:szCs w:val="18"/>
                    </w:rPr>
                    <w:t>0.5</w:t>
                  </w:r>
                </w:p>
              </w:tc>
              <w:tc>
                <w:tcPr>
                  <w:tcW w:w="1387" w:type="dxa"/>
                  <w:vAlign w:val="center"/>
                </w:tcPr>
                <w:p w14:paraId="613CC089">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72B34532">
                  <w:pPr>
                    <w:pStyle w:val="4"/>
                    <w:spacing w:before="0" w:after="0" w:line="240" w:lineRule="auto"/>
                    <w:rPr>
                      <w:color w:val="auto"/>
                    </w:rPr>
                  </w:pPr>
                </w:p>
              </w:tc>
            </w:tr>
            <w:tr w14:paraId="3E4633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6054967F">
                  <w:pPr>
                    <w:jc w:val="center"/>
                    <w:rPr>
                      <w:color w:val="auto"/>
                      <w:sz w:val="18"/>
                      <w:szCs w:val="18"/>
                    </w:rPr>
                  </w:pPr>
                </w:p>
              </w:tc>
              <w:tc>
                <w:tcPr>
                  <w:tcW w:w="809" w:type="dxa"/>
                  <w:vMerge w:val="continue"/>
                  <w:vAlign w:val="center"/>
                </w:tcPr>
                <w:p w14:paraId="281E73D5">
                  <w:pPr>
                    <w:jc w:val="center"/>
                    <w:rPr>
                      <w:color w:val="auto"/>
                      <w:sz w:val="18"/>
                      <w:szCs w:val="18"/>
                    </w:rPr>
                  </w:pPr>
                </w:p>
              </w:tc>
              <w:tc>
                <w:tcPr>
                  <w:tcW w:w="1506" w:type="dxa"/>
                  <w:vAlign w:val="center"/>
                </w:tcPr>
                <w:p w14:paraId="334E8939">
                  <w:pPr>
                    <w:jc w:val="center"/>
                    <w:rPr>
                      <w:color w:val="auto"/>
                      <w:sz w:val="18"/>
                      <w:szCs w:val="18"/>
                    </w:rPr>
                  </w:pPr>
                  <w:r>
                    <w:rPr>
                      <w:color w:val="auto"/>
                      <w:sz w:val="18"/>
                      <w:szCs w:val="18"/>
                    </w:rPr>
                    <w:t>1，2-二溴丙烷</w:t>
                  </w:r>
                </w:p>
              </w:tc>
              <w:tc>
                <w:tcPr>
                  <w:tcW w:w="2052" w:type="dxa"/>
                  <w:vAlign w:val="center"/>
                </w:tcPr>
                <w:p w14:paraId="66F31730">
                  <w:pPr>
                    <w:jc w:val="center"/>
                    <w:rPr>
                      <w:color w:val="auto"/>
                      <w:sz w:val="18"/>
                      <w:szCs w:val="18"/>
                    </w:rPr>
                  </w:pPr>
                  <w:r>
                    <w:rPr>
                      <w:rFonts w:hint="eastAsia"/>
                      <w:color w:val="auto"/>
                      <w:sz w:val="18"/>
                      <w:szCs w:val="18"/>
                    </w:rPr>
                    <w:t>98.0%，AR，</w:t>
                  </w:r>
                  <w:r>
                    <w:rPr>
                      <w:rFonts w:eastAsia="Helvetica"/>
                      <w:color w:val="auto"/>
                      <w:sz w:val="18"/>
                      <w:szCs w:val="18"/>
                      <w:shd w:val="clear" w:color="auto" w:fill="FFFFFF"/>
                    </w:rPr>
                    <w:t>C</w:t>
                  </w:r>
                  <w:r>
                    <w:rPr>
                      <w:rFonts w:eastAsia="Helvetica"/>
                      <w:color w:val="auto"/>
                      <w:sz w:val="18"/>
                      <w:szCs w:val="18"/>
                      <w:shd w:val="clear" w:color="auto" w:fill="FFFFFF"/>
                      <w:vertAlign w:val="subscript"/>
                    </w:rPr>
                    <w:t>3</w:t>
                  </w:r>
                  <w:r>
                    <w:rPr>
                      <w:rFonts w:eastAsia="Helvetica"/>
                      <w:color w:val="auto"/>
                      <w:sz w:val="18"/>
                      <w:szCs w:val="18"/>
                      <w:shd w:val="clear" w:color="auto" w:fill="FFFFFF"/>
                    </w:rPr>
                    <w:t>H</w:t>
                  </w:r>
                  <w:r>
                    <w:rPr>
                      <w:rFonts w:eastAsia="Helvetica"/>
                      <w:color w:val="auto"/>
                      <w:sz w:val="18"/>
                      <w:szCs w:val="18"/>
                      <w:shd w:val="clear" w:color="auto" w:fill="FFFFFF"/>
                      <w:vertAlign w:val="subscript"/>
                    </w:rPr>
                    <w:t>6</w:t>
                  </w:r>
                  <w:r>
                    <w:rPr>
                      <w:rFonts w:eastAsia="Helvetica"/>
                      <w:color w:val="auto"/>
                      <w:sz w:val="18"/>
                      <w:szCs w:val="18"/>
                      <w:shd w:val="clear" w:color="auto" w:fill="FFFFFF"/>
                    </w:rPr>
                    <w:t>Br</w:t>
                  </w:r>
                  <w:r>
                    <w:rPr>
                      <w:rFonts w:eastAsia="Helvetica"/>
                      <w:color w:val="auto"/>
                      <w:sz w:val="18"/>
                      <w:szCs w:val="18"/>
                      <w:shd w:val="clear" w:color="auto" w:fill="FFFFFF"/>
                      <w:vertAlign w:val="subscript"/>
                    </w:rPr>
                    <w:t>2</w:t>
                  </w:r>
                </w:p>
              </w:tc>
              <w:tc>
                <w:tcPr>
                  <w:tcW w:w="762" w:type="dxa"/>
                  <w:vAlign w:val="center"/>
                </w:tcPr>
                <w:p w14:paraId="16CD7138">
                  <w:pPr>
                    <w:jc w:val="center"/>
                    <w:rPr>
                      <w:color w:val="auto"/>
                      <w:sz w:val="18"/>
                      <w:szCs w:val="18"/>
                    </w:rPr>
                  </w:pPr>
                  <w:r>
                    <w:rPr>
                      <w:rFonts w:hint="eastAsia"/>
                      <w:color w:val="auto"/>
                      <w:sz w:val="18"/>
                      <w:szCs w:val="18"/>
                    </w:rPr>
                    <w:t>0.5</w:t>
                  </w:r>
                </w:p>
              </w:tc>
              <w:tc>
                <w:tcPr>
                  <w:tcW w:w="817" w:type="dxa"/>
                  <w:vAlign w:val="center"/>
                </w:tcPr>
                <w:p w14:paraId="627D3095">
                  <w:pPr>
                    <w:jc w:val="center"/>
                    <w:rPr>
                      <w:color w:val="auto"/>
                      <w:sz w:val="18"/>
                      <w:szCs w:val="18"/>
                    </w:rPr>
                  </w:pPr>
                  <w:r>
                    <w:rPr>
                      <w:rFonts w:hint="eastAsia"/>
                      <w:color w:val="auto"/>
                      <w:sz w:val="18"/>
                      <w:szCs w:val="18"/>
                    </w:rPr>
                    <w:t>0.5</w:t>
                  </w:r>
                </w:p>
              </w:tc>
              <w:tc>
                <w:tcPr>
                  <w:tcW w:w="1387" w:type="dxa"/>
                  <w:vAlign w:val="center"/>
                </w:tcPr>
                <w:p w14:paraId="77BDA9A7">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42227097">
                  <w:pPr>
                    <w:pStyle w:val="4"/>
                    <w:spacing w:before="0" w:after="0" w:line="240" w:lineRule="auto"/>
                    <w:rPr>
                      <w:color w:val="auto"/>
                    </w:rPr>
                  </w:pPr>
                </w:p>
              </w:tc>
            </w:tr>
            <w:tr w14:paraId="128C6D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2639B0D2">
                  <w:pPr>
                    <w:jc w:val="center"/>
                    <w:rPr>
                      <w:color w:val="auto"/>
                      <w:sz w:val="18"/>
                      <w:szCs w:val="18"/>
                    </w:rPr>
                  </w:pPr>
                </w:p>
              </w:tc>
              <w:tc>
                <w:tcPr>
                  <w:tcW w:w="809" w:type="dxa"/>
                  <w:vMerge w:val="continue"/>
                  <w:vAlign w:val="center"/>
                </w:tcPr>
                <w:p w14:paraId="0E411F84">
                  <w:pPr>
                    <w:jc w:val="center"/>
                    <w:rPr>
                      <w:color w:val="auto"/>
                      <w:sz w:val="18"/>
                      <w:szCs w:val="18"/>
                    </w:rPr>
                  </w:pPr>
                </w:p>
              </w:tc>
              <w:tc>
                <w:tcPr>
                  <w:tcW w:w="1506" w:type="dxa"/>
                  <w:vAlign w:val="center"/>
                </w:tcPr>
                <w:p w14:paraId="7362B968">
                  <w:pPr>
                    <w:jc w:val="center"/>
                    <w:rPr>
                      <w:color w:val="auto"/>
                      <w:sz w:val="18"/>
                      <w:szCs w:val="18"/>
                    </w:rPr>
                  </w:pPr>
                  <w:r>
                    <w:rPr>
                      <w:color w:val="auto"/>
                      <w:sz w:val="18"/>
                      <w:szCs w:val="18"/>
                    </w:rPr>
                    <w:t>4-溴氟苯</w:t>
                  </w:r>
                </w:p>
              </w:tc>
              <w:tc>
                <w:tcPr>
                  <w:tcW w:w="2052" w:type="dxa"/>
                  <w:vAlign w:val="center"/>
                </w:tcPr>
                <w:p w14:paraId="2D6FBC4D">
                  <w:pPr>
                    <w:jc w:val="center"/>
                    <w:rPr>
                      <w:color w:val="auto"/>
                      <w:sz w:val="18"/>
                      <w:szCs w:val="18"/>
                    </w:rPr>
                  </w:pPr>
                  <w:r>
                    <w:rPr>
                      <w:rFonts w:hint="eastAsia"/>
                      <w:color w:val="auto"/>
                      <w:sz w:val="18"/>
                      <w:szCs w:val="18"/>
                    </w:rPr>
                    <w:t>98.0%，标准品，</w:t>
                  </w:r>
                  <w:r>
                    <w:rPr>
                      <w:color w:val="auto"/>
                      <w:sz w:val="18"/>
                      <w:szCs w:val="18"/>
                    </w:rPr>
                    <w:t>C</w:t>
                  </w:r>
                  <w:r>
                    <w:rPr>
                      <w:color w:val="auto"/>
                      <w:sz w:val="18"/>
                      <w:szCs w:val="18"/>
                      <w:vertAlign w:val="subscript"/>
                    </w:rPr>
                    <w:t>6</w:t>
                  </w:r>
                  <w:r>
                    <w:rPr>
                      <w:color w:val="auto"/>
                      <w:sz w:val="18"/>
                      <w:szCs w:val="18"/>
                    </w:rPr>
                    <w:t>H</w:t>
                  </w:r>
                  <w:r>
                    <w:rPr>
                      <w:color w:val="auto"/>
                      <w:sz w:val="18"/>
                      <w:szCs w:val="18"/>
                      <w:vertAlign w:val="subscript"/>
                    </w:rPr>
                    <w:t>4</w:t>
                  </w:r>
                  <w:r>
                    <w:rPr>
                      <w:color w:val="auto"/>
                      <w:sz w:val="18"/>
                      <w:szCs w:val="18"/>
                    </w:rPr>
                    <w:t>BrF</w:t>
                  </w:r>
                </w:p>
              </w:tc>
              <w:tc>
                <w:tcPr>
                  <w:tcW w:w="762" w:type="dxa"/>
                  <w:vAlign w:val="center"/>
                </w:tcPr>
                <w:p w14:paraId="329790A5">
                  <w:pPr>
                    <w:jc w:val="center"/>
                    <w:rPr>
                      <w:color w:val="auto"/>
                      <w:sz w:val="18"/>
                      <w:szCs w:val="18"/>
                    </w:rPr>
                  </w:pPr>
                  <w:r>
                    <w:rPr>
                      <w:rFonts w:hint="eastAsia"/>
                      <w:color w:val="auto"/>
                      <w:sz w:val="18"/>
                      <w:szCs w:val="18"/>
                    </w:rPr>
                    <w:t>0.5</w:t>
                  </w:r>
                </w:p>
              </w:tc>
              <w:tc>
                <w:tcPr>
                  <w:tcW w:w="817" w:type="dxa"/>
                  <w:vAlign w:val="center"/>
                </w:tcPr>
                <w:p w14:paraId="7B94C608">
                  <w:pPr>
                    <w:jc w:val="center"/>
                    <w:rPr>
                      <w:color w:val="auto"/>
                      <w:sz w:val="18"/>
                      <w:szCs w:val="18"/>
                    </w:rPr>
                  </w:pPr>
                  <w:r>
                    <w:rPr>
                      <w:rFonts w:hint="eastAsia"/>
                      <w:color w:val="auto"/>
                      <w:sz w:val="18"/>
                      <w:szCs w:val="18"/>
                    </w:rPr>
                    <w:t>0.5</w:t>
                  </w:r>
                </w:p>
              </w:tc>
              <w:tc>
                <w:tcPr>
                  <w:tcW w:w="1387" w:type="dxa"/>
                  <w:vAlign w:val="center"/>
                </w:tcPr>
                <w:p w14:paraId="157E14AC">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20EBD664">
                  <w:pPr>
                    <w:pStyle w:val="4"/>
                    <w:spacing w:before="0" w:after="0" w:line="240" w:lineRule="auto"/>
                    <w:rPr>
                      <w:color w:val="auto"/>
                    </w:rPr>
                  </w:pPr>
                </w:p>
              </w:tc>
            </w:tr>
            <w:tr w14:paraId="7A7E51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9" w:hRule="atLeast"/>
                <w:jc w:val="center"/>
              </w:trPr>
              <w:tc>
                <w:tcPr>
                  <w:tcW w:w="669" w:type="dxa"/>
                  <w:vMerge w:val="continue"/>
                  <w:vAlign w:val="center"/>
                </w:tcPr>
                <w:p w14:paraId="30602961">
                  <w:pPr>
                    <w:jc w:val="center"/>
                    <w:rPr>
                      <w:color w:val="auto"/>
                      <w:sz w:val="18"/>
                      <w:szCs w:val="18"/>
                    </w:rPr>
                  </w:pPr>
                </w:p>
              </w:tc>
              <w:tc>
                <w:tcPr>
                  <w:tcW w:w="809" w:type="dxa"/>
                  <w:vMerge w:val="continue"/>
                  <w:vAlign w:val="center"/>
                </w:tcPr>
                <w:p w14:paraId="74204381">
                  <w:pPr>
                    <w:jc w:val="center"/>
                    <w:rPr>
                      <w:color w:val="auto"/>
                      <w:sz w:val="18"/>
                      <w:szCs w:val="18"/>
                    </w:rPr>
                  </w:pPr>
                </w:p>
              </w:tc>
              <w:tc>
                <w:tcPr>
                  <w:tcW w:w="1506" w:type="dxa"/>
                  <w:vAlign w:val="center"/>
                </w:tcPr>
                <w:p w14:paraId="14CAA0D4">
                  <w:pPr>
                    <w:jc w:val="center"/>
                    <w:rPr>
                      <w:color w:val="auto"/>
                      <w:sz w:val="18"/>
                      <w:szCs w:val="18"/>
                    </w:rPr>
                  </w:pPr>
                  <w:r>
                    <w:rPr>
                      <w:color w:val="auto"/>
                      <w:sz w:val="18"/>
                      <w:szCs w:val="18"/>
                    </w:rPr>
                    <w:t>2-异丁基-3-甲氧基吡嗪</w:t>
                  </w:r>
                </w:p>
              </w:tc>
              <w:tc>
                <w:tcPr>
                  <w:tcW w:w="2052" w:type="dxa"/>
                  <w:vAlign w:val="center"/>
                </w:tcPr>
                <w:p w14:paraId="3C88AD52">
                  <w:pPr>
                    <w:jc w:val="center"/>
                    <w:rPr>
                      <w:color w:val="auto"/>
                      <w:sz w:val="18"/>
                      <w:szCs w:val="18"/>
                    </w:rPr>
                  </w:pPr>
                  <w:r>
                    <w:rPr>
                      <w:rFonts w:hint="eastAsia"/>
                      <w:color w:val="auto"/>
                      <w:sz w:val="18"/>
                      <w:szCs w:val="18"/>
                    </w:rPr>
                    <w:t>98.0%，标准品，</w:t>
                  </w:r>
                  <w:r>
                    <w:rPr>
                      <w:color w:val="auto"/>
                      <w:sz w:val="18"/>
                      <w:szCs w:val="18"/>
                    </w:rPr>
                    <w:t>C</w:t>
                  </w:r>
                  <w:r>
                    <w:rPr>
                      <w:color w:val="auto"/>
                      <w:sz w:val="18"/>
                      <w:szCs w:val="18"/>
                      <w:vertAlign w:val="subscript"/>
                    </w:rPr>
                    <w:t>9</w:t>
                  </w:r>
                  <w:r>
                    <w:rPr>
                      <w:color w:val="auto"/>
                      <w:sz w:val="18"/>
                      <w:szCs w:val="18"/>
                    </w:rPr>
                    <w:t>H</w:t>
                  </w:r>
                  <w:r>
                    <w:rPr>
                      <w:color w:val="auto"/>
                      <w:sz w:val="18"/>
                      <w:szCs w:val="18"/>
                      <w:vertAlign w:val="subscript"/>
                    </w:rPr>
                    <w:t>14</w:t>
                  </w:r>
                  <w:r>
                    <w:rPr>
                      <w:color w:val="auto"/>
                      <w:sz w:val="18"/>
                      <w:szCs w:val="18"/>
                    </w:rPr>
                    <w:t>N</w:t>
                  </w:r>
                  <w:r>
                    <w:rPr>
                      <w:color w:val="auto"/>
                      <w:sz w:val="18"/>
                      <w:szCs w:val="18"/>
                      <w:vertAlign w:val="subscript"/>
                    </w:rPr>
                    <w:t>2</w:t>
                  </w:r>
                  <w:r>
                    <w:rPr>
                      <w:color w:val="auto"/>
                      <w:sz w:val="18"/>
                      <w:szCs w:val="18"/>
                    </w:rPr>
                    <w:t>O</w:t>
                  </w:r>
                </w:p>
              </w:tc>
              <w:tc>
                <w:tcPr>
                  <w:tcW w:w="762" w:type="dxa"/>
                  <w:vAlign w:val="center"/>
                </w:tcPr>
                <w:p w14:paraId="626E077E">
                  <w:pPr>
                    <w:jc w:val="center"/>
                    <w:rPr>
                      <w:color w:val="auto"/>
                      <w:sz w:val="18"/>
                      <w:szCs w:val="18"/>
                    </w:rPr>
                  </w:pPr>
                  <w:r>
                    <w:rPr>
                      <w:rFonts w:hint="eastAsia"/>
                      <w:color w:val="auto"/>
                      <w:sz w:val="18"/>
                      <w:szCs w:val="18"/>
                    </w:rPr>
                    <w:t>0.5</w:t>
                  </w:r>
                </w:p>
              </w:tc>
              <w:tc>
                <w:tcPr>
                  <w:tcW w:w="817" w:type="dxa"/>
                  <w:vAlign w:val="center"/>
                </w:tcPr>
                <w:p w14:paraId="32224B69">
                  <w:pPr>
                    <w:jc w:val="center"/>
                    <w:rPr>
                      <w:color w:val="auto"/>
                      <w:sz w:val="18"/>
                      <w:szCs w:val="18"/>
                    </w:rPr>
                  </w:pPr>
                  <w:r>
                    <w:rPr>
                      <w:rFonts w:hint="eastAsia"/>
                      <w:color w:val="auto"/>
                      <w:sz w:val="18"/>
                      <w:szCs w:val="18"/>
                    </w:rPr>
                    <w:t>0.5</w:t>
                  </w:r>
                </w:p>
              </w:tc>
              <w:tc>
                <w:tcPr>
                  <w:tcW w:w="1387" w:type="dxa"/>
                  <w:vAlign w:val="center"/>
                </w:tcPr>
                <w:p w14:paraId="68B3BE6E">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529D6025">
                  <w:pPr>
                    <w:pStyle w:val="4"/>
                    <w:spacing w:before="0" w:after="0" w:line="240" w:lineRule="auto"/>
                    <w:rPr>
                      <w:color w:val="auto"/>
                    </w:rPr>
                  </w:pPr>
                </w:p>
              </w:tc>
            </w:tr>
            <w:tr w14:paraId="5D5F17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9" w:hRule="atLeast"/>
                <w:jc w:val="center"/>
              </w:trPr>
              <w:tc>
                <w:tcPr>
                  <w:tcW w:w="669" w:type="dxa"/>
                  <w:vMerge w:val="continue"/>
                  <w:vAlign w:val="center"/>
                </w:tcPr>
                <w:p w14:paraId="5B0EF77D">
                  <w:pPr>
                    <w:jc w:val="center"/>
                    <w:rPr>
                      <w:color w:val="auto"/>
                      <w:sz w:val="18"/>
                      <w:szCs w:val="18"/>
                    </w:rPr>
                  </w:pPr>
                </w:p>
              </w:tc>
              <w:tc>
                <w:tcPr>
                  <w:tcW w:w="809" w:type="dxa"/>
                  <w:vMerge w:val="continue"/>
                  <w:vAlign w:val="center"/>
                </w:tcPr>
                <w:p w14:paraId="68395A70">
                  <w:pPr>
                    <w:jc w:val="center"/>
                    <w:rPr>
                      <w:color w:val="auto"/>
                      <w:sz w:val="18"/>
                      <w:szCs w:val="18"/>
                    </w:rPr>
                  </w:pPr>
                </w:p>
              </w:tc>
              <w:tc>
                <w:tcPr>
                  <w:tcW w:w="1506" w:type="dxa"/>
                  <w:vAlign w:val="center"/>
                </w:tcPr>
                <w:p w14:paraId="7B4F6755">
                  <w:pPr>
                    <w:jc w:val="center"/>
                    <w:rPr>
                      <w:color w:val="auto"/>
                      <w:sz w:val="18"/>
                      <w:szCs w:val="18"/>
                    </w:rPr>
                  </w:pPr>
                  <w:r>
                    <w:rPr>
                      <w:color w:val="auto"/>
                      <w:sz w:val="18"/>
                      <w:szCs w:val="18"/>
                    </w:rPr>
                    <w:t>2-异丙基-3-甲氧基吡嗪</w:t>
                  </w:r>
                </w:p>
              </w:tc>
              <w:tc>
                <w:tcPr>
                  <w:tcW w:w="2052" w:type="dxa"/>
                  <w:vAlign w:val="center"/>
                </w:tcPr>
                <w:p w14:paraId="303C1041">
                  <w:pPr>
                    <w:jc w:val="center"/>
                    <w:rPr>
                      <w:color w:val="auto"/>
                      <w:sz w:val="18"/>
                      <w:szCs w:val="18"/>
                    </w:rPr>
                  </w:pPr>
                  <w:r>
                    <w:rPr>
                      <w:rFonts w:hint="eastAsia"/>
                      <w:color w:val="auto"/>
                      <w:sz w:val="18"/>
                      <w:szCs w:val="18"/>
                    </w:rPr>
                    <w:t>98.0%，标准品，</w:t>
                  </w:r>
                  <w:r>
                    <w:rPr>
                      <w:rFonts w:eastAsia="Helvetica"/>
                      <w:color w:val="auto"/>
                      <w:sz w:val="18"/>
                      <w:szCs w:val="18"/>
                      <w:shd w:val="clear" w:color="auto" w:fill="FFFFFF"/>
                    </w:rPr>
                    <w:t>C</w:t>
                  </w:r>
                  <w:r>
                    <w:rPr>
                      <w:rFonts w:eastAsia="Helvetica"/>
                      <w:color w:val="auto"/>
                      <w:sz w:val="18"/>
                      <w:szCs w:val="18"/>
                      <w:shd w:val="clear" w:color="auto" w:fill="FFFFFF"/>
                      <w:vertAlign w:val="subscript"/>
                    </w:rPr>
                    <w:t>8</w:t>
                  </w:r>
                  <w:r>
                    <w:rPr>
                      <w:rFonts w:eastAsia="Helvetica"/>
                      <w:color w:val="auto"/>
                      <w:sz w:val="18"/>
                      <w:szCs w:val="18"/>
                      <w:shd w:val="clear" w:color="auto" w:fill="FFFFFF"/>
                    </w:rPr>
                    <w:t>H</w:t>
                  </w:r>
                  <w:r>
                    <w:rPr>
                      <w:rFonts w:eastAsia="Helvetica"/>
                      <w:color w:val="auto"/>
                      <w:sz w:val="18"/>
                      <w:szCs w:val="18"/>
                      <w:shd w:val="clear" w:color="auto" w:fill="FFFFFF"/>
                      <w:vertAlign w:val="subscript"/>
                    </w:rPr>
                    <w:t>12</w:t>
                  </w:r>
                  <w:r>
                    <w:rPr>
                      <w:rFonts w:eastAsia="Helvetica"/>
                      <w:color w:val="auto"/>
                      <w:sz w:val="18"/>
                      <w:szCs w:val="18"/>
                      <w:shd w:val="clear" w:color="auto" w:fill="FFFFFF"/>
                    </w:rPr>
                    <w:t>N</w:t>
                  </w:r>
                  <w:r>
                    <w:rPr>
                      <w:rFonts w:eastAsia="Helvetica"/>
                      <w:color w:val="auto"/>
                      <w:sz w:val="18"/>
                      <w:szCs w:val="18"/>
                      <w:shd w:val="clear" w:color="auto" w:fill="FFFFFF"/>
                      <w:vertAlign w:val="subscript"/>
                    </w:rPr>
                    <w:t>2</w:t>
                  </w:r>
                  <w:r>
                    <w:rPr>
                      <w:rFonts w:eastAsia="Helvetica"/>
                      <w:color w:val="auto"/>
                      <w:sz w:val="18"/>
                      <w:szCs w:val="18"/>
                      <w:shd w:val="clear" w:color="auto" w:fill="FFFFFF"/>
                    </w:rPr>
                    <w:t>O</w:t>
                  </w:r>
                </w:p>
              </w:tc>
              <w:tc>
                <w:tcPr>
                  <w:tcW w:w="762" w:type="dxa"/>
                  <w:vAlign w:val="center"/>
                </w:tcPr>
                <w:p w14:paraId="0B486881">
                  <w:pPr>
                    <w:jc w:val="center"/>
                    <w:rPr>
                      <w:color w:val="auto"/>
                      <w:sz w:val="18"/>
                      <w:szCs w:val="18"/>
                    </w:rPr>
                  </w:pPr>
                  <w:r>
                    <w:rPr>
                      <w:rFonts w:hint="eastAsia"/>
                      <w:color w:val="auto"/>
                      <w:sz w:val="18"/>
                      <w:szCs w:val="18"/>
                    </w:rPr>
                    <w:t>0.5</w:t>
                  </w:r>
                </w:p>
              </w:tc>
              <w:tc>
                <w:tcPr>
                  <w:tcW w:w="817" w:type="dxa"/>
                  <w:vAlign w:val="center"/>
                </w:tcPr>
                <w:p w14:paraId="73DDDD00">
                  <w:pPr>
                    <w:jc w:val="center"/>
                    <w:rPr>
                      <w:color w:val="auto"/>
                      <w:sz w:val="18"/>
                      <w:szCs w:val="18"/>
                    </w:rPr>
                  </w:pPr>
                  <w:r>
                    <w:rPr>
                      <w:rFonts w:hint="eastAsia"/>
                      <w:color w:val="auto"/>
                      <w:sz w:val="18"/>
                      <w:szCs w:val="18"/>
                    </w:rPr>
                    <w:t>0.5</w:t>
                  </w:r>
                </w:p>
              </w:tc>
              <w:tc>
                <w:tcPr>
                  <w:tcW w:w="1387" w:type="dxa"/>
                  <w:vAlign w:val="center"/>
                </w:tcPr>
                <w:p w14:paraId="2174356C">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023243C9">
                  <w:pPr>
                    <w:pStyle w:val="4"/>
                    <w:spacing w:before="0" w:after="0" w:line="240" w:lineRule="auto"/>
                    <w:rPr>
                      <w:color w:val="auto"/>
                    </w:rPr>
                  </w:pPr>
                </w:p>
              </w:tc>
            </w:tr>
            <w:tr w14:paraId="25182A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2412FDFB">
                  <w:pPr>
                    <w:jc w:val="center"/>
                    <w:rPr>
                      <w:color w:val="auto"/>
                      <w:sz w:val="18"/>
                      <w:szCs w:val="18"/>
                    </w:rPr>
                  </w:pPr>
                </w:p>
              </w:tc>
              <w:tc>
                <w:tcPr>
                  <w:tcW w:w="809" w:type="dxa"/>
                  <w:vMerge w:val="continue"/>
                  <w:vAlign w:val="center"/>
                </w:tcPr>
                <w:p w14:paraId="07A64BF2">
                  <w:pPr>
                    <w:jc w:val="center"/>
                    <w:rPr>
                      <w:color w:val="auto"/>
                      <w:sz w:val="18"/>
                      <w:szCs w:val="18"/>
                    </w:rPr>
                  </w:pPr>
                </w:p>
              </w:tc>
              <w:tc>
                <w:tcPr>
                  <w:tcW w:w="1506" w:type="dxa"/>
                  <w:vAlign w:val="center"/>
                </w:tcPr>
                <w:p w14:paraId="11BC3A84">
                  <w:pPr>
                    <w:jc w:val="center"/>
                    <w:rPr>
                      <w:color w:val="auto"/>
                      <w:sz w:val="18"/>
                      <w:szCs w:val="18"/>
                    </w:rPr>
                  </w:pPr>
                  <w:r>
                    <w:rPr>
                      <w:color w:val="auto"/>
                      <w:sz w:val="18"/>
                      <w:szCs w:val="18"/>
                    </w:rPr>
                    <w:t>β-紫罗兰酮</w:t>
                  </w:r>
                </w:p>
              </w:tc>
              <w:tc>
                <w:tcPr>
                  <w:tcW w:w="2052" w:type="dxa"/>
                  <w:vAlign w:val="center"/>
                </w:tcPr>
                <w:p w14:paraId="7D1D84E2">
                  <w:pPr>
                    <w:jc w:val="center"/>
                    <w:rPr>
                      <w:color w:val="auto"/>
                      <w:sz w:val="18"/>
                      <w:szCs w:val="18"/>
                    </w:rPr>
                  </w:pPr>
                  <w:r>
                    <w:rPr>
                      <w:rFonts w:hint="eastAsia"/>
                      <w:color w:val="auto"/>
                      <w:sz w:val="18"/>
                      <w:szCs w:val="18"/>
                    </w:rPr>
                    <w:t>98.0%，AR，C</w:t>
                  </w:r>
                  <w:r>
                    <w:rPr>
                      <w:rFonts w:hint="eastAsia"/>
                      <w:color w:val="auto"/>
                      <w:sz w:val="18"/>
                      <w:szCs w:val="18"/>
                      <w:vertAlign w:val="subscript"/>
                    </w:rPr>
                    <w:t>13</w:t>
                  </w:r>
                  <w:r>
                    <w:rPr>
                      <w:rFonts w:hint="eastAsia"/>
                      <w:color w:val="auto"/>
                      <w:sz w:val="18"/>
                      <w:szCs w:val="18"/>
                    </w:rPr>
                    <w:t>H</w:t>
                  </w:r>
                  <w:r>
                    <w:rPr>
                      <w:rFonts w:hint="eastAsia"/>
                      <w:color w:val="auto"/>
                      <w:sz w:val="18"/>
                      <w:szCs w:val="18"/>
                      <w:vertAlign w:val="subscript"/>
                    </w:rPr>
                    <w:t>20</w:t>
                  </w:r>
                  <w:r>
                    <w:rPr>
                      <w:rFonts w:hint="eastAsia"/>
                      <w:color w:val="auto"/>
                      <w:sz w:val="18"/>
                      <w:szCs w:val="18"/>
                    </w:rPr>
                    <w:t>O</w:t>
                  </w:r>
                </w:p>
              </w:tc>
              <w:tc>
                <w:tcPr>
                  <w:tcW w:w="762" w:type="dxa"/>
                  <w:vAlign w:val="center"/>
                </w:tcPr>
                <w:p w14:paraId="707FD560">
                  <w:pPr>
                    <w:jc w:val="center"/>
                    <w:rPr>
                      <w:color w:val="auto"/>
                      <w:sz w:val="18"/>
                      <w:szCs w:val="18"/>
                    </w:rPr>
                  </w:pPr>
                  <w:r>
                    <w:rPr>
                      <w:rFonts w:hint="eastAsia"/>
                      <w:color w:val="auto"/>
                      <w:sz w:val="18"/>
                      <w:szCs w:val="18"/>
                    </w:rPr>
                    <w:t>0.5</w:t>
                  </w:r>
                </w:p>
              </w:tc>
              <w:tc>
                <w:tcPr>
                  <w:tcW w:w="817" w:type="dxa"/>
                  <w:vAlign w:val="center"/>
                </w:tcPr>
                <w:p w14:paraId="7329A6B4">
                  <w:pPr>
                    <w:jc w:val="center"/>
                    <w:rPr>
                      <w:color w:val="auto"/>
                      <w:sz w:val="18"/>
                      <w:szCs w:val="18"/>
                    </w:rPr>
                  </w:pPr>
                  <w:r>
                    <w:rPr>
                      <w:rFonts w:hint="eastAsia"/>
                      <w:color w:val="auto"/>
                      <w:sz w:val="18"/>
                      <w:szCs w:val="18"/>
                    </w:rPr>
                    <w:t>0.5</w:t>
                  </w:r>
                </w:p>
              </w:tc>
              <w:tc>
                <w:tcPr>
                  <w:tcW w:w="1387" w:type="dxa"/>
                  <w:vAlign w:val="center"/>
                </w:tcPr>
                <w:p w14:paraId="1FED37B6">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6A7EFF61">
                  <w:pPr>
                    <w:pStyle w:val="4"/>
                    <w:spacing w:before="0" w:after="0" w:line="240" w:lineRule="auto"/>
                    <w:rPr>
                      <w:color w:val="auto"/>
                    </w:rPr>
                  </w:pPr>
                </w:p>
              </w:tc>
            </w:tr>
            <w:tr w14:paraId="0945A4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9" w:hRule="atLeast"/>
                <w:jc w:val="center"/>
              </w:trPr>
              <w:tc>
                <w:tcPr>
                  <w:tcW w:w="669" w:type="dxa"/>
                  <w:vMerge w:val="continue"/>
                  <w:vAlign w:val="center"/>
                </w:tcPr>
                <w:p w14:paraId="2B1A607A">
                  <w:pPr>
                    <w:jc w:val="center"/>
                    <w:rPr>
                      <w:color w:val="auto"/>
                      <w:sz w:val="18"/>
                      <w:szCs w:val="18"/>
                    </w:rPr>
                  </w:pPr>
                </w:p>
              </w:tc>
              <w:tc>
                <w:tcPr>
                  <w:tcW w:w="809" w:type="dxa"/>
                  <w:vMerge w:val="continue"/>
                  <w:vAlign w:val="center"/>
                </w:tcPr>
                <w:p w14:paraId="2DF3DFC5">
                  <w:pPr>
                    <w:jc w:val="center"/>
                    <w:rPr>
                      <w:color w:val="auto"/>
                      <w:sz w:val="18"/>
                      <w:szCs w:val="18"/>
                    </w:rPr>
                  </w:pPr>
                </w:p>
              </w:tc>
              <w:tc>
                <w:tcPr>
                  <w:tcW w:w="1506" w:type="dxa"/>
                  <w:vAlign w:val="center"/>
                </w:tcPr>
                <w:p w14:paraId="7FDC4BEC">
                  <w:pPr>
                    <w:jc w:val="center"/>
                    <w:rPr>
                      <w:color w:val="auto"/>
                      <w:sz w:val="18"/>
                      <w:szCs w:val="18"/>
                    </w:rPr>
                  </w:pPr>
                  <w:r>
                    <w:rPr>
                      <w:color w:val="auto"/>
                      <w:sz w:val="18"/>
                      <w:szCs w:val="18"/>
                    </w:rPr>
                    <w:t>N-亚硝基正丙胺-D14</w:t>
                  </w:r>
                </w:p>
              </w:tc>
              <w:tc>
                <w:tcPr>
                  <w:tcW w:w="2052" w:type="dxa"/>
                  <w:vAlign w:val="center"/>
                </w:tcPr>
                <w:p w14:paraId="4159A840">
                  <w:pPr>
                    <w:jc w:val="center"/>
                    <w:rPr>
                      <w:color w:val="auto"/>
                      <w:sz w:val="18"/>
                      <w:szCs w:val="18"/>
                    </w:rPr>
                  </w:pPr>
                  <w:r>
                    <w:rPr>
                      <w:rFonts w:hint="eastAsia"/>
                      <w:color w:val="auto"/>
                      <w:sz w:val="18"/>
                      <w:szCs w:val="18"/>
                    </w:rPr>
                    <w:t>98.0%，标准品，</w:t>
                  </w:r>
                  <w:r>
                    <w:rPr>
                      <w:rFonts w:eastAsia="Helvetica"/>
                      <w:color w:val="auto"/>
                      <w:sz w:val="18"/>
                      <w:szCs w:val="18"/>
                      <w:shd w:val="clear" w:color="auto" w:fill="FFFFFF"/>
                    </w:rPr>
                    <w:t>C</w:t>
                  </w:r>
                  <w:r>
                    <w:rPr>
                      <w:rFonts w:eastAsia="Helvetica"/>
                      <w:color w:val="auto"/>
                      <w:sz w:val="18"/>
                      <w:szCs w:val="18"/>
                      <w:shd w:val="clear" w:color="auto" w:fill="FFFFFF"/>
                      <w:vertAlign w:val="subscript"/>
                    </w:rPr>
                    <w:t>6</w:t>
                  </w:r>
                  <w:r>
                    <w:rPr>
                      <w:rFonts w:eastAsia="Helvetica"/>
                      <w:color w:val="auto"/>
                      <w:sz w:val="18"/>
                      <w:szCs w:val="18"/>
                      <w:shd w:val="clear" w:color="auto" w:fill="FFFFFF"/>
                    </w:rPr>
                    <w:t>H</w:t>
                  </w:r>
                  <w:r>
                    <w:rPr>
                      <w:rFonts w:eastAsia="Helvetica"/>
                      <w:color w:val="auto"/>
                      <w:sz w:val="18"/>
                      <w:szCs w:val="18"/>
                      <w:shd w:val="clear" w:color="auto" w:fill="FFFFFF"/>
                      <w:vertAlign w:val="subscript"/>
                    </w:rPr>
                    <w:t>14</w:t>
                  </w:r>
                  <w:r>
                    <w:rPr>
                      <w:rFonts w:eastAsia="Helvetica"/>
                      <w:color w:val="auto"/>
                      <w:sz w:val="18"/>
                      <w:szCs w:val="18"/>
                      <w:shd w:val="clear" w:color="auto" w:fill="FFFFFF"/>
                    </w:rPr>
                    <w:t>N</w:t>
                  </w:r>
                  <w:r>
                    <w:rPr>
                      <w:rFonts w:eastAsia="Helvetica"/>
                      <w:color w:val="auto"/>
                      <w:sz w:val="18"/>
                      <w:szCs w:val="18"/>
                      <w:shd w:val="clear" w:color="auto" w:fill="FFFFFF"/>
                      <w:vertAlign w:val="subscript"/>
                    </w:rPr>
                    <w:t>20</w:t>
                  </w:r>
                </w:p>
              </w:tc>
              <w:tc>
                <w:tcPr>
                  <w:tcW w:w="762" w:type="dxa"/>
                  <w:vAlign w:val="center"/>
                </w:tcPr>
                <w:p w14:paraId="2798817C">
                  <w:pPr>
                    <w:jc w:val="center"/>
                    <w:rPr>
                      <w:color w:val="auto"/>
                      <w:sz w:val="18"/>
                      <w:szCs w:val="18"/>
                    </w:rPr>
                  </w:pPr>
                  <w:r>
                    <w:rPr>
                      <w:rFonts w:hint="eastAsia"/>
                      <w:color w:val="auto"/>
                      <w:sz w:val="18"/>
                      <w:szCs w:val="18"/>
                    </w:rPr>
                    <w:t>0.5</w:t>
                  </w:r>
                </w:p>
              </w:tc>
              <w:tc>
                <w:tcPr>
                  <w:tcW w:w="817" w:type="dxa"/>
                  <w:vAlign w:val="center"/>
                </w:tcPr>
                <w:p w14:paraId="20AC2A8C">
                  <w:pPr>
                    <w:jc w:val="center"/>
                    <w:rPr>
                      <w:color w:val="auto"/>
                      <w:sz w:val="18"/>
                      <w:szCs w:val="18"/>
                    </w:rPr>
                  </w:pPr>
                  <w:r>
                    <w:rPr>
                      <w:rFonts w:hint="eastAsia"/>
                      <w:color w:val="auto"/>
                      <w:sz w:val="18"/>
                      <w:szCs w:val="18"/>
                    </w:rPr>
                    <w:t>0.5</w:t>
                  </w:r>
                </w:p>
              </w:tc>
              <w:tc>
                <w:tcPr>
                  <w:tcW w:w="1387" w:type="dxa"/>
                  <w:vAlign w:val="center"/>
                </w:tcPr>
                <w:p w14:paraId="07E8EEB1">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0E19A7C3">
                  <w:pPr>
                    <w:pStyle w:val="4"/>
                    <w:spacing w:before="0" w:after="0" w:line="240" w:lineRule="auto"/>
                    <w:rPr>
                      <w:color w:val="auto"/>
                    </w:rPr>
                  </w:pPr>
                </w:p>
              </w:tc>
            </w:tr>
            <w:tr w14:paraId="369A5B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4FD038D1">
                  <w:pPr>
                    <w:jc w:val="center"/>
                    <w:rPr>
                      <w:color w:val="auto"/>
                      <w:sz w:val="18"/>
                      <w:szCs w:val="18"/>
                    </w:rPr>
                  </w:pPr>
                </w:p>
              </w:tc>
              <w:tc>
                <w:tcPr>
                  <w:tcW w:w="809" w:type="dxa"/>
                  <w:vMerge w:val="continue"/>
                  <w:vAlign w:val="center"/>
                </w:tcPr>
                <w:p w14:paraId="02209CCC">
                  <w:pPr>
                    <w:jc w:val="center"/>
                    <w:rPr>
                      <w:color w:val="auto"/>
                      <w:sz w:val="18"/>
                      <w:szCs w:val="18"/>
                    </w:rPr>
                  </w:pPr>
                </w:p>
              </w:tc>
              <w:tc>
                <w:tcPr>
                  <w:tcW w:w="1506" w:type="dxa"/>
                  <w:vAlign w:val="center"/>
                </w:tcPr>
                <w:p w14:paraId="382BDCAE">
                  <w:pPr>
                    <w:jc w:val="center"/>
                    <w:rPr>
                      <w:color w:val="auto"/>
                      <w:sz w:val="18"/>
                      <w:szCs w:val="18"/>
                    </w:rPr>
                  </w:pPr>
                  <w:r>
                    <w:rPr>
                      <w:color w:val="auto"/>
                      <w:sz w:val="18"/>
                      <w:szCs w:val="18"/>
                    </w:rPr>
                    <w:t>1,2,3,5-四氯苯</w:t>
                  </w:r>
                </w:p>
              </w:tc>
              <w:tc>
                <w:tcPr>
                  <w:tcW w:w="2052" w:type="dxa"/>
                  <w:vAlign w:val="center"/>
                </w:tcPr>
                <w:p w14:paraId="05BDDD41">
                  <w:pPr>
                    <w:jc w:val="center"/>
                    <w:rPr>
                      <w:color w:val="auto"/>
                      <w:sz w:val="18"/>
                      <w:szCs w:val="18"/>
                    </w:rPr>
                  </w:pPr>
                  <w:r>
                    <w:rPr>
                      <w:rFonts w:hint="eastAsia"/>
                      <w:color w:val="auto"/>
                      <w:sz w:val="18"/>
                      <w:szCs w:val="18"/>
                    </w:rPr>
                    <w:t>98.0%，AR，</w:t>
                  </w:r>
                  <w:r>
                    <w:rPr>
                      <w:rFonts w:eastAsia="Helvetica"/>
                      <w:color w:val="auto"/>
                      <w:sz w:val="18"/>
                      <w:szCs w:val="18"/>
                      <w:shd w:val="clear" w:color="auto" w:fill="FFFFFF"/>
                    </w:rPr>
                    <w:t>C</w:t>
                  </w:r>
                  <w:r>
                    <w:rPr>
                      <w:rFonts w:eastAsia="Helvetica"/>
                      <w:color w:val="auto"/>
                      <w:sz w:val="18"/>
                      <w:szCs w:val="18"/>
                      <w:shd w:val="clear" w:color="auto" w:fill="FFFFFF"/>
                      <w:vertAlign w:val="subscript"/>
                    </w:rPr>
                    <w:t>6</w:t>
                  </w:r>
                  <w:r>
                    <w:rPr>
                      <w:rFonts w:eastAsia="Helvetica"/>
                      <w:color w:val="auto"/>
                      <w:sz w:val="18"/>
                      <w:szCs w:val="18"/>
                      <w:shd w:val="clear" w:color="auto" w:fill="FFFFFF"/>
                    </w:rPr>
                    <w:t>H</w:t>
                  </w:r>
                  <w:r>
                    <w:rPr>
                      <w:rFonts w:eastAsia="Helvetica"/>
                      <w:color w:val="auto"/>
                      <w:sz w:val="18"/>
                      <w:szCs w:val="18"/>
                      <w:shd w:val="clear" w:color="auto" w:fill="FFFFFF"/>
                      <w:vertAlign w:val="subscript"/>
                    </w:rPr>
                    <w:t>2</w:t>
                  </w:r>
                  <w:r>
                    <w:rPr>
                      <w:rFonts w:eastAsia="Helvetica"/>
                      <w:color w:val="auto"/>
                      <w:sz w:val="18"/>
                      <w:szCs w:val="18"/>
                      <w:shd w:val="clear" w:color="auto" w:fill="FFFFFF"/>
                    </w:rPr>
                    <w:t>Cl</w:t>
                  </w:r>
                  <w:r>
                    <w:rPr>
                      <w:rFonts w:eastAsia="Helvetica"/>
                      <w:color w:val="auto"/>
                      <w:sz w:val="18"/>
                      <w:szCs w:val="18"/>
                      <w:shd w:val="clear" w:color="auto" w:fill="FFFFFF"/>
                      <w:vertAlign w:val="subscript"/>
                    </w:rPr>
                    <w:t>4</w:t>
                  </w:r>
                </w:p>
              </w:tc>
              <w:tc>
                <w:tcPr>
                  <w:tcW w:w="762" w:type="dxa"/>
                  <w:vAlign w:val="center"/>
                </w:tcPr>
                <w:p w14:paraId="5FDDA927">
                  <w:pPr>
                    <w:jc w:val="center"/>
                    <w:rPr>
                      <w:color w:val="auto"/>
                      <w:sz w:val="18"/>
                      <w:szCs w:val="18"/>
                    </w:rPr>
                  </w:pPr>
                  <w:r>
                    <w:rPr>
                      <w:rFonts w:hint="eastAsia"/>
                      <w:color w:val="auto"/>
                      <w:sz w:val="18"/>
                      <w:szCs w:val="18"/>
                    </w:rPr>
                    <w:t>0.5</w:t>
                  </w:r>
                </w:p>
              </w:tc>
              <w:tc>
                <w:tcPr>
                  <w:tcW w:w="817" w:type="dxa"/>
                  <w:vAlign w:val="center"/>
                </w:tcPr>
                <w:p w14:paraId="55AF3341">
                  <w:pPr>
                    <w:jc w:val="center"/>
                    <w:rPr>
                      <w:color w:val="auto"/>
                      <w:sz w:val="18"/>
                      <w:szCs w:val="18"/>
                    </w:rPr>
                  </w:pPr>
                  <w:r>
                    <w:rPr>
                      <w:rFonts w:hint="eastAsia"/>
                      <w:color w:val="auto"/>
                      <w:sz w:val="18"/>
                      <w:szCs w:val="18"/>
                    </w:rPr>
                    <w:t>0.5</w:t>
                  </w:r>
                </w:p>
              </w:tc>
              <w:tc>
                <w:tcPr>
                  <w:tcW w:w="1387" w:type="dxa"/>
                  <w:vAlign w:val="center"/>
                </w:tcPr>
                <w:p w14:paraId="3D4E28A5">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7A7A0839">
                  <w:pPr>
                    <w:pStyle w:val="4"/>
                    <w:spacing w:before="0" w:after="0" w:line="240" w:lineRule="auto"/>
                    <w:rPr>
                      <w:color w:val="auto"/>
                    </w:rPr>
                  </w:pPr>
                </w:p>
              </w:tc>
            </w:tr>
            <w:tr w14:paraId="18DAAF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5AA50F84">
                  <w:pPr>
                    <w:jc w:val="center"/>
                    <w:rPr>
                      <w:color w:val="auto"/>
                      <w:sz w:val="18"/>
                      <w:szCs w:val="18"/>
                    </w:rPr>
                  </w:pPr>
                </w:p>
              </w:tc>
              <w:tc>
                <w:tcPr>
                  <w:tcW w:w="809" w:type="dxa"/>
                  <w:vMerge w:val="continue"/>
                  <w:vAlign w:val="center"/>
                </w:tcPr>
                <w:p w14:paraId="09512175">
                  <w:pPr>
                    <w:jc w:val="center"/>
                    <w:rPr>
                      <w:color w:val="auto"/>
                      <w:sz w:val="18"/>
                      <w:szCs w:val="18"/>
                    </w:rPr>
                  </w:pPr>
                </w:p>
              </w:tc>
              <w:tc>
                <w:tcPr>
                  <w:tcW w:w="1506" w:type="dxa"/>
                  <w:vAlign w:val="center"/>
                </w:tcPr>
                <w:p w14:paraId="087D4B91">
                  <w:pPr>
                    <w:jc w:val="center"/>
                    <w:rPr>
                      <w:color w:val="auto"/>
                      <w:sz w:val="18"/>
                      <w:szCs w:val="18"/>
                    </w:rPr>
                  </w:pPr>
                  <w:r>
                    <w:rPr>
                      <w:color w:val="auto"/>
                      <w:sz w:val="18"/>
                      <w:szCs w:val="18"/>
                    </w:rPr>
                    <w:t>十氟联苯</w:t>
                  </w:r>
                </w:p>
              </w:tc>
              <w:tc>
                <w:tcPr>
                  <w:tcW w:w="2052" w:type="dxa"/>
                  <w:vAlign w:val="center"/>
                </w:tcPr>
                <w:p w14:paraId="49C8A6C8">
                  <w:pPr>
                    <w:jc w:val="center"/>
                    <w:rPr>
                      <w:color w:val="auto"/>
                      <w:sz w:val="18"/>
                      <w:szCs w:val="18"/>
                    </w:rPr>
                  </w:pPr>
                  <w:r>
                    <w:rPr>
                      <w:rFonts w:hint="eastAsia"/>
                      <w:color w:val="auto"/>
                      <w:sz w:val="18"/>
                      <w:szCs w:val="18"/>
                    </w:rPr>
                    <w:t>99.0%，AR，C</w:t>
                  </w:r>
                  <w:r>
                    <w:rPr>
                      <w:rFonts w:hint="eastAsia"/>
                      <w:color w:val="auto"/>
                      <w:sz w:val="18"/>
                      <w:szCs w:val="18"/>
                      <w:vertAlign w:val="subscript"/>
                    </w:rPr>
                    <w:t>12</w:t>
                  </w:r>
                  <w:r>
                    <w:rPr>
                      <w:rFonts w:hint="eastAsia"/>
                      <w:color w:val="auto"/>
                      <w:sz w:val="18"/>
                      <w:szCs w:val="18"/>
                    </w:rPr>
                    <w:t>F</w:t>
                  </w:r>
                  <w:r>
                    <w:rPr>
                      <w:rFonts w:hint="eastAsia"/>
                      <w:color w:val="auto"/>
                      <w:sz w:val="18"/>
                      <w:szCs w:val="18"/>
                      <w:vertAlign w:val="subscript"/>
                    </w:rPr>
                    <w:t>10</w:t>
                  </w:r>
                </w:p>
              </w:tc>
              <w:tc>
                <w:tcPr>
                  <w:tcW w:w="762" w:type="dxa"/>
                  <w:vAlign w:val="center"/>
                </w:tcPr>
                <w:p w14:paraId="31B32DD5">
                  <w:pPr>
                    <w:jc w:val="center"/>
                    <w:rPr>
                      <w:color w:val="auto"/>
                      <w:sz w:val="18"/>
                      <w:szCs w:val="18"/>
                    </w:rPr>
                  </w:pPr>
                  <w:r>
                    <w:rPr>
                      <w:rFonts w:hint="eastAsia"/>
                      <w:color w:val="auto"/>
                      <w:sz w:val="18"/>
                      <w:szCs w:val="18"/>
                    </w:rPr>
                    <w:t>0.5</w:t>
                  </w:r>
                </w:p>
              </w:tc>
              <w:tc>
                <w:tcPr>
                  <w:tcW w:w="817" w:type="dxa"/>
                  <w:vAlign w:val="center"/>
                </w:tcPr>
                <w:p w14:paraId="41F222CA">
                  <w:pPr>
                    <w:jc w:val="center"/>
                    <w:rPr>
                      <w:color w:val="auto"/>
                      <w:sz w:val="18"/>
                      <w:szCs w:val="18"/>
                    </w:rPr>
                  </w:pPr>
                  <w:r>
                    <w:rPr>
                      <w:rFonts w:hint="eastAsia"/>
                      <w:color w:val="auto"/>
                      <w:sz w:val="18"/>
                      <w:szCs w:val="18"/>
                    </w:rPr>
                    <w:t>0.5</w:t>
                  </w:r>
                </w:p>
              </w:tc>
              <w:tc>
                <w:tcPr>
                  <w:tcW w:w="1387" w:type="dxa"/>
                  <w:vAlign w:val="center"/>
                </w:tcPr>
                <w:p w14:paraId="012D7422">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47CCDA2C">
                  <w:pPr>
                    <w:pStyle w:val="4"/>
                    <w:spacing w:before="0" w:after="0" w:line="240" w:lineRule="auto"/>
                    <w:rPr>
                      <w:color w:val="auto"/>
                    </w:rPr>
                  </w:pPr>
                </w:p>
              </w:tc>
            </w:tr>
            <w:tr w14:paraId="43826F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1720B69A">
                  <w:pPr>
                    <w:jc w:val="center"/>
                    <w:rPr>
                      <w:color w:val="auto"/>
                      <w:sz w:val="18"/>
                      <w:szCs w:val="18"/>
                    </w:rPr>
                  </w:pPr>
                </w:p>
              </w:tc>
              <w:tc>
                <w:tcPr>
                  <w:tcW w:w="809" w:type="dxa"/>
                  <w:vMerge w:val="continue"/>
                  <w:vAlign w:val="center"/>
                </w:tcPr>
                <w:p w14:paraId="5D09FA2D">
                  <w:pPr>
                    <w:jc w:val="center"/>
                    <w:rPr>
                      <w:color w:val="auto"/>
                      <w:sz w:val="18"/>
                      <w:szCs w:val="18"/>
                    </w:rPr>
                  </w:pPr>
                </w:p>
              </w:tc>
              <w:tc>
                <w:tcPr>
                  <w:tcW w:w="1506" w:type="dxa"/>
                  <w:vAlign w:val="center"/>
                </w:tcPr>
                <w:p w14:paraId="62CF6E15">
                  <w:pPr>
                    <w:jc w:val="center"/>
                    <w:rPr>
                      <w:color w:val="auto"/>
                      <w:sz w:val="18"/>
                      <w:szCs w:val="18"/>
                    </w:rPr>
                  </w:pPr>
                  <w:r>
                    <w:rPr>
                      <w:color w:val="auto"/>
                      <w:sz w:val="18"/>
                      <w:szCs w:val="18"/>
                    </w:rPr>
                    <w:t>乙草胺</w:t>
                  </w:r>
                </w:p>
              </w:tc>
              <w:tc>
                <w:tcPr>
                  <w:tcW w:w="2052" w:type="dxa"/>
                  <w:vAlign w:val="center"/>
                </w:tcPr>
                <w:p w14:paraId="4ABEFE62">
                  <w:pPr>
                    <w:jc w:val="center"/>
                    <w:rPr>
                      <w:color w:val="auto"/>
                      <w:sz w:val="18"/>
                      <w:szCs w:val="18"/>
                    </w:rPr>
                  </w:pPr>
                  <w:r>
                    <w:rPr>
                      <w:rFonts w:hint="eastAsia"/>
                      <w:color w:val="auto"/>
                      <w:sz w:val="18"/>
                      <w:szCs w:val="18"/>
                    </w:rPr>
                    <w:t>99.7%，AR，</w:t>
                  </w:r>
                  <w:r>
                    <w:rPr>
                      <w:rFonts w:eastAsia="Helvetica"/>
                      <w:color w:val="auto"/>
                      <w:sz w:val="18"/>
                      <w:szCs w:val="18"/>
                      <w:shd w:val="clear" w:color="auto" w:fill="FFFFFF"/>
                    </w:rPr>
                    <w:t>C</w:t>
                  </w:r>
                  <w:r>
                    <w:rPr>
                      <w:rFonts w:eastAsia="Helvetica"/>
                      <w:color w:val="auto"/>
                      <w:sz w:val="18"/>
                      <w:szCs w:val="18"/>
                      <w:shd w:val="clear" w:color="auto" w:fill="FFFFFF"/>
                      <w:vertAlign w:val="subscript"/>
                    </w:rPr>
                    <w:t>14</w:t>
                  </w:r>
                  <w:r>
                    <w:rPr>
                      <w:rFonts w:eastAsia="Helvetica"/>
                      <w:color w:val="auto"/>
                      <w:sz w:val="18"/>
                      <w:szCs w:val="18"/>
                      <w:shd w:val="clear" w:color="auto" w:fill="FFFFFF"/>
                    </w:rPr>
                    <w:t>H</w:t>
                  </w:r>
                  <w:r>
                    <w:rPr>
                      <w:rFonts w:eastAsia="Helvetica"/>
                      <w:color w:val="auto"/>
                      <w:sz w:val="18"/>
                      <w:szCs w:val="18"/>
                      <w:shd w:val="clear" w:color="auto" w:fill="FFFFFF"/>
                      <w:vertAlign w:val="subscript"/>
                    </w:rPr>
                    <w:t>20</w:t>
                  </w:r>
                  <w:r>
                    <w:rPr>
                      <w:rFonts w:eastAsia="Helvetica"/>
                      <w:color w:val="auto"/>
                      <w:sz w:val="18"/>
                      <w:szCs w:val="18"/>
                      <w:shd w:val="clear" w:color="auto" w:fill="FFFFFF"/>
                    </w:rPr>
                    <w:t>ClNO</w:t>
                  </w:r>
                  <w:r>
                    <w:rPr>
                      <w:rFonts w:eastAsia="Helvetica"/>
                      <w:color w:val="auto"/>
                      <w:sz w:val="18"/>
                      <w:szCs w:val="18"/>
                      <w:shd w:val="clear" w:color="auto" w:fill="FFFFFF"/>
                      <w:vertAlign w:val="subscript"/>
                    </w:rPr>
                    <w:t>2</w:t>
                  </w:r>
                </w:p>
              </w:tc>
              <w:tc>
                <w:tcPr>
                  <w:tcW w:w="762" w:type="dxa"/>
                  <w:vAlign w:val="center"/>
                </w:tcPr>
                <w:p w14:paraId="1C31DEE1">
                  <w:pPr>
                    <w:jc w:val="center"/>
                    <w:rPr>
                      <w:color w:val="auto"/>
                      <w:sz w:val="18"/>
                      <w:szCs w:val="18"/>
                    </w:rPr>
                  </w:pPr>
                  <w:r>
                    <w:rPr>
                      <w:rFonts w:hint="eastAsia"/>
                      <w:color w:val="auto"/>
                      <w:sz w:val="18"/>
                      <w:szCs w:val="18"/>
                    </w:rPr>
                    <w:t>1</w:t>
                  </w:r>
                </w:p>
              </w:tc>
              <w:tc>
                <w:tcPr>
                  <w:tcW w:w="817" w:type="dxa"/>
                  <w:vAlign w:val="center"/>
                </w:tcPr>
                <w:p w14:paraId="40401915">
                  <w:pPr>
                    <w:jc w:val="center"/>
                    <w:rPr>
                      <w:color w:val="auto"/>
                      <w:sz w:val="18"/>
                      <w:szCs w:val="18"/>
                    </w:rPr>
                  </w:pPr>
                  <w:r>
                    <w:rPr>
                      <w:rFonts w:hint="eastAsia"/>
                      <w:color w:val="auto"/>
                      <w:sz w:val="18"/>
                      <w:szCs w:val="18"/>
                    </w:rPr>
                    <w:t>0.5</w:t>
                  </w:r>
                </w:p>
              </w:tc>
              <w:tc>
                <w:tcPr>
                  <w:tcW w:w="1387" w:type="dxa"/>
                  <w:vAlign w:val="center"/>
                </w:tcPr>
                <w:p w14:paraId="760F0F12">
                  <w:pPr>
                    <w:adjustRightInd w:val="0"/>
                    <w:snapToGrid w:val="0"/>
                    <w:jc w:val="center"/>
                    <w:rPr>
                      <w:color w:val="auto"/>
                      <w:sz w:val="18"/>
                      <w:szCs w:val="18"/>
                    </w:rPr>
                  </w:pPr>
                  <w:r>
                    <w:rPr>
                      <w:rFonts w:hint="eastAsia"/>
                      <w:color w:val="auto"/>
                      <w:sz w:val="18"/>
                      <w:szCs w:val="18"/>
                    </w:rPr>
                    <w:t>500g/瓶，瓶装</w:t>
                  </w:r>
                </w:p>
              </w:tc>
              <w:tc>
                <w:tcPr>
                  <w:tcW w:w="465" w:type="dxa"/>
                  <w:vMerge w:val="continue"/>
                  <w:vAlign w:val="center"/>
                </w:tcPr>
                <w:p w14:paraId="3AC21A94">
                  <w:pPr>
                    <w:pStyle w:val="4"/>
                    <w:spacing w:before="0" w:after="0" w:line="240" w:lineRule="auto"/>
                    <w:rPr>
                      <w:color w:val="auto"/>
                    </w:rPr>
                  </w:pPr>
                </w:p>
              </w:tc>
            </w:tr>
            <w:tr w14:paraId="6CD1AA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9" w:hRule="atLeast"/>
                <w:jc w:val="center"/>
              </w:trPr>
              <w:tc>
                <w:tcPr>
                  <w:tcW w:w="669" w:type="dxa"/>
                  <w:vMerge w:val="continue"/>
                  <w:vAlign w:val="center"/>
                </w:tcPr>
                <w:p w14:paraId="7DED9315">
                  <w:pPr>
                    <w:jc w:val="center"/>
                    <w:rPr>
                      <w:color w:val="auto"/>
                      <w:sz w:val="18"/>
                      <w:szCs w:val="18"/>
                    </w:rPr>
                  </w:pPr>
                </w:p>
              </w:tc>
              <w:tc>
                <w:tcPr>
                  <w:tcW w:w="809" w:type="dxa"/>
                  <w:vMerge w:val="continue"/>
                  <w:vAlign w:val="center"/>
                </w:tcPr>
                <w:p w14:paraId="1E308DE2">
                  <w:pPr>
                    <w:jc w:val="center"/>
                    <w:rPr>
                      <w:color w:val="auto"/>
                      <w:sz w:val="18"/>
                      <w:szCs w:val="18"/>
                    </w:rPr>
                  </w:pPr>
                </w:p>
              </w:tc>
              <w:tc>
                <w:tcPr>
                  <w:tcW w:w="1506" w:type="dxa"/>
                  <w:vAlign w:val="center"/>
                </w:tcPr>
                <w:p w14:paraId="47BFD751">
                  <w:pPr>
                    <w:jc w:val="center"/>
                    <w:rPr>
                      <w:color w:val="auto"/>
                      <w:sz w:val="18"/>
                      <w:szCs w:val="18"/>
                    </w:rPr>
                  </w:pPr>
                  <w:r>
                    <w:rPr>
                      <w:color w:val="auto"/>
                      <w:sz w:val="18"/>
                      <w:szCs w:val="18"/>
                    </w:rPr>
                    <w:t>己二酸二-2-乙基己基酯（A)</w:t>
                  </w:r>
                </w:p>
              </w:tc>
              <w:tc>
                <w:tcPr>
                  <w:tcW w:w="2052" w:type="dxa"/>
                  <w:vAlign w:val="center"/>
                </w:tcPr>
                <w:p w14:paraId="25B40B74">
                  <w:pPr>
                    <w:jc w:val="center"/>
                    <w:rPr>
                      <w:color w:val="auto"/>
                      <w:sz w:val="18"/>
                      <w:szCs w:val="18"/>
                    </w:rPr>
                  </w:pPr>
                  <w:r>
                    <w:rPr>
                      <w:rFonts w:hint="eastAsia"/>
                      <w:color w:val="auto"/>
                      <w:sz w:val="18"/>
                      <w:szCs w:val="18"/>
                    </w:rPr>
                    <w:t>99.0%，标准品，</w:t>
                  </w:r>
                  <w:r>
                    <w:rPr>
                      <w:rFonts w:eastAsia="Helvetica"/>
                      <w:color w:val="auto"/>
                      <w:sz w:val="18"/>
                      <w:szCs w:val="18"/>
                      <w:shd w:val="clear" w:color="auto" w:fill="FFFFFF"/>
                    </w:rPr>
                    <w:t>C</w:t>
                  </w:r>
                  <w:r>
                    <w:rPr>
                      <w:rFonts w:eastAsia="Helvetica"/>
                      <w:color w:val="auto"/>
                      <w:sz w:val="18"/>
                      <w:szCs w:val="18"/>
                      <w:shd w:val="clear" w:color="auto" w:fill="FFFFFF"/>
                      <w:vertAlign w:val="subscript"/>
                    </w:rPr>
                    <w:t>22</w:t>
                  </w:r>
                  <w:r>
                    <w:rPr>
                      <w:rFonts w:eastAsia="Helvetica"/>
                      <w:color w:val="auto"/>
                      <w:sz w:val="18"/>
                      <w:szCs w:val="18"/>
                      <w:shd w:val="clear" w:color="auto" w:fill="FFFFFF"/>
                    </w:rPr>
                    <w:t>H</w:t>
                  </w:r>
                  <w:r>
                    <w:rPr>
                      <w:rFonts w:eastAsia="Helvetica"/>
                      <w:color w:val="auto"/>
                      <w:sz w:val="18"/>
                      <w:szCs w:val="18"/>
                      <w:shd w:val="clear" w:color="auto" w:fill="FFFFFF"/>
                      <w:vertAlign w:val="subscript"/>
                    </w:rPr>
                    <w:t>42</w:t>
                  </w:r>
                  <w:r>
                    <w:rPr>
                      <w:rFonts w:eastAsia="Helvetica"/>
                      <w:color w:val="auto"/>
                      <w:sz w:val="18"/>
                      <w:szCs w:val="18"/>
                      <w:shd w:val="clear" w:color="auto" w:fill="FFFFFF"/>
                    </w:rPr>
                    <w:t>O</w:t>
                  </w:r>
                  <w:r>
                    <w:rPr>
                      <w:rFonts w:eastAsia="Helvetica"/>
                      <w:color w:val="auto"/>
                      <w:sz w:val="18"/>
                      <w:szCs w:val="18"/>
                      <w:shd w:val="clear" w:color="auto" w:fill="FFFFFF"/>
                      <w:vertAlign w:val="subscript"/>
                    </w:rPr>
                    <w:t>4</w:t>
                  </w:r>
                </w:p>
              </w:tc>
              <w:tc>
                <w:tcPr>
                  <w:tcW w:w="762" w:type="dxa"/>
                  <w:vAlign w:val="center"/>
                </w:tcPr>
                <w:p w14:paraId="0728307E">
                  <w:pPr>
                    <w:jc w:val="center"/>
                    <w:rPr>
                      <w:color w:val="auto"/>
                      <w:sz w:val="18"/>
                      <w:szCs w:val="18"/>
                    </w:rPr>
                  </w:pPr>
                  <w:r>
                    <w:rPr>
                      <w:rFonts w:hint="eastAsia"/>
                      <w:color w:val="auto"/>
                      <w:sz w:val="18"/>
                      <w:szCs w:val="18"/>
                    </w:rPr>
                    <w:t>0.5</w:t>
                  </w:r>
                </w:p>
              </w:tc>
              <w:tc>
                <w:tcPr>
                  <w:tcW w:w="817" w:type="dxa"/>
                  <w:vAlign w:val="center"/>
                </w:tcPr>
                <w:p w14:paraId="2BD912F6">
                  <w:pPr>
                    <w:jc w:val="center"/>
                    <w:rPr>
                      <w:color w:val="auto"/>
                      <w:sz w:val="18"/>
                      <w:szCs w:val="18"/>
                    </w:rPr>
                  </w:pPr>
                  <w:r>
                    <w:rPr>
                      <w:rFonts w:hint="eastAsia"/>
                      <w:color w:val="auto"/>
                      <w:sz w:val="18"/>
                      <w:szCs w:val="18"/>
                    </w:rPr>
                    <w:t>0.5</w:t>
                  </w:r>
                </w:p>
              </w:tc>
              <w:tc>
                <w:tcPr>
                  <w:tcW w:w="1387" w:type="dxa"/>
                  <w:vAlign w:val="center"/>
                </w:tcPr>
                <w:p w14:paraId="41B94241">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7B2F9E1D">
                  <w:pPr>
                    <w:pStyle w:val="4"/>
                    <w:spacing w:before="0" w:after="0" w:line="240" w:lineRule="auto"/>
                    <w:rPr>
                      <w:color w:val="auto"/>
                    </w:rPr>
                  </w:pPr>
                </w:p>
              </w:tc>
            </w:tr>
            <w:tr w14:paraId="1E0A3B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42984C8D">
                  <w:pPr>
                    <w:jc w:val="center"/>
                    <w:rPr>
                      <w:color w:val="auto"/>
                      <w:sz w:val="18"/>
                      <w:szCs w:val="18"/>
                    </w:rPr>
                  </w:pPr>
                </w:p>
              </w:tc>
              <w:tc>
                <w:tcPr>
                  <w:tcW w:w="809" w:type="dxa"/>
                  <w:vMerge w:val="continue"/>
                  <w:vAlign w:val="center"/>
                </w:tcPr>
                <w:p w14:paraId="67BD8514">
                  <w:pPr>
                    <w:jc w:val="center"/>
                    <w:rPr>
                      <w:color w:val="auto"/>
                      <w:sz w:val="18"/>
                      <w:szCs w:val="18"/>
                    </w:rPr>
                  </w:pPr>
                </w:p>
              </w:tc>
              <w:tc>
                <w:tcPr>
                  <w:tcW w:w="1506" w:type="dxa"/>
                  <w:vAlign w:val="center"/>
                </w:tcPr>
                <w:p w14:paraId="6CA73185">
                  <w:pPr>
                    <w:jc w:val="center"/>
                    <w:rPr>
                      <w:color w:val="auto"/>
                      <w:sz w:val="18"/>
                      <w:szCs w:val="18"/>
                    </w:rPr>
                  </w:pPr>
                  <w:r>
                    <w:rPr>
                      <w:color w:val="auto"/>
                      <w:sz w:val="18"/>
                      <w:szCs w:val="18"/>
                    </w:rPr>
                    <w:t>2,4,6-三氯苯甲醚</w:t>
                  </w:r>
                </w:p>
              </w:tc>
              <w:tc>
                <w:tcPr>
                  <w:tcW w:w="2052" w:type="dxa"/>
                  <w:vAlign w:val="center"/>
                </w:tcPr>
                <w:p w14:paraId="6523B2AD">
                  <w:pPr>
                    <w:jc w:val="center"/>
                    <w:rPr>
                      <w:color w:val="auto"/>
                      <w:sz w:val="18"/>
                      <w:szCs w:val="18"/>
                    </w:rPr>
                  </w:pPr>
                  <w:r>
                    <w:rPr>
                      <w:rFonts w:hint="eastAsia"/>
                      <w:color w:val="auto"/>
                      <w:sz w:val="18"/>
                      <w:szCs w:val="18"/>
                    </w:rPr>
                    <w:t>98.0%，标准品，</w:t>
                  </w:r>
                  <w:r>
                    <w:rPr>
                      <w:color w:val="auto"/>
                      <w:sz w:val="18"/>
                      <w:szCs w:val="18"/>
                    </w:rPr>
                    <w:t>C</w:t>
                  </w:r>
                  <w:r>
                    <w:rPr>
                      <w:color w:val="auto"/>
                      <w:sz w:val="18"/>
                      <w:szCs w:val="18"/>
                      <w:vertAlign w:val="subscript"/>
                    </w:rPr>
                    <w:t>7</w:t>
                  </w:r>
                  <w:r>
                    <w:rPr>
                      <w:color w:val="auto"/>
                      <w:sz w:val="18"/>
                      <w:szCs w:val="18"/>
                    </w:rPr>
                    <w:t>H</w:t>
                  </w:r>
                  <w:r>
                    <w:rPr>
                      <w:color w:val="auto"/>
                      <w:sz w:val="18"/>
                      <w:szCs w:val="18"/>
                      <w:vertAlign w:val="subscript"/>
                    </w:rPr>
                    <w:t>5</w:t>
                  </w:r>
                  <w:r>
                    <w:rPr>
                      <w:color w:val="auto"/>
                      <w:sz w:val="18"/>
                      <w:szCs w:val="18"/>
                    </w:rPr>
                    <w:t>Cl</w:t>
                  </w:r>
                  <w:r>
                    <w:rPr>
                      <w:color w:val="auto"/>
                      <w:sz w:val="18"/>
                      <w:szCs w:val="18"/>
                      <w:vertAlign w:val="subscript"/>
                    </w:rPr>
                    <w:t>3</w:t>
                  </w:r>
                  <w:r>
                    <w:rPr>
                      <w:color w:val="auto"/>
                      <w:sz w:val="18"/>
                      <w:szCs w:val="18"/>
                    </w:rPr>
                    <w:t>O</w:t>
                  </w:r>
                </w:p>
              </w:tc>
              <w:tc>
                <w:tcPr>
                  <w:tcW w:w="762" w:type="dxa"/>
                  <w:vAlign w:val="center"/>
                </w:tcPr>
                <w:p w14:paraId="258A7E53">
                  <w:pPr>
                    <w:jc w:val="center"/>
                    <w:rPr>
                      <w:color w:val="auto"/>
                      <w:sz w:val="18"/>
                      <w:szCs w:val="18"/>
                    </w:rPr>
                  </w:pPr>
                  <w:r>
                    <w:rPr>
                      <w:rFonts w:hint="eastAsia"/>
                      <w:color w:val="auto"/>
                      <w:sz w:val="18"/>
                      <w:szCs w:val="18"/>
                    </w:rPr>
                    <w:t>0.5</w:t>
                  </w:r>
                </w:p>
              </w:tc>
              <w:tc>
                <w:tcPr>
                  <w:tcW w:w="817" w:type="dxa"/>
                  <w:vAlign w:val="center"/>
                </w:tcPr>
                <w:p w14:paraId="4D1D0A12">
                  <w:pPr>
                    <w:jc w:val="center"/>
                    <w:rPr>
                      <w:color w:val="auto"/>
                      <w:sz w:val="18"/>
                      <w:szCs w:val="18"/>
                    </w:rPr>
                  </w:pPr>
                  <w:r>
                    <w:rPr>
                      <w:rFonts w:hint="eastAsia"/>
                      <w:color w:val="auto"/>
                      <w:sz w:val="18"/>
                      <w:szCs w:val="18"/>
                    </w:rPr>
                    <w:t>0.5</w:t>
                  </w:r>
                </w:p>
              </w:tc>
              <w:tc>
                <w:tcPr>
                  <w:tcW w:w="1387" w:type="dxa"/>
                  <w:vAlign w:val="center"/>
                </w:tcPr>
                <w:p w14:paraId="6E183F29">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333BF3F1">
                  <w:pPr>
                    <w:pStyle w:val="4"/>
                    <w:spacing w:before="0" w:after="0" w:line="240" w:lineRule="auto"/>
                    <w:rPr>
                      <w:color w:val="auto"/>
                    </w:rPr>
                  </w:pPr>
                </w:p>
              </w:tc>
            </w:tr>
            <w:tr w14:paraId="208D6A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09A0D8A9">
                  <w:pPr>
                    <w:jc w:val="center"/>
                    <w:rPr>
                      <w:color w:val="auto"/>
                      <w:sz w:val="18"/>
                      <w:szCs w:val="18"/>
                    </w:rPr>
                  </w:pPr>
                </w:p>
              </w:tc>
              <w:tc>
                <w:tcPr>
                  <w:tcW w:w="809" w:type="dxa"/>
                  <w:vMerge w:val="continue"/>
                  <w:vAlign w:val="center"/>
                </w:tcPr>
                <w:p w14:paraId="7AA47953">
                  <w:pPr>
                    <w:jc w:val="center"/>
                    <w:rPr>
                      <w:color w:val="auto"/>
                      <w:sz w:val="18"/>
                      <w:szCs w:val="18"/>
                    </w:rPr>
                  </w:pPr>
                </w:p>
              </w:tc>
              <w:tc>
                <w:tcPr>
                  <w:tcW w:w="1506" w:type="dxa"/>
                  <w:vAlign w:val="center"/>
                </w:tcPr>
                <w:p w14:paraId="12CF4C42">
                  <w:pPr>
                    <w:jc w:val="center"/>
                    <w:rPr>
                      <w:color w:val="auto"/>
                      <w:sz w:val="18"/>
                      <w:szCs w:val="18"/>
                    </w:rPr>
                  </w:pPr>
                  <w:r>
                    <w:rPr>
                      <w:color w:val="auto"/>
                      <w:sz w:val="18"/>
                      <w:szCs w:val="18"/>
                    </w:rPr>
                    <w:t>2,3,6-三氯苯甲醚</w:t>
                  </w:r>
                </w:p>
              </w:tc>
              <w:tc>
                <w:tcPr>
                  <w:tcW w:w="2052" w:type="dxa"/>
                  <w:vAlign w:val="center"/>
                </w:tcPr>
                <w:p w14:paraId="35AD310E">
                  <w:pPr>
                    <w:jc w:val="center"/>
                    <w:rPr>
                      <w:color w:val="auto"/>
                      <w:sz w:val="18"/>
                      <w:szCs w:val="18"/>
                    </w:rPr>
                  </w:pPr>
                  <w:r>
                    <w:rPr>
                      <w:rFonts w:hint="eastAsia"/>
                      <w:color w:val="auto"/>
                      <w:sz w:val="18"/>
                      <w:szCs w:val="18"/>
                    </w:rPr>
                    <w:t>98.0%，标准品，</w:t>
                  </w:r>
                  <w:r>
                    <w:rPr>
                      <w:color w:val="auto"/>
                      <w:sz w:val="18"/>
                      <w:szCs w:val="18"/>
                    </w:rPr>
                    <w:t>C</w:t>
                  </w:r>
                  <w:r>
                    <w:rPr>
                      <w:color w:val="auto"/>
                      <w:sz w:val="18"/>
                      <w:szCs w:val="18"/>
                      <w:vertAlign w:val="subscript"/>
                    </w:rPr>
                    <w:t>7</w:t>
                  </w:r>
                  <w:r>
                    <w:rPr>
                      <w:color w:val="auto"/>
                      <w:sz w:val="18"/>
                      <w:szCs w:val="18"/>
                    </w:rPr>
                    <w:t>H</w:t>
                  </w:r>
                  <w:r>
                    <w:rPr>
                      <w:color w:val="auto"/>
                      <w:sz w:val="18"/>
                      <w:szCs w:val="18"/>
                      <w:vertAlign w:val="subscript"/>
                    </w:rPr>
                    <w:t>5</w:t>
                  </w:r>
                  <w:r>
                    <w:rPr>
                      <w:color w:val="auto"/>
                      <w:sz w:val="18"/>
                      <w:szCs w:val="18"/>
                    </w:rPr>
                    <w:t>Cl</w:t>
                  </w:r>
                  <w:r>
                    <w:rPr>
                      <w:color w:val="auto"/>
                      <w:sz w:val="18"/>
                      <w:szCs w:val="18"/>
                      <w:vertAlign w:val="subscript"/>
                    </w:rPr>
                    <w:t>3</w:t>
                  </w:r>
                  <w:r>
                    <w:rPr>
                      <w:color w:val="auto"/>
                      <w:sz w:val="18"/>
                      <w:szCs w:val="18"/>
                    </w:rPr>
                    <w:t>O</w:t>
                  </w:r>
                </w:p>
              </w:tc>
              <w:tc>
                <w:tcPr>
                  <w:tcW w:w="762" w:type="dxa"/>
                  <w:vAlign w:val="center"/>
                </w:tcPr>
                <w:p w14:paraId="503FBEF3">
                  <w:pPr>
                    <w:jc w:val="center"/>
                    <w:rPr>
                      <w:color w:val="auto"/>
                      <w:sz w:val="18"/>
                      <w:szCs w:val="18"/>
                    </w:rPr>
                  </w:pPr>
                  <w:r>
                    <w:rPr>
                      <w:rFonts w:hint="eastAsia"/>
                      <w:color w:val="auto"/>
                      <w:sz w:val="18"/>
                      <w:szCs w:val="18"/>
                    </w:rPr>
                    <w:t>0.5</w:t>
                  </w:r>
                </w:p>
              </w:tc>
              <w:tc>
                <w:tcPr>
                  <w:tcW w:w="817" w:type="dxa"/>
                  <w:vAlign w:val="center"/>
                </w:tcPr>
                <w:p w14:paraId="388D5A74">
                  <w:pPr>
                    <w:jc w:val="center"/>
                    <w:rPr>
                      <w:color w:val="auto"/>
                      <w:sz w:val="18"/>
                      <w:szCs w:val="18"/>
                    </w:rPr>
                  </w:pPr>
                  <w:r>
                    <w:rPr>
                      <w:rFonts w:hint="eastAsia"/>
                      <w:color w:val="auto"/>
                      <w:sz w:val="18"/>
                      <w:szCs w:val="18"/>
                    </w:rPr>
                    <w:t>0.5</w:t>
                  </w:r>
                </w:p>
              </w:tc>
              <w:tc>
                <w:tcPr>
                  <w:tcW w:w="1387" w:type="dxa"/>
                  <w:vAlign w:val="center"/>
                </w:tcPr>
                <w:p w14:paraId="21D3D661">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56D41098">
                  <w:pPr>
                    <w:pStyle w:val="4"/>
                    <w:spacing w:before="0" w:after="0" w:line="240" w:lineRule="auto"/>
                    <w:rPr>
                      <w:color w:val="auto"/>
                    </w:rPr>
                  </w:pPr>
                </w:p>
              </w:tc>
            </w:tr>
            <w:tr w14:paraId="14CA5A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6C3749A1">
                  <w:pPr>
                    <w:jc w:val="center"/>
                    <w:rPr>
                      <w:color w:val="auto"/>
                      <w:sz w:val="18"/>
                      <w:szCs w:val="18"/>
                    </w:rPr>
                  </w:pPr>
                </w:p>
              </w:tc>
              <w:tc>
                <w:tcPr>
                  <w:tcW w:w="809" w:type="dxa"/>
                  <w:vMerge w:val="continue"/>
                  <w:vAlign w:val="center"/>
                </w:tcPr>
                <w:p w14:paraId="20109462">
                  <w:pPr>
                    <w:jc w:val="center"/>
                    <w:rPr>
                      <w:color w:val="auto"/>
                      <w:sz w:val="18"/>
                      <w:szCs w:val="18"/>
                    </w:rPr>
                  </w:pPr>
                </w:p>
              </w:tc>
              <w:tc>
                <w:tcPr>
                  <w:tcW w:w="1506" w:type="dxa"/>
                  <w:vAlign w:val="center"/>
                </w:tcPr>
                <w:p w14:paraId="371946D9">
                  <w:pPr>
                    <w:jc w:val="center"/>
                    <w:rPr>
                      <w:color w:val="auto"/>
                      <w:sz w:val="18"/>
                      <w:szCs w:val="18"/>
                    </w:rPr>
                  </w:pPr>
                  <w:r>
                    <w:rPr>
                      <w:color w:val="auto"/>
                      <w:sz w:val="18"/>
                      <w:szCs w:val="18"/>
                    </w:rPr>
                    <w:t>2,3,4-三氯苯甲醚</w:t>
                  </w:r>
                </w:p>
              </w:tc>
              <w:tc>
                <w:tcPr>
                  <w:tcW w:w="2052" w:type="dxa"/>
                  <w:vAlign w:val="center"/>
                </w:tcPr>
                <w:p w14:paraId="5FBFC51A">
                  <w:pPr>
                    <w:jc w:val="center"/>
                    <w:rPr>
                      <w:color w:val="auto"/>
                      <w:sz w:val="18"/>
                      <w:szCs w:val="18"/>
                    </w:rPr>
                  </w:pPr>
                  <w:r>
                    <w:rPr>
                      <w:rFonts w:hint="eastAsia"/>
                      <w:color w:val="auto"/>
                      <w:sz w:val="18"/>
                      <w:szCs w:val="18"/>
                    </w:rPr>
                    <w:t>98.0%，标准品，</w:t>
                  </w:r>
                  <w:r>
                    <w:rPr>
                      <w:color w:val="auto"/>
                      <w:sz w:val="18"/>
                      <w:szCs w:val="18"/>
                    </w:rPr>
                    <w:t>C</w:t>
                  </w:r>
                  <w:r>
                    <w:rPr>
                      <w:color w:val="auto"/>
                      <w:sz w:val="18"/>
                      <w:szCs w:val="18"/>
                      <w:vertAlign w:val="subscript"/>
                    </w:rPr>
                    <w:t>7</w:t>
                  </w:r>
                  <w:r>
                    <w:rPr>
                      <w:color w:val="auto"/>
                      <w:sz w:val="18"/>
                      <w:szCs w:val="18"/>
                    </w:rPr>
                    <w:t>H</w:t>
                  </w:r>
                  <w:r>
                    <w:rPr>
                      <w:color w:val="auto"/>
                      <w:sz w:val="18"/>
                      <w:szCs w:val="18"/>
                      <w:vertAlign w:val="subscript"/>
                    </w:rPr>
                    <w:t>5</w:t>
                  </w:r>
                  <w:r>
                    <w:rPr>
                      <w:color w:val="auto"/>
                      <w:sz w:val="18"/>
                      <w:szCs w:val="18"/>
                    </w:rPr>
                    <w:t>Cl</w:t>
                  </w:r>
                  <w:r>
                    <w:rPr>
                      <w:color w:val="auto"/>
                      <w:sz w:val="18"/>
                      <w:szCs w:val="18"/>
                      <w:vertAlign w:val="subscript"/>
                    </w:rPr>
                    <w:t>3</w:t>
                  </w:r>
                  <w:r>
                    <w:rPr>
                      <w:color w:val="auto"/>
                      <w:sz w:val="18"/>
                      <w:szCs w:val="18"/>
                    </w:rPr>
                    <w:t>O</w:t>
                  </w:r>
                </w:p>
              </w:tc>
              <w:tc>
                <w:tcPr>
                  <w:tcW w:w="762" w:type="dxa"/>
                  <w:vAlign w:val="center"/>
                </w:tcPr>
                <w:p w14:paraId="5AF96138">
                  <w:pPr>
                    <w:jc w:val="center"/>
                    <w:rPr>
                      <w:color w:val="auto"/>
                      <w:sz w:val="18"/>
                      <w:szCs w:val="18"/>
                    </w:rPr>
                  </w:pPr>
                  <w:r>
                    <w:rPr>
                      <w:rFonts w:hint="eastAsia"/>
                      <w:color w:val="auto"/>
                      <w:sz w:val="18"/>
                      <w:szCs w:val="18"/>
                    </w:rPr>
                    <w:t>0.5</w:t>
                  </w:r>
                </w:p>
              </w:tc>
              <w:tc>
                <w:tcPr>
                  <w:tcW w:w="817" w:type="dxa"/>
                  <w:vAlign w:val="center"/>
                </w:tcPr>
                <w:p w14:paraId="2C1374F7">
                  <w:pPr>
                    <w:jc w:val="center"/>
                    <w:rPr>
                      <w:color w:val="auto"/>
                      <w:sz w:val="18"/>
                      <w:szCs w:val="18"/>
                    </w:rPr>
                  </w:pPr>
                  <w:r>
                    <w:rPr>
                      <w:rFonts w:hint="eastAsia"/>
                      <w:color w:val="auto"/>
                      <w:sz w:val="18"/>
                      <w:szCs w:val="18"/>
                    </w:rPr>
                    <w:t>0.5</w:t>
                  </w:r>
                </w:p>
              </w:tc>
              <w:tc>
                <w:tcPr>
                  <w:tcW w:w="1387" w:type="dxa"/>
                  <w:vAlign w:val="center"/>
                </w:tcPr>
                <w:p w14:paraId="017AF67C">
                  <w:pPr>
                    <w:adjustRightInd w:val="0"/>
                    <w:snapToGrid w:val="0"/>
                    <w:jc w:val="center"/>
                    <w:rPr>
                      <w:color w:val="auto"/>
                      <w:sz w:val="18"/>
                      <w:szCs w:val="18"/>
                    </w:rPr>
                  </w:pPr>
                  <w:r>
                    <w:rPr>
                      <w:color w:val="auto"/>
                      <w:sz w:val="18"/>
                      <w:szCs w:val="18"/>
                    </w:rPr>
                    <w:t>500mL/瓶，</w:t>
                  </w:r>
                  <w:r>
                    <w:rPr>
                      <w:rFonts w:hint="eastAsia"/>
                      <w:color w:val="auto"/>
                      <w:sz w:val="18"/>
                      <w:szCs w:val="18"/>
                    </w:rPr>
                    <w:t>瓶装</w:t>
                  </w:r>
                </w:p>
              </w:tc>
              <w:tc>
                <w:tcPr>
                  <w:tcW w:w="465" w:type="dxa"/>
                  <w:vMerge w:val="continue"/>
                  <w:vAlign w:val="center"/>
                </w:tcPr>
                <w:p w14:paraId="654EA2D9">
                  <w:pPr>
                    <w:pStyle w:val="4"/>
                    <w:spacing w:before="0" w:after="0" w:line="240" w:lineRule="auto"/>
                    <w:rPr>
                      <w:color w:val="auto"/>
                    </w:rPr>
                  </w:pPr>
                </w:p>
              </w:tc>
            </w:tr>
            <w:tr w14:paraId="369E55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74031061">
                  <w:pPr>
                    <w:jc w:val="center"/>
                    <w:rPr>
                      <w:color w:val="auto"/>
                      <w:sz w:val="18"/>
                      <w:szCs w:val="18"/>
                    </w:rPr>
                  </w:pPr>
                </w:p>
              </w:tc>
              <w:tc>
                <w:tcPr>
                  <w:tcW w:w="809" w:type="dxa"/>
                  <w:vMerge w:val="continue"/>
                  <w:vAlign w:val="center"/>
                </w:tcPr>
                <w:p w14:paraId="349860C9">
                  <w:pPr>
                    <w:jc w:val="center"/>
                    <w:rPr>
                      <w:color w:val="auto"/>
                      <w:sz w:val="18"/>
                      <w:szCs w:val="18"/>
                    </w:rPr>
                  </w:pPr>
                </w:p>
              </w:tc>
              <w:tc>
                <w:tcPr>
                  <w:tcW w:w="1506" w:type="dxa"/>
                  <w:vAlign w:val="center"/>
                </w:tcPr>
                <w:p w14:paraId="54C5C91F">
                  <w:pPr>
                    <w:jc w:val="center"/>
                    <w:rPr>
                      <w:color w:val="auto"/>
                      <w:sz w:val="18"/>
                      <w:szCs w:val="18"/>
                    </w:rPr>
                  </w:pPr>
                  <w:r>
                    <w:rPr>
                      <w:rFonts w:hint="eastAsia"/>
                      <w:color w:val="auto"/>
                      <w:sz w:val="18"/>
                      <w:szCs w:val="18"/>
                    </w:rPr>
                    <w:t>铅</w:t>
                  </w:r>
                </w:p>
              </w:tc>
              <w:tc>
                <w:tcPr>
                  <w:tcW w:w="2052" w:type="dxa"/>
                  <w:vAlign w:val="center"/>
                </w:tcPr>
                <w:p w14:paraId="42C19CC1">
                  <w:pPr>
                    <w:jc w:val="center"/>
                    <w:rPr>
                      <w:color w:val="auto"/>
                      <w:sz w:val="18"/>
                      <w:szCs w:val="18"/>
                    </w:rPr>
                  </w:pPr>
                  <w:r>
                    <w:rPr>
                      <w:rFonts w:hint="eastAsia"/>
                      <w:color w:val="auto"/>
                      <w:sz w:val="18"/>
                      <w:szCs w:val="18"/>
                    </w:rPr>
                    <w:t>99.99%，高纯，</w:t>
                  </w:r>
                  <w:r>
                    <w:rPr>
                      <w:rFonts w:eastAsia="Helvetica"/>
                      <w:color w:val="auto"/>
                      <w:sz w:val="18"/>
                      <w:szCs w:val="18"/>
                      <w:shd w:val="clear" w:color="auto" w:fill="FFFFFF"/>
                    </w:rPr>
                    <w:t>Pb</w:t>
                  </w:r>
                </w:p>
              </w:tc>
              <w:tc>
                <w:tcPr>
                  <w:tcW w:w="762" w:type="dxa"/>
                  <w:vAlign w:val="center"/>
                </w:tcPr>
                <w:p w14:paraId="18A76092">
                  <w:pPr>
                    <w:jc w:val="center"/>
                    <w:rPr>
                      <w:color w:val="auto"/>
                      <w:sz w:val="18"/>
                      <w:szCs w:val="18"/>
                    </w:rPr>
                  </w:pPr>
                  <w:r>
                    <w:rPr>
                      <w:rFonts w:hint="eastAsia"/>
                      <w:color w:val="auto"/>
                      <w:sz w:val="18"/>
                      <w:szCs w:val="18"/>
                    </w:rPr>
                    <w:t>0.5</w:t>
                  </w:r>
                </w:p>
              </w:tc>
              <w:tc>
                <w:tcPr>
                  <w:tcW w:w="817" w:type="dxa"/>
                  <w:vAlign w:val="center"/>
                </w:tcPr>
                <w:p w14:paraId="68308D50">
                  <w:pPr>
                    <w:jc w:val="center"/>
                    <w:rPr>
                      <w:color w:val="auto"/>
                      <w:sz w:val="18"/>
                      <w:szCs w:val="18"/>
                    </w:rPr>
                  </w:pPr>
                  <w:r>
                    <w:rPr>
                      <w:rFonts w:hint="eastAsia"/>
                      <w:color w:val="auto"/>
                      <w:sz w:val="18"/>
                      <w:szCs w:val="18"/>
                    </w:rPr>
                    <w:t>0.1</w:t>
                  </w:r>
                </w:p>
              </w:tc>
              <w:tc>
                <w:tcPr>
                  <w:tcW w:w="1387" w:type="dxa"/>
                  <w:vAlign w:val="center"/>
                </w:tcPr>
                <w:p w14:paraId="29AA32D2">
                  <w:pPr>
                    <w:adjustRightInd w:val="0"/>
                    <w:snapToGrid w:val="0"/>
                    <w:jc w:val="center"/>
                    <w:rPr>
                      <w:color w:val="auto"/>
                      <w:sz w:val="18"/>
                      <w:szCs w:val="18"/>
                    </w:rPr>
                  </w:pPr>
                  <w:r>
                    <w:rPr>
                      <w:rFonts w:hint="eastAsia"/>
                      <w:color w:val="auto"/>
                      <w:sz w:val="18"/>
                      <w:szCs w:val="18"/>
                    </w:rPr>
                    <w:t>100g/瓶，瓶装</w:t>
                  </w:r>
                </w:p>
              </w:tc>
              <w:tc>
                <w:tcPr>
                  <w:tcW w:w="465" w:type="dxa"/>
                  <w:vMerge w:val="continue"/>
                  <w:vAlign w:val="center"/>
                </w:tcPr>
                <w:p w14:paraId="016C6654">
                  <w:pPr>
                    <w:pStyle w:val="4"/>
                    <w:spacing w:before="0" w:after="0" w:line="240" w:lineRule="auto"/>
                    <w:rPr>
                      <w:color w:val="auto"/>
                    </w:rPr>
                  </w:pPr>
                </w:p>
              </w:tc>
            </w:tr>
            <w:tr w14:paraId="1985E3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37E1EB04">
                  <w:pPr>
                    <w:jc w:val="center"/>
                    <w:rPr>
                      <w:color w:val="auto"/>
                      <w:sz w:val="18"/>
                      <w:szCs w:val="18"/>
                    </w:rPr>
                  </w:pPr>
                </w:p>
              </w:tc>
              <w:tc>
                <w:tcPr>
                  <w:tcW w:w="809" w:type="dxa"/>
                  <w:vMerge w:val="continue"/>
                  <w:vAlign w:val="center"/>
                </w:tcPr>
                <w:p w14:paraId="7101DA62">
                  <w:pPr>
                    <w:jc w:val="center"/>
                    <w:rPr>
                      <w:color w:val="auto"/>
                      <w:sz w:val="18"/>
                      <w:szCs w:val="18"/>
                    </w:rPr>
                  </w:pPr>
                </w:p>
              </w:tc>
              <w:tc>
                <w:tcPr>
                  <w:tcW w:w="1506" w:type="dxa"/>
                  <w:vAlign w:val="center"/>
                </w:tcPr>
                <w:p w14:paraId="6F23CAF3">
                  <w:pPr>
                    <w:jc w:val="center"/>
                    <w:rPr>
                      <w:color w:val="auto"/>
                      <w:sz w:val="18"/>
                      <w:szCs w:val="18"/>
                    </w:rPr>
                  </w:pPr>
                  <w:r>
                    <w:rPr>
                      <w:rFonts w:hint="eastAsia"/>
                      <w:color w:val="auto"/>
                      <w:sz w:val="18"/>
                      <w:szCs w:val="18"/>
                    </w:rPr>
                    <w:t>镉</w:t>
                  </w:r>
                </w:p>
              </w:tc>
              <w:tc>
                <w:tcPr>
                  <w:tcW w:w="2052" w:type="dxa"/>
                  <w:vAlign w:val="center"/>
                </w:tcPr>
                <w:p w14:paraId="4B2DB51A">
                  <w:pPr>
                    <w:jc w:val="center"/>
                    <w:rPr>
                      <w:color w:val="auto"/>
                      <w:sz w:val="18"/>
                      <w:szCs w:val="18"/>
                    </w:rPr>
                  </w:pPr>
                  <w:r>
                    <w:rPr>
                      <w:rFonts w:hint="eastAsia"/>
                      <w:color w:val="auto"/>
                      <w:sz w:val="18"/>
                      <w:szCs w:val="18"/>
                    </w:rPr>
                    <w:t>99.99%，高纯，</w:t>
                  </w:r>
                  <w:r>
                    <w:rPr>
                      <w:rFonts w:eastAsia="Helvetica"/>
                      <w:color w:val="auto"/>
                      <w:sz w:val="18"/>
                      <w:szCs w:val="18"/>
                      <w:shd w:val="clear" w:color="auto" w:fill="FFFFFF"/>
                    </w:rPr>
                    <w:t>Cd</w:t>
                  </w:r>
                </w:p>
              </w:tc>
              <w:tc>
                <w:tcPr>
                  <w:tcW w:w="762" w:type="dxa"/>
                  <w:vAlign w:val="center"/>
                </w:tcPr>
                <w:p w14:paraId="338984C8">
                  <w:pPr>
                    <w:jc w:val="center"/>
                    <w:rPr>
                      <w:color w:val="auto"/>
                      <w:sz w:val="18"/>
                      <w:szCs w:val="18"/>
                    </w:rPr>
                  </w:pPr>
                  <w:r>
                    <w:rPr>
                      <w:rFonts w:hint="eastAsia"/>
                      <w:color w:val="auto"/>
                      <w:sz w:val="18"/>
                      <w:szCs w:val="18"/>
                    </w:rPr>
                    <w:t>0.5</w:t>
                  </w:r>
                </w:p>
              </w:tc>
              <w:tc>
                <w:tcPr>
                  <w:tcW w:w="817" w:type="dxa"/>
                  <w:vAlign w:val="center"/>
                </w:tcPr>
                <w:p w14:paraId="3DB7BA6F">
                  <w:pPr>
                    <w:jc w:val="center"/>
                    <w:rPr>
                      <w:color w:val="auto"/>
                      <w:sz w:val="18"/>
                      <w:szCs w:val="18"/>
                    </w:rPr>
                  </w:pPr>
                  <w:r>
                    <w:rPr>
                      <w:rFonts w:hint="eastAsia"/>
                      <w:color w:val="auto"/>
                      <w:sz w:val="18"/>
                      <w:szCs w:val="18"/>
                    </w:rPr>
                    <w:t>0.1</w:t>
                  </w:r>
                </w:p>
              </w:tc>
              <w:tc>
                <w:tcPr>
                  <w:tcW w:w="1387" w:type="dxa"/>
                  <w:vAlign w:val="center"/>
                </w:tcPr>
                <w:p w14:paraId="4C77FCA1">
                  <w:pPr>
                    <w:adjustRightInd w:val="0"/>
                    <w:snapToGrid w:val="0"/>
                    <w:jc w:val="center"/>
                    <w:rPr>
                      <w:color w:val="auto"/>
                      <w:sz w:val="18"/>
                      <w:szCs w:val="18"/>
                    </w:rPr>
                  </w:pPr>
                  <w:r>
                    <w:rPr>
                      <w:rFonts w:hint="eastAsia"/>
                      <w:color w:val="auto"/>
                      <w:sz w:val="18"/>
                      <w:szCs w:val="18"/>
                    </w:rPr>
                    <w:t>100g/瓶，瓶装</w:t>
                  </w:r>
                </w:p>
              </w:tc>
              <w:tc>
                <w:tcPr>
                  <w:tcW w:w="465" w:type="dxa"/>
                  <w:vMerge w:val="continue"/>
                  <w:vAlign w:val="center"/>
                </w:tcPr>
                <w:p w14:paraId="32239131">
                  <w:pPr>
                    <w:pStyle w:val="4"/>
                    <w:spacing w:before="0" w:after="0" w:line="240" w:lineRule="auto"/>
                    <w:rPr>
                      <w:color w:val="auto"/>
                    </w:rPr>
                  </w:pPr>
                </w:p>
              </w:tc>
            </w:tr>
            <w:tr w14:paraId="5F09D0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788C2C2D">
                  <w:pPr>
                    <w:jc w:val="center"/>
                    <w:rPr>
                      <w:color w:val="auto"/>
                      <w:sz w:val="18"/>
                      <w:szCs w:val="18"/>
                    </w:rPr>
                  </w:pPr>
                </w:p>
              </w:tc>
              <w:tc>
                <w:tcPr>
                  <w:tcW w:w="809" w:type="dxa"/>
                  <w:vMerge w:val="continue"/>
                  <w:vAlign w:val="center"/>
                </w:tcPr>
                <w:p w14:paraId="3487BDFF">
                  <w:pPr>
                    <w:jc w:val="center"/>
                    <w:rPr>
                      <w:color w:val="auto"/>
                      <w:sz w:val="18"/>
                      <w:szCs w:val="18"/>
                    </w:rPr>
                  </w:pPr>
                </w:p>
              </w:tc>
              <w:tc>
                <w:tcPr>
                  <w:tcW w:w="1506" w:type="dxa"/>
                  <w:vAlign w:val="center"/>
                </w:tcPr>
                <w:p w14:paraId="5690BF05">
                  <w:pPr>
                    <w:jc w:val="center"/>
                    <w:rPr>
                      <w:color w:val="auto"/>
                      <w:sz w:val="18"/>
                      <w:szCs w:val="18"/>
                    </w:rPr>
                  </w:pPr>
                  <w:r>
                    <w:rPr>
                      <w:rFonts w:hint="eastAsia"/>
                      <w:color w:val="auto"/>
                      <w:sz w:val="18"/>
                      <w:szCs w:val="18"/>
                    </w:rPr>
                    <w:t>铜</w:t>
                  </w:r>
                </w:p>
              </w:tc>
              <w:tc>
                <w:tcPr>
                  <w:tcW w:w="2052" w:type="dxa"/>
                  <w:vAlign w:val="center"/>
                </w:tcPr>
                <w:p w14:paraId="09FD056D">
                  <w:pPr>
                    <w:jc w:val="center"/>
                    <w:rPr>
                      <w:color w:val="auto"/>
                      <w:sz w:val="18"/>
                      <w:szCs w:val="18"/>
                    </w:rPr>
                  </w:pPr>
                  <w:r>
                    <w:rPr>
                      <w:rFonts w:hint="eastAsia"/>
                      <w:color w:val="auto"/>
                      <w:sz w:val="18"/>
                      <w:szCs w:val="18"/>
                    </w:rPr>
                    <w:t>99.99%，电解，</w:t>
                  </w:r>
                  <w:r>
                    <w:rPr>
                      <w:rFonts w:eastAsia="Helvetica"/>
                      <w:color w:val="auto"/>
                      <w:sz w:val="18"/>
                      <w:szCs w:val="18"/>
                      <w:shd w:val="clear" w:color="auto" w:fill="FFFFFF"/>
                    </w:rPr>
                    <w:t>Cu</w:t>
                  </w:r>
                </w:p>
              </w:tc>
              <w:tc>
                <w:tcPr>
                  <w:tcW w:w="762" w:type="dxa"/>
                  <w:vAlign w:val="center"/>
                </w:tcPr>
                <w:p w14:paraId="4AC5DB92">
                  <w:pPr>
                    <w:jc w:val="center"/>
                    <w:rPr>
                      <w:color w:val="auto"/>
                      <w:sz w:val="18"/>
                      <w:szCs w:val="18"/>
                    </w:rPr>
                  </w:pPr>
                  <w:r>
                    <w:rPr>
                      <w:rFonts w:hint="eastAsia"/>
                      <w:color w:val="auto"/>
                      <w:sz w:val="18"/>
                      <w:szCs w:val="18"/>
                    </w:rPr>
                    <w:t>0.5</w:t>
                  </w:r>
                </w:p>
              </w:tc>
              <w:tc>
                <w:tcPr>
                  <w:tcW w:w="817" w:type="dxa"/>
                  <w:vAlign w:val="center"/>
                </w:tcPr>
                <w:p w14:paraId="238559FD">
                  <w:pPr>
                    <w:jc w:val="center"/>
                    <w:rPr>
                      <w:color w:val="auto"/>
                      <w:sz w:val="18"/>
                      <w:szCs w:val="18"/>
                    </w:rPr>
                  </w:pPr>
                  <w:r>
                    <w:rPr>
                      <w:rFonts w:hint="eastAsia"/>
                      <w:color w:val="auto"/>
                      <w:sz w:val="18"/>
                      <w:szCs w:val="18"/>
                    </w:rPr>
                    <w:t>0.1</w:t>
                  </w:r>
                </w:p>
              </w:tc>
              <w:tc>
                <w:tcPr>
                  <w:tcW w:w="1387" w:type="dxa"/>
                  <w:vAlign w:val="center"/>
                </w:tcPr>
                <w:p w14:paraId="4DDA129B">
                  <w:pPr>
                    <w:adjustRightInd w:val="0"/>
                    <w:snapToGrid w:val="0"/>
                    <w:jc w:val="center"/>
                    <w:rPr>
                      <w:color w:val="auto"/>
                      <w:sz w:val="18"/>
                      <w:szCs w:val="18"/>
                    </w:rPr>
                  </w:pPr>
                  <w:r>
                    <w:rPr>
                      <w:rFonts w:hint="eastAsia"/>
                      <w:color w:val="auto"/>
                      <w:sz w:val="18"/>
                      <w:szCs w:val="18"/>
                    </w:rPr>
                    <w:t>100g/瓶，瓶装</w:t>
                  </w:r>
                </w:p>
              </w:tc>
              <w:tc>
                <w:tcPr>
                  <w:tcW w:w="465" w:type="dxa"/>
                  <w:vMerge w:val="continue"/>
                  <w:vAlign w:val="center"/>
                </w:tcPr>
                <w:p w14:paraId="42089A07">
                  <w:pPr>
                    <w:pStyle w:val="4"/>
                    <w:spacing w:before="0" w:after="0" w:line="240" w:lineRule="auto"/>
                    <w:rPr>
                      <w:color w:val="auto"/>
                    </w:rPr>
                  </w:pPr>
                </w:p>
              </w:tc>
            </w:tr>
            <w:tr w14:paraId="1F510E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0212AC33">
                  <w:pPr>
                    <w:jc w:val="center"/>
                    <w:rPr>
                      <w:color w:val="auto"/>
                      <w:sz w:val="18"/>
                      <w:szCs w:val="18"/>
                    </w:rPr>
                  </w:pPr>
                </w:p>
              </w:tc>
              <w:tc>
                <w:tcPr>
                  <w:tcW w:w="809" w:type="dxa"/>
                  <w:vMerge w:val="continue"/>
                  <w:vAlign w:val="center"/>
                </w:tcPr>
                <w:p w14:paraId="2164BF2D">
                  <w:pPr>
                    <w:jc w:val="center"/>
                    <w:rPr>
                      <w:color w:val="auto"/>
                      <w:sz w:val="18"/>
                      <w:szCs w:val="18"/>
                    </w:rPr>
                  </w:pPr>
                </w:p>
              </w:tc>
              <w:tc>
                <w:tcPr>
                  <w:tcW w:w="1506" w:type="dxa"/>
                  <w:vAlign w:val="center"/>
                </w:tcPr>
                <w:p w14:paraId="3106DFFE">
                  <w:pPr>
                    <w:jc w:val="center"/>
                    <w:rPr>
                      <w:color w:val="auto"/>
                      <w:sz w:val="18"/>
                      <w:szCs w:val="18"/>
                    </w:rPr>
                  </w:pPr>
                  <w:r>
                    <w:rPr>
                      <w:rFonts w:hint="eastAsia"/>
                      <w:color w:val="auto"/>
                      <w:sz w:val="18"/>
                      <w:szCs w:val="18"/>
                    </w:rPr>
                    <w:t>锶</w:t>
                  </w:r>
                </w:p>
              </w:tc>
              <w:tc>
                <w:tcPr>
                  <w:tcW w:w="2052" w:type="dxa"/>
                  <w:vAlign w:val="center"/>
                </w:tcPr>
                <w:p w14:paraId="6FCBD80E">
                  <w:pPr>
                    <w:jc w:val="center"/>
                    <w:rPr>
                      <w:color w:val="auto"/>
                      <w:sz w:val="18"/>
                      <w:szCs w:val="18"/>
                    </w:rPr>
                  </w:pPr>
                  <w:r>
                    <w:rPr>
                      <w:rFonts w:hint="eastAsia"/>
                      <w:color w:val="auto"/>
                      <w:sz w:val="18"/>
                      <w:szCs w:val="18"/>
                    </w:rPr>
                    <w:t>99.5%，高纯，</w:t>
                  </w:r>
                  <w:r>
                    <w:rPr>
                      <w:rFonts w:eastAsia="Helvetica"/>
                      <w:color w:val="auto"/>
                      <w:sz w:val="18"/>
                      <w:szCs w:val="18"/>
                      <w:shd w:val="clear" w:color="auto" w:fill="FFFFFF"/>
                    </w:rPr>
                    <w:t>Sr</w:t>
                  </w:r>
                </w:p>
              </w:tc>
              <w:tc>
                <w:tcPr>
                  <w:tcW w:w="762" w:type="dxa"/>
                  <w:vAlign w:val="center"/>
                </w:tcPr>
                <w:p w14:paraId="7A2C878B">
                  <w:pPr>
                    <w:jc w:val="center"/>
                    <w:rPr>
                      <w:color w:val="auto"/>
                      <w:sz w:val="18"/>
                      <w:szCs w:val="18"/>
                    </w:rPr>
                  </w:pPr>
                  <w:r>
                    <w:rPr>
                      <w:rFonts w:hint="eastAsia"/>
                      <w:color w:val="auto"/>
                      <w:sz w:val="18"/>
                      <w:szCs w:val="18"/>
                    </w:rPr>
                    <w:t>0.5</w:t>
                  </w:r>
                </w:p>
              </w:tc>
              <w:tc>
                <w:tcPr>
                  <w:tcW w:w="817" w:type="dxa"/>
                  <w:vAlign w:val="center"/>
                </w:tcPr>
                <w:p w14:paraId="1958E672">
                  <w:pPr>
                    <w:jc w:val="center"/>
                    <w:rPr>
                      <w:color w:val="auto"/>
                      <w:sz w:val="18"/>
                      <w:szCs w:val="18"/>
                    </w:rPr>
                  </w:pPr>
                  <w:r>
                    <w:rPr>
                      <w:rFonts w:hint="eastAsia"/>
                      <w:color w:val="auto"/>
                      <w:sz w:val="18"/>
                      <w:szCs w:val="18"/>
                    </w:rPr>
                    <w:t>0.1</w:t>
                  </w:r>
                </w:p>
              </w:tc>
              <w:tc>
                <w:tcPr>
                  <w:tcW w:w="1387" w:type="dxa"/>
                  <w:vAlign w:val="center"/>
                </w:tcPr>
                <w:p w14:paraId="028D5C24">
                  <w:pPr>
                    <w:adjustRightInd w:val="0"/>
                    <w:snapToGrid w:val="0"/>
                    <w:jc w:val="center"/>
                    <w:rPr>
                      <w:color w:val="auto"/>
                      <w:sz w:val="18"/>
                      <w:szCs w:val="18"/>
                    </w:rPr>
                  </w:pPr>
                  <w:r>
                    <w:rPr>
                      <w:rFonts w:hint="eastAsia"/>
                      <w:color w:val="auto"/>
                      <w:sz w:val="18"/>
                      <w:szCs w:val="18"/>
                    </w:rPr>
                    <w:t>100g/瓶，瓶装</w:t>
                  </w:r>
                </w:p>
              </w:tc>
              <w:tc>
                <w:tcPr>
                  <w:tcW w:w="465" w:type="dxa"/>
                  <w:vMerge w:val="continue"/>
                  <w:vAlign w:val="center"/>
                </w:tcPr>
                <w:p w14:paraId="04147173">
                  <w:pPr>
                    <w:pStyle w:val="4"/>
                    <w:spacing w:before="0" w:after="0" w:line="240" w:lineRule="auto"/>
                    <w:rPr>
                      <w:color w:val="auto"/>
                    </w:rPr>
                  </w:pPr>
                </w:p>
              </w:tc>
            </w:tr>
            <w:tr w14:paraId="48064A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5" w:hRule="atLeast"/>
                <w:jc w:val="center"/>
              </w:trPr>
              <w:tc>
                <w:tcPr>
                  <w:tcW w:w="669" w:type="dxa"/>
                  <w:vMerge w:val="continue"/>
                  <w:vAlign w:val="center"/>
                </w:tcPr>
                <w:p w14:paraId="039C133F">
                  <w:pPr>
                    <w:jc w:val="center"/>
                    <w:rPr>
                      <w:color w:val="auto"/>
                      <w:sz w:val="18"/>
                      <w:szCs w:val="18"/>
                    </w:rPr>
                  </w:pPr>
                </w:p>
              </w:tc>
              <w:tc>
                <w:tcPr>
                  <w:tcW w:w="809" w:type="dxa"/>
                  <w:vMerge w:val="continue"/>
                  <w:vAlign w:val="center"/>
                </w:tcPr>
                <w:p w14:paraId="159AFAFE">
                  <w:pPr>
                    <w:jc w:val="center"/>
                    <w:rPr>
                      <w:color w:val="auto"/>
                      <w:sz w:val="18"/>
                      <w:szCs w:val="18"/>
                    </w:rPr>
                  </w:pPr>
                </w:p>
              </w:tc>
              <w:tc>
                <w:tcPr>
                  <w:tcW w:w="1506" w:type="dxa"/>
                  <w:vAlign w:val="center"/>
                </w:tcPr>
                <w:p w14:paraId="759BACB6">
                  <w:pPr>
                    <w:jc w:val="center"/>
                    <w:rPr>
                      <w:color w:val="auto"/>
                      <w:sz w:val="18"/>
                      <w:szCs w:val="18"/>
                    </w:rPr>
                  </w:pPr>
                  <w:r>
                    <w:rPr>
                      <w:rFonts w:hint="eastAsia"/>
                      <w:color w:val="auto"/>
                      <w:sz w:val="18"/>
                      <w:szCs w:val="18"/>
                    </w:rPr>
                    <w:t>钯</w:t>
                  </w:r>
                </w:p>
              </w:tc>
              <w:tc>
                <w:tcPr>
                  <w:tcW w:w="2052" w:type="dxa"/>
                  <w:vAlign w:val="center"/>
                </w:tcPr>
                <w:p w14:paraId="703DC0C8">
                  <w:pPr>
                    <w:jc w:val="center"/>
                    <w:rPr>
                      <w:color w:val="auto"/>
                      <w:sz w:val="18"/>
                      <w:szCs w:val="18"/>
                    </w:rPr>
                  </w:pPr>
                  <w:r>
                    <w:rPr>
                      <w:rFonts w:hint="eastAsia"/>
                      <w:color w:val="auto"/>
                      <w:sz w:val="18"/>
                      <w:szCs w:val="18"/>
                    </w:rPr>
                    <w:t>99.9%，高纯，</w:t>
                  </w:r>
                  <w:r>
                    <w:rPr>
                      <w:rFonts w:eastAsia="Helvetica"/>
                      <w:color w:val="auto"/>
                      <w:sz w:val="18"/>
                      <w:szCs w:val="18"/>
                      <w:shd w:val="clear" w:color="auto" w:fill="FFFFFF"/>
                    </w:rPr>
                    <w:t>Pd</w:t>
                  </w:r>
                </w:p>
              </w:tc>
              <w:tc>
                <w:tcPr>
                  <w:tcW w:w="762" w:type="dxa"/>
                  <w:vAlign w:val="center"/>
                </w:tcPr>
                <w:p w14:paraId="0C19A83A">
                  <w:pPr>
                    <w:jc w:val="center"/>
                    <w:rPr>
                      <w:color w:val="auto"/>
                      <w:sz w:val="18"/>
                      <w:szCs w:val="18"/>
                    </w:rPr>
                  </w:pPr>
                  <w:r>
                    <w:rPr>
                      <w:rFonts w:hint="eastAsia"/>
                      <w:color w:val="auto"/>
                      <w:sz w:val="18"/>
                      <w:szCs w:val="18"/>
                    </w:rPr>
                    <w:t>0.5</w:t>
                  </w:r>
                </w:p>
              </w:tc>
              <w:tc>
                <w:tcPr>
                  <w:tcW w:w="817" w:type="dxa"/>
                  <w:vAlign w:val="center"/>
                </w:tcPr>
                <w:p w14:paraId="4F577E61">
                  <w:pPr>
                    <w:jc w:val="center"/>
                    <w:rPr>
                      <w:color w:val="auto"/>
                      <w:sz w:val="18"/>
                      <w:szCs w:val="18"/>
                    </w:rPr>
                  </w:pPr>
                  <w:r>
                    <w:rPr>
                      <w:rFonts w:hint="eastAsia"/>
                      <w:color w:val="auto"/>
                      <w:sz w:val="18"/>
                      <w:szCs w:val="18"/>
                    </w:rPr>
                    <w:t>0.1</w:t>
                  </w:r>
                </w:p>
              </w:tc>
              <w:tc>
                <w:tcPr>
                  <w:tcW w:w="1387" w:type="dxa"/>
                  <w:vAlign w:val="center"/>
                </w:tcPr>
                <w:p w14:paraId="6A9829C0">
                  <w:pPr>
                    <w:adjustRightInd w:val="0"/>
                    <w:snapToGrid w:val="0"/>
                    <w:jc w:val="center"/>
                    <w:rPr>
                      <w:color w:val="auto"/>
                      <w:sz w:val="18"/>
                      <w:szCs w:val="18"/>
                    </w:rPr>
                  </w:pPr>
                  <w:r>
                    <w:rPr>
                      <w:rFonts w:hint="eastAsia"/>
                      <w:color w:val="auto"/>
                      <w:sz w:val="18"/>
                      <w:szCs w:val="18"/>
                    </w:rPr>
                    <w:t>100g/瓶，瓶装</w:t>
                  </w:r>
                </w:p>
              </w:tc>
              <w:tc>
                <w:tcPr>
                  <w:tcW w:w="465" w:type="dxa"/>
                  <w:vMerge w:val="continue"/>
                  <w:vAlign w:val="center"/>
                </w:tcPr>
                <w:p w14:paraId="6A8694C5">
                  <w:pPr>
                    <w:pStyle w:val="4"/>
                    <w:spacing w:before="0" w:after="0" w:line="240" w:lineRule="auto"/>
                    <w:rPr>
                      <w:color w:val="auto"/>
                    </w:rPr>
                  </w:pPr>
                </w:p>
              </w:tc>
            </w:tr>
            <w:tr w14:paraId="7BA61B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 w:hRule="atLeast"/>
                <w:jc w:val="center"/>
              </w:trPr>
              <w:tc>
                <w:tcPr>
                  <w:tcW w:w="669" w:type="dxa"/>
                  <w:vMerge w:val="continue"/>
                  <w:vAlign w:val="center"/>
                </w:tcPr>
                <w:p w14:paraId="34687AD1">
                  <w:pPr>
                    <w:jc w:val="center"/>
                    <w:rPr>
                      <w:color w:val="auto"/>
                      <w:sz w:val="18"/>
                      <w:szCs w:val="18"/>
                    </w:rPr>
                  </w:pPr>
                </w:p>
              </w:tc>
              <w:tc>
                <w:tcPr>
                  <w:tcW w:w="809" w:type="dxa"/>
                  <w:vMerge w:val="continue"/>
                  <w:vAlign w:val="center"/>
                </w:tcPr>
                <w:p w14:paraId="273C7659">
                  <w:pPr>
                    <w:jc w:val="center"/>
                    <w:rPr>
                      <w:color w:val="auto"/>
                      <w:sz w:val="18"/>
                      <w:szCs w:val="18"/>
                    </w:rPr>
                  </w:pPr>
                </w:p>
              </w:tc>
              <w:tc>
                <w:tcPr>
                  <w:tcW w:w="1506" w:type="dxa"/>
                  <w:vAlign w:val="center"/>
                </w:tcPr>
                <w:p w14:paraId="559506AD">
                  <w:pPr>
                    <w:jc w:val="center"/>
                    <w:rPr>
                      <w:color w:val="auto"/>
                      <w:sz w:val="18"/>
                      <w:szCs w:val="18"/>
                    </w:rPr>
                  </w:pPr>
                  <w:r>
                    <w:rPr>
                      <w:rFonts w:hint="eastAsia"/>
                      <w:color w:val="auto"/>
                      <w:sz w:val="18"/>
                      <w:szCs w:val="18"/>
                    </w:rPr>
                    <w:t>钴</w:t>
                  </w:r>
                </w:p>
              </w:tc>
              <w:tc>
                <w:tcPr>
                  <w:tcW w:w="2052" w:type="dxa"/>
                  <w:vAlign w:val="center"/>
                </w:tcPr>
                <w:p w14:paraId="512E0C97">
                  <w:pPr>
                    <w:jc w:val="center"/>
                    <w:rPr>
                      <w:color w:val="auto"/>
                      <w:sz w:val="18"/>
                      <w:szCs w:val="18"/>
                    </w:rPr>
                  </w:pPr>
                  <w:r>
                    <w:rPr>
                      <w:rFonts w:hint="eastAsia"/>
                      <w:color w:val="auto"/>
                      <w:sz w:val="18"/>
                      <w:szCs w:val="18"/>
                    </w:rPr>
                    <w:t>99.95%，高纯，</w:t>
                  </w:r>
                  <w:r>
                    <w:rPr>
                      <w:rFonts w:eastAsia="Helvetica"/>
                      <w:color w:val="auto"/>
                      <w:sz w:val="18"/>
                      <w:szCs w:val="18"/>
                      <w:shd w:val="clear" w:color="auto" w:fill="FFFFFF"/>
                    </w:rPr>
                    <w:t>Co</w:t>
                  </w:r>
                </w:p>
              </w:tc>
              <w:tc>
                <w:tcPr>
                  <w:tcW w:w="762" w:type="dxa"/>
                  <w:vAlign w:val="center"/>
                </w:tcPr>
                <w:p w14:paraId="6EA5CC5A">
                  <w:pPr>
                    <w:jc w:val="center"/>
                    <w:rPr>
                      <w:color w:val="auto"/>
                      <w:sz w:val="18"/>
                      <w:szCs w:val="18"/>
                    </w:rPr>
                  </w:pPr>
                  <w:r>
                    <w:rPr>
                      <w:rFonts w:hint="eastAsia"/>
                      <w:color w:val="auto"/>
                      <w:sz w:val="18"/>
                      <w:szCs w:val="18"/>
                    </w:rPr>
                    <w:t>0.5</w:t>
                  </w:r>
                </w:p>
              </w:tc>
              <w:tc>
                <w:tcPr>
                  <w:tcW w:w="817" w:type="dxa"/>
                  <w:vAlign w:val="center"/>
                </w:tcPr>
                <w:p w14:paraId="699D8E2E">
                  <w:pPr>
                    <w:jc w:val="center"/>
                    <w:rPr>
                      <w:color w:val="auto"/>
                      <w:sz w:val="18"/>
                      <w:szCs w:val="18"/>
                    </w:rPr>
                  </w:pPr>
                  <w:r>
                    <w:rPr>
                      <w:rFonts w:hint="eastAsia"/>
                      <w:color w:val="auto"/>
                      <w:sz w:val="18"/>
                      <w:szCs w:val="18"/>
                    </w:rPr>
                    <w:t>0.1</w:t>
                  </w:r>
                </w:p>
              </w:tc>
              <w:tc>
                <w:tcPr>
                  <w:tcW w:w="1387" w:type="dxa"/>
                  <w:vAlign w:val="center"/>
                </w:tcPr>
                <w:p w14:paraId="5C6473B8">
                  <w:pPr>
                    <w:adjustRightInd w:val="0"/>
                    <w:snapToGrid w:val="0"/>
                    <w:jc w:val="center"/>
                    <w:rPr>
                      <w:color w:val="auto"/>
                      <w:sz w:val="18"/>
                      <w:szCs w:val="18"/>
                    </w:rPr>
                  </w:pPr>
                  <w:r>
                    <w:rPr>
                      <w:rFonts w:hint="eastAsia"/>
                      <w:color w:val="auto"/>
                      <w:sz w:val="18"/>
                      <w:szCs w:val="18"/>
                    </w:rPr>
                    <w:t>100g/瓶，瓶装</w:t>
                  </w:r>
                </w:p>
              </w:tc>
              <w:tc>
                <w:tcPr>
                  <w:tcW w:w="465" w:type="dxa"/>
                  <w:vMerge w:val="continue"/>
                  <w:vAlign w:val="center"/>
                </w:tcPr>
                <w:p w14:paraId="14B84119">
                  <w:pPr>
                    <w:pStyle w:val="4"/>
                    <w:spacing w:before="0" w:after="0" w:line="240" w:lineRule="auto"/>
                    <w:rPr>
                      <w:color w:val="auto"/>
                    </w:rPr>
                  </w:pPr>
                </w:p>
              </w:tc>
            </w:tr>
            <w:tr w14:paraId="55C4F7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669" w:type="dxa"/>
                  <w:vMerge w:val="continue"/>
                  <w:vAlign w:val="center"/>
                </w:tcPr>
                <w:p w14:paraId="2E6A5EB5">
                  <w:pPr>
                    <w:jc w:val="center"/>
                    <w:rPr>
                      <w:color w:val="auto"/>
                      <w:sz w:val="18"/>
                      <w:szCs w:val="18"/>
                    </w:rPr>
                  </w:pPr>
                </w:p>
              </w:tc>
              <w:tc>
                <w:tcPr>
                  <w:tcW w:w="809" w:type="dxa"/>
                  <w:vMerge w:val="continue"/>
                  <w:vAlign w:val="center"/>
                </w:tcPr>
                <w:p w14:paraId="41C00A50">
                  <w:pPr>
                    <w:jc w:val="center"/>
                    <w:rPr>
                      <w:color w:val="auto"/>
                      <w:sz w:val="18"/>
                      <w:szCs w:val="18"/>
                    </w:rPr>
                  </w:pPr>
                </w:p>
              </w:tc>
              <w:tc>
                <w:tcPr>
                  <w:tcW w:w="1506" w:type="dxa"/>
                  <w:vAlign w:val="center"/>
                </w:tcPr>
                <w:p w14:paraId="7F58809E">
                  <w:pPr>
                    <w:jc w:val="center"/>
                    <w:rPr>
                      <w:color w:val="auto"/>
                      <w:sz w:val="18"/>
                      <w:szCs w:val="18"/>
                    </w:rPr>
                  </w:pPr>
                  <w:r>
                    <w:rPr>
                      <w:rFonts w:hint="eastAsia"/>
                      <w:color w:val="auto"/>
                      <w:sz w:val="18"/>
                      <w:szCs w:val="18"/>
                    </w:rPr>
                    <w:t>钼</w:t>
                  </w:r>
                </w:p>
              </w:tc>
              <w:tc>
                <w:tcPr>
                  <w:tcW w:w="2052" w:type="dxa"/>
                  <w:vAlign w:val="center"/>
                </w:tcPr>
                <w:p w14:paraId="014B1A46">
                  <w:pPr>
                    <w:jc w:val="center"/>
                    <w:rPr>
                      <w:color w:val="auto"/>
                      <w:sz w:val="18"/>
                      <w:szCs w:val="18"/>
                    </w:rPr>
                  </w:pPr>
                  <w:r>
                    <w:rPr>
                      <w:rFonts w:hint="eastAsia"/>
                      <w:color w:val="auto"/>
                      <w:sz w:val="18"/>
                      <w:szCs w:val="18"/>
                    </w:rPr>
                    <w:t>99.95%，高纯，</w:t>
                  </w:r>
                  <w:r>
                    <w:rPr>
                      <w:rFonts w:eastAsia="Helvetica"/>
                      <w:color w:val="auto"/>
                      <w:sz w:val="18"/>
                      <w:szCs w:val="18"/>
                      <w:shd w:val="clear" w:color="auto" w:fill="FFFFFF"/>
                    </w:rPr>
                    <w:t>Mo</w:t>
                  </w:r>
                </w:p>
              </w:tc>
              <w:tc>
                <w:tcPr>
                  <w:tcW w:w="762" w:type="dxa"/>
                  <w:vAlign w:val="center"/>
                </w:tcPr>
                <w:p w14:paraId="393BA00F">
                  <w:pPr>
                    <w:jc w:val="center"/>
                    <w:rPr>
                      <w:color w:val="auto"/>
                      <w:sz w:val="18"/>
                      <w:szCs w:val="18"/>
                    </w:rPr>
                  </w:pPr>
                  <w:r>
                    <w:rPr>
                      <w:rFonts w:hint="eastAsia"/>
                      <w:color w:val="auto"/>
                      <w:sz w:val="18"/>
                      <w:szCs w:val="18"/>
                    </w:rPr>
                    <w:t>0.5</w:t>
                  </w:r>
                </w:p>
              </w:tc>
              <w:tc>
                <w:tcPr>
                  <w:tcW w:w="817" w:type="dxa"/>
                  <w:vAlign w:val="center"/>
                </w:tcPr>
                <w:p w14:paraId="3F7834DE">
                  <w:pPr>
                    <w:jc w:val="center"/>
                    <w:rPr>
                      <w:color w:val="auto"/>
                      <w:sz w:val="18"/>
                      <w:szCs w:val="18"/>
                    </w:rPr>
                  </w:pPr>
                  <w:r>
                    <w:rPr>
                      <w:rFonts w:hint="eastAsia"/>
                      <w:color w:val="auto"/>
                      <w:sz w:val="18"/>
                      <w:szCs w:val="18"/>
                    </w:rPr>
                    <w:t>0.1</w:t>
                  </w:r>
                </w:p>
              </w:tc>
              <w:tc>
                <w:tcPr>
                  <w:tcW w:w="1387" w:type="dxa"/>
                  <w:vAlign w:val="center"/>
                </w:tcPr>
                <w:p w14:paraId="019110A7">
                  <w:pPr>
                    <w:adjustRightInd w:val="0"/>
                    <w:snapToGrid w:val="0"/>
                    <w:jc w:val="center"/>
                    <w:rPr>
                      <w:color w:val="auto"/>
                      <w:sz w:val="18"/>
                      <w:szCs w:val="18"/>
                    </w:rPr>
                  </w:pPr>
                  <w:r>
                    <w:rPr>
                      <w:rFonts w:hint="eastAsia"/>
                      <w:color w:val="auto"/>
                      <w:sz w:val="18"/>
                      <w:szCs w:val="18"/>
                    </w:rPr>
                    <w:t>100g/瓶，瓶装</w:t>
                  </w:r>
                </w:p>
              </w:tc>
              <w:tc>
                <w:tcPr>
                  <w:tcW w:w="465" w:type="dxa"/>
                  <w:vMerge w:val="continue"/>
                  <w:vAlign w:val="center"/>
                </w:tcPr>
                <w:p w14:paraId="35388EA4">
                  <w:pPr>
                    <w:pStyle w:val="4"/>
                    <w:spacing w:before="0" w:after="0" w:line="240" w:lineRule="auto"/>
                    <w:rPr>
                      <w:color w:val="auto"/>
                    </w:rPr>
                  </w:pPr>
                </w:p>
              </w:tc>
            </w:tr>
            <w:tr w14:paraId="1B4A00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3" w:hRule="atLeast"/>
                <w:jc w:val="center"/>
              </w:trPr>
              <w:tc>
                <w:tcPr>
                  <w:tcW w:w="669" w:type="dxa"/>
                  <w:vMerge w:val="continue"/>
                  <w:vAlign w:val="center"/>
                </w:tcPr>
                <w:p w14:paraId="005231DF">
                  <w:pPr>
                    <w:jc w:val="center"/>
                    <w:rPr>
                      <w:color w:val="auto"/>
                      <w:sz w:val="18"/>
                      <w:szCs w:val="18"/>
                    </w:rPr>
                  </w:pPr>
                </w:p>
              </w:tc>
              <w:tc>
                <w:tcPr>
                  <w:tcW w:w="809" w:type="dxa"/>
                  <w:vMerge w:val="continue"/>
                  <w:vAlign w:val="center"/>
                </w:tcPr>
                <w:p w14:paraId="6C4FDEAC">
                  <w:pPr>
                    <w:jc w:val="center"/>
                    <w:rPr>
                      <w:color w:val="auto"/>
                      <w:sz w:val="18"/>
                      <w:szCs w:val="18"/>
                    </w:rPr>
                  </w:pPr>
                </w:p>
              </w:tc>
              <w:tc>
                <w:tcPr>
                  <w:tcW w:w="1506" w:type="dxa"/>
                  <w:vAlign w:val="center"/>
                </w:tcPr>
                <w:p w14:paraId="4F1E6233">
                  <w:pPr>
                    <w:jc w:val="center"/>
                    <w:rPr>
                      <w:color w:val="auto"/>
                      <w:sz w:val="18"/>
                      <w:szCs w:val="18"/>
                    </w:rPr>
                  </w:pPr>
                  <w:r>
                    <w:rPr>
                      <w:rFonts w:hint="eastAsia"/>
                      <w:color w:val="auto"/>
                      <w:sz w:val="18"/>
                      <w:szCs w:val="18"/>
                    </w:rPr>
                    <w:t>锡</w:t>
                  </w:r>
                </w:p>
              </w:tc>
              <w:tc>
                <w:tcPr>
                  <w:tcW w:w="2052" w:type="dxa"/>
                  <w:vAlign w:val="center"/>
                </w:tcPr>
                <w:p w14:paraId="5BAA0E2D">
                  <w:pPr>
                    <w:jc w:val="center"/>
                    <w:rPr>
                      <w:color w:val="auto"/>
                      <w:sz w:val="18"/>
                      <w:szCs w:val="18"/>
                    </w:rPr>
                  </w:pPr>
                  <w:r>
                    <w:rPr>
                      <w:rFonts w:hint="eastAsia"/>
                      <w:color w:val="auto"/>
                      <w:sz w:val="18"/>
                      <w:szCs w:val="18"/>
                    </w:rPr>
                    <w:t>99.99%，高纯，</w:t>
                  </w:r>
                  <w:r>
                    <w:rPr>
                      <w:rFonts w:eastAsia="Helvetica"/>
                      <w:color w:val="auto"/>
                      <w:sz w:val="18"/>
                      <w:szCs w:val="18"/>
                      <w:shd w:val="clear" w:color="auto" w:fill="FFFFFF"/>
                    </w:rPr>
                    <w:t>Sn</w:t>
                  </w:r>
                </w:p>
              </w:tc>
              <w:tc>
                <w:tcPr>
                  <w:tcW w:w="762" w:type="dxa"/>
                  <w:vAlign w:val="center"/>
                </w:tcPr>
                <w:p w14:paraId="25EEB169">
                  <w:pPr>
                    <w:jc w:val="center"/>
                    <w:rPr>
                      <w:color w:val="auto"/>
                      <w:sz w:val="18"/>
                      <w:szCs w:val="18"/>
                    </w:rPr>
                  </w:pPr>
                  <w:r>
                    <w:rPr>
                      <w:rFonts w:hint="eastAsia"/>
                      <w:color w:val="auto"/>
                      <w:sz w:val="18"/>
                      <w:szCs w:val="18"/>
                    </w:rPr>
                    <w:t>0.5</w:t>
                  </w:r>
                </w:p>
              </w:tc>
              <w:tc>
                <w:tcPr>
                  <w:tcW w:w="817" w:type="dxa"/>
                  <w:vAlign w:val="center"/>
                </w:tcPr>
                <w:p w14:paraId="5118D38C">
                  <w:pPr>
                    <w:jc w:val="center"/>
                    <w:rPr>
                      <w:color w:val="auto"/>
                      <w:sz w:val="18"/>
                      <w:szCs w:val="18"/>
                    </w:rPr>
                  </w:pPr>
                  <w:r>
                    <w:rPr>
                      <w:rFonts w:hint="eastAsia"/>
                      <w:color w:val="auto"/>
                      <w:sz w:val="18"/>
                      <w:szCs w:val="18"/>
                    </w:rPr>
                    <w:t>0.1</w:t>
                  </w:r>
                </w:p>
              </w:tc>
              <w:tc>
                <w:tcPr>
                  <w:tcW w:w="1387" w:type="dxa"/>
                  <w:vAlign w:val="center"/>
                </w:tcPr>
                <w:p w14:paraId="407889DC">
                  <w:pPr>
                    <w:adjustRightInd w:val="0"/>
                    <w:snapToGrid w:val="0"/>
                    <w:jc w:val="center"/>
                    <w:rPr>
                      <w:color w:val="auto"/>
                      <w:sz w:val="18"/>
                      <w:szCs w:val="18"/>
                    </w:rPr>
                  </w:pPr>
                  <w:r>
                    <w:rPr>
                      <w:rFonts w:hint="eastAsia"/>
                      <w:color w:val="auto"/>
                      <w:sz w:val="18"/>
                      <w:szCs w:val="18"/>
                    </w:rPr>
                    <w:t>100g/瓶，瓶装</w:t>
                  </w:r>
                </w:p>
              </w:tc>
              <w:tc>
                <w:tcPr>
                  <w:tcW w:w="465" w:type="dxa"/>
                  <w:vMerge w:val="continue"/>
                  <w:vAlign w:val="center"/>
                </w:tcPr>
                <w:p w14:paraId="6B4D9B41">
                  <w:pPr>
                    <w:pStyle w:val="4"/>
                    <w:spacing w:before="0" w:after="0" w:line="240" w:lineRule="auto"/>
                    <w:rPr>
                      <w:color w:val="auto"/>
                    </w:rPr>
                  </w:pPr>
                </w:p>
              </w:tc>
            </w:tr>
            <w:tr w14:paraId="0B1866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669" w:type="dxa"/>
                  <w:vMerge w:val="continue"/>
                  <w:vAlign w:val="center"/>
                </w:tcPr>
                <w:p w14:paraId="010BB493">
                  <w:pPr>
                    <w:jc w:val="center"/>
                    <w:rPr>
                      <w:color w:val="auto"/>
                      <w:sz w:val="18"/>
                      <w:szCs w:val="18"/>
                    </w:rPr>
                  </w:pPr>
                </w:p>
                <w:p w14:paraId="391B1151">
                  <w:pPr>
                    <w:jc w:val="center"/>
                    <w:rPr>
                      <w:color w:val="auto"/>
                      <w:sz w:val="18"/>
                      <w:szCs w:val="18"/>
                    </w:rPr>
                  </w:pPr>
                </w:p>
              </w:tc>
              <w:tc>
                <w:tcPr>
                  <w:tcW w:w="809" w:type="dxa"/>
                  <w:vMerge w:val="continue"/>
                  <w:vAlign w:val="center"/>
                </w:tcPr>
                <w:p w14:paraId="5E7426D1">
                  <w:pPr>
                    <w:jc w:val="center"/>
                    <w:rPr>
                      <w:color w:val="auto"/>
                      <w:sz w:val="18"/>
                      <w:szCs w:val="18"/>
                    </w:rPr>
                  </w:pPr>
                </w:p>
              </w:tc>
              <w:tc>
                <w:tcPr>
                  <w:tcW w:w="1506" w:type="dxa"/>
                  <w:vAlign w:val="center"/>
                </w:tcPr>
                <w:p w14:paraId="290215CA">
                  <w:pPr>
                    <w:jc w:val="center"/>
                    <w:rPr>
                      <w:color w:val="auto"/>
                      <w:sz w:val="18"/>
                      <w:szCs w:val="18"/>
                    </w:rPr>
                  </w:pPr>
                  <w:r>
                    <w:rPr>
                      <w:rFonts w:hint="eastAsia"/>
                      <w:color w:val="auto"/>
                      <w:sz w:val="18"/>
                      <w:szCs w:val="18"/>
                    </w:rPr>
                    <w:t>碘</w:t>
                  </w:r>
                </w:p>
              </w:tc>
              <w:tc>
                <w:tcPr>
                  <w:tcW w:w="2052" w:type="dxa"/>
                  <w:vAlign w:val="center"/>
                </w:tcPr>
                <w:p w14:paraId="500AB582">
                  <w:pPr>
                    <w:jc w:val="center"/>
                    <w:rPr>
                      <w:color w:val="auto"/>
                      <w:sz w:val="18"/>
                      <w:szCs w:val="18"/>
                    </w:rPr>
                  </w:pPr>
                  <w:r>
                    <w:rPr>
                      <w:rFonts w:hint="eastAsia"/>
                      <w:color w:val="auto"/>
                      <w:sz w:val="18"/>
                      <w:szCs w:val="18"/>
                    </w:rPr>
                    <w:t>99.99%，高纯，</w:t>
                  </w:r>
                  <w:r>
                    <w:rPr>
                      <w:rFonts w:eastAsia="Helvetica"/>
                      <w:color w:val="auto"/>
                      <w:sz w:val="18"/>
                      <w:szCs w:val="18"/>
                      <w:shd w:val="clear" w:color="auto" w:fill="FFFFFF"/>
                    </w:rPr>
                    <w:t>I</w:t>
                  </w:r>
                  <w:r>
                    <w:rPr>
                      <w:rFonts w:eastAsia="Helvetica"/>
                      <w:color w:val="auto"/>
                      <w:sz w:val="18"/>
                      <w:szCs w:val="18"/>
                      <w:shd w:val="clear" w:color="auto" w:fill="FFFFFF"/>
                      <w:vertAlign w:val="subscript"/>
                    </w:rPr>
                    <w:t>2</w:t>
                  </w:r>
                </w:p>
              </w:tc>
              <w:tc>
                <w:tcPr>
                  <w:tcW w:w="762" w:type="dxa"/>
                  <w:vAlign w:val="center"/>
                </w:tcPr>
                <w:p w14:paraId="45E20EDF">
                  <w:pPr>
                    <w:jc w:val="center"/>
                    <w:rPr>
                      <w:color w:val="auto"/>
                      <w:sz w:val="18"/>
                      <w:szCs w:val="18"/>
                    </w:rPr>
                  </w:pPr>
                  <w:r>
                    <w:rPr>
                      <w:rFonts w:hint="eastAsia"/>
                      <w:color w:val="auto"/>
                      <w:sz w:val="18"/>
                      <w:szCs w:val="18"/>
                    </w:rPr>
                    <w:t>0.5</w:t>
                  </w:r>
                </w:p>
              </w:tc>
              <w:tc>
                <w:tcPr>
                  <w:tcW w:w="817" w:type="dxa"/>
                  <w:vAlign w:val="center"/>
                </w:tcPr>
                <w:p w14:paraId="0C616844">
                  <w:pPr>
                    <w:jc w:val="center"/>
                    <w:rPr>
                      <w:color w:val="auto"/>
                      <w:sz w:val="18"/>
                      <w:szCs w:val="18"/>
                    </w:rPr>
                  </w:pPr>
                  <w:r>
                    <w:rPr>
                      <w:rFonts w:hint="eastAsia"/>
                      <w:color w:val="auto"/>
                      <w:sz w:val="18"/>
                      <w:szCs w:val="18"/>
                    </w:rPr>
                    <w:t>0.1</w:t>
                  </w:r>
                </w:p>
              </w:tc>
              <w:tc>
                <w:tcPr>
                  <w:tcW w:w="1387" w:type="dxa"/>
                  <w:vAlign w:val="center"/>
                </w:tcPr>
                <w:p w14:paraId="0FE9B7B9">
                  <w:pPr>
                    <w:adjustRightInd w:val="0"/>
                    <w:snapToGrid w:val="0"/>
                    <w:jc w:val="center"/>
                    <w:rPr>
                      <w:color w:val="auto"/>
                      <w:sz w:val="18"/>
                      <w:szCs w:val="18"/>
                    </w:rPr>
                  </w:pPr>
                  <w:r>
                    <w:rPr>
                      <w:rFonts w:hint="eastAsia"/>
                      <w:color w:val="auto"/>
                      <w:sz w:val="18"/>
                      <w:szCs w:val="18"/>
                    </w:rPr>
                    <w:t>100g/瓶，瓶装</w:t>
                  </w:r>
                </w:p>
              </w:tc>
              <w:tc>
                <w:tcPr>
                  <w:tcW w:w="465" w:type="dxa"/>
                  <w:vMerge w:val="continue"/>
                  <w:vAlign w:val="center"/>
                </w:tcPr>
                <w:p w14:paraId="1439DE78">
                  <w:pPr>
                    <w:pStyle w:val="4"/>
                    <w:spacing w:before="0" w:after="0" w:line="240" w:lineRule="auto"/>
                    <w:rPr>
                      <w:color w:val="auto"/>
                    </w:rPr>
                  </w:pPr>
                </w:p>
              </w:tc>
            </w:tr>
            <w:tr w14:paraId="34EB03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3" w:hRule="atLeast"/>
                <w:jc w:val="center"/>
              </w:trPr>
              <w:tc>
                <w:tcPr>
                  <w:tcW w:w="669" w:type="dxa"/>
                  <w:vMerge w:val="continue"/>
                  <w:vAlign w:val="center"/>
                </w:tcPr>
                <w:p w14:paraId="359578B7">
                  <w:pPr>
                    <w:jc w:val="center"/>
                    <w:rPr>
                      <w:color w:val="auto"/>
                      <w:sz w:val="18"/>
                      <w:szCs w:val="18"/>
                    </w:rPr>
                  </w:pPr>
                </w:p>
              </w:tc>
              <w:tc>
                <w:tcPr>
                  <w:tcW w:w="809" w:type="dxa"/>
                  <w:vMerge w:val="continue"/>
                  <w:vAlign w:val="center"/>
                </w:tcPr>
                <w:p w14:paraId="4244CE0F">
                  <w:pPr>
                    <w:jc w:val="center"/>
                    <w:rPr>
                      <w:color w:val="auto"/>
                      <w:sz w:val="18"/>
                      <w:szCs w:val="18"/>
                    </w:rPr>
                  </w:pPr>
                </w:p>
              </w:tc>
              <w:tc>
                <w:tcPr>
                  <w:tcW w:w="1506" w:type="dxa"/>
                  <w:vAlign w:val="center"/>
                </w:tcPr>
                <w:p w14:paraId="64A1FD86">
                  <w:pPr>
                    <w:jc w:val="center"/>
                    <w:rPr>
                      <w:color w:val="auto"/>
                      <w:sz w:val="18"/>
                      <w:szCs w:val="18"/>
                    </w:rPr>
                  </w:pPr>
                  <w:r>
                    <w:rPr>
                      <w:rFonts w:hint="eastAsia"/>
                      <w:color w:val="auto"/>
                      <w:sz w:val="18"/>
                      <w:szCs w:val="18"/>
                    </w:rPr>
                    <w:t>钨</w:t>
                  </w:r>
                </w:p>
              </w:tc>
              <w:tc>
                <w:tcPr>
                  <w:tcW w:w="2052" w:type="dxa"/>
                  <w:vAlign w:val="center"/>
                </w:tcPr>
                <w:p w14:paraId="3587E2FC">
                  <w:pPr>
                    <w:jc w:val="center"/>
                    <w:rPr>
                      <w:color w:val="auto"/>
                      <w:sz w:val="18"/>
                      <w:szCs w:val="18"/>
                    </w:rPr>
                  </w:pPr>
                  <w:r>
                    <w:rPr>
                      <w:rFonts w:hint="eastAsia"/>
                      <w:color w:val="auto"/>
                      <w:sz w:val="18"/>
                      <w:szCs w:val="18"/>
                    </w:rPr>
                    <w:t>99.95%，高纯，W</w:t>
                  </w:r>
                </w:p>
              </w:tc>
              <w:tc>
                <w:tcPr>
                  <w:tcW w:w="762" w:type="dxa"/>
                  <w:vAlign w:val="center"/>
                </w:tcPr>
                <w:p w14:paraId="391BA734">
                  <w:pPr>
                    <w:jc w:val="center"/>
                    <w:rPr>
                      <w:color w:val="auto"/>
                      <w:sz w:val="18"/>
                      <w:szCs w:val="18"/>
                    </w:rPr>
                  </w:pPr>
                  <w:r>
                    <w:rPr>
                      <w:rFonts w:hint="eastAsia"/>
                      <w:color w:val="auto"/>
                      <w:sz w:val="18"/>
                      <w:szCs w:val="18"/>
                    </w:rPr>
                    <w:t>0.5</w:t>
                  </w:r>
                </w:p>
              </w:tc>
              <w:tc>
                <w:tcPr>
                  <w:tcW w:w="817" w:type="dxa"/>
                  <w:vAlign w:val="center"/>
                </w:tcPr>
                <w:p w14:paraId="74EA3E91">
                  <w:pPr>
                    <w:jc w:val="center"/>
                    <w:rPr>
                      <w:color w:val="auto"/>
                      <w:sz w:val="18"/>
                      <w:szCs w:val="18"/>
                    </w:rPr>
                  </w:pPr>
                  <w:r>
                    <w:rPr>
                      <w:rFonts w:hint="eastAsia"/>
                      <w:color w:val="auto"/>
                      <w:sz w:val="18"/>
                      <w:szCs w:val="18"/>
                    </w:rPr>
                    <w:t>0.1</w:t>
                  </w:r>
                </w:p>
              </w:tc>
              <w:tc>
                <w:tcPr>
                  <w:tcW w:w="1387" w:type="dxa"/>
                  <w:vAlign w:val="center"/>
                </w:tcPr>
                <w:p w14:paraId="596F4838">
                  <w:pPr>
                    <w:adjustRightInd w:val="0"/>
                    <w:snapToGrid w:val="0"/>
                    <w:jc w:val="center"/>
                    <w:rPr>
                      <w:color w:val="auto"/>
                      <w:sz w:val="18"/>
                      <w:szCs w:val="18"/>
                    </w:rPr>
                  </w:pPr>
                  <w:r>
                    <w:rPr>
                      <w:rFonts w:hint="eastAsia"/>
                      <w:color w:val="auto"/>
                      <w:sz w:val="18"/>
                      <w:szCs w:val="18"/>
                    </w:rPr>
                    <w:t>100g/瓶，瓶装</w:t>
                  </w:r>
                </w:p>
              </w:tc>
              <w:tc>
                <w:tcPr>
                  <w:tcW w:w="465" w:type="dxa"/>
                  <w:vMerge w:val="continue"/>
                  <w:vAlign w:val="center"/>
                </w:tcPr>
                <w:p w14:paraId="1D327CD0">
                  <w:pPr>
                    <w:pStyle w:val="4"/>
                    <w:spacing w:before="0" w:after="0" w:line="240" w:lineRule="auto"/>
                    <w:rPr>
                      <w:color w:val="auto"/>
                    </w:rPr>
                  </w:pPr>
                </w:p>
              </w:tc>
            </w:tr>
            <w:tr w14:paraId="593822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3" w:hRule="atLeast"/>
                <w:jc w:val="center"/>
              </w:trPr>
              <w:tc>
                <w:tcPr>
                  <w:tcW w:w="669" w:type="dxa"/>
                  <w:vMerge w:val="continue"/>
                  <w:vAlign w:val="center"/>
                </w:tcPr>
                <w:p w14:paraId="0C852C64">
                  <w:pPr>
                    <w:jc w:val="center"/>
                    <w:rPr>
                      <w:color w:val="auto"/>
                      <w:sz w:val="18"/>
                      <w:szCs w:val="18"/>
                    </w:rPr>
                  </w:pPr>
                </w:p>
              </w:tc>
              <w:tc>
                <w:tcPr>
                  <w:tcW w:w="809" w:type="dxa"/>
                  <w:vMerge w:val="continue"/>
                  <w:vAlign w:val="center"/>
                </w:tcPr>
                <w:p w14:paraId="6C04A702">
                  <w:pPr>
                    <w:jc w:val="center"/>
                    <w:rPr>
                      <w:color w:val="auto"/>
                      <w:sz w:val="18"/>
                      <w:szCs w:val="18"/>
                    </w:rPr>
                  </w:pPr>
                </w:p>
              </w:tc>
              <w:tc>
                <w:tcPr>
                  <w:tcW w:w="1506" w:type="dxa"/>
                  <w:vAlign w:val="center"/>
                </w:tcPr>
                <w:p w14:paraId="0987D7CA">
                  <w:pPr>
                    <w:jc w:val="center"/>
                    <w:rPr>
                      <w:color w:val="auto"/>
                      <w:sz w:val="18"/>
                      <w:szCs w:val="18"/>
                    </w:rPr>
                  </w:pPr>
                  <w:r>
                    <w:rPr>
                      <w:rFonts w:hint="eastAsia"/>
                      <w:color w:val="auto"/>
                      <w:sz w:val="18"/>
                      <w:szCs w:val="18"/>
                    </w:rPr>
                    <w:t>银</w:t>
                  </w:r>
                </w:p>
              </w:tc>
              <w:tc>
                <w:tcPr>
                  <w:tcW w:w="2052" w:type="dxa"/>
                  <w:vAlign w:val="center"/>
                </w:tcPr>
                <w:p w14:paraId="3B6E0EC4">
                  <w:pPr>
                    <w:jc w:val="center"/>
                    <w:rPr>
                      <w:color w:val="auto"/>
                      <w:sz w:val="18"/>
                      <w:szCs w:val="18"/>
                    </w:rPr>
                  </w:pPr>
                  <w:r>
                    <w:rPr>
                      <w:rFonts w:hint="eastAsia"/>
                      <w:color w:val="auto"/>
                      <w:sz w:val="18"/>
                      <w:szCs w:val="18"/>
                    </w:rPr>
                    <w:t>99.99%，标准品，</w:t>
                  </w:r>
                  <w:r>
                    <w:rPr>
                      <w:rFonts w:eastAsia="Helvetica"/>
                      <w:color w:val="auto"/>
                      <w:sz w:val="18"/>
                      <w:szCs w:val="18"/>
                      <w:shd w:val="clear" w:color="auto" w:fill="FFFFFF"/>
                    </w:rPr>
                    <w:t>Ag</w:t>
                  </w:r>
                </w:p>
              </w:tc>
              <w:tc>
                <w:tcPr>
                  <w:tcW w:w="762" w:type="dxa"/>
                  <w:vAlign w:val="center"/>
                </w:tcPr>
                <w:p w14:paraId="08393964">
                  <w:pPr>
                    <w:jc w:val="center"/>
                    <w:rPr>
                      <w:color w:val="auto"/>
                      <w:sz w:val="18"/>
                      <w:szCs w:val="18"/>
                    </w:rPr>
                  </w:pPr>
                  <w:r>
                    <w:rPr>
                      <w:rFonts w:hint="eastAsia"/>
                      <w:color w:val="auto"/>
                      <w:sz w:val="18"/>
                      <w:szCs w:val="18"/>
                    </w:rPr>
                    <w:t>0.5</w:t>
                  </w:r>
                </w:p>
              </w:tc>
              <w:tc>
                <w:tcPr>
                  <w:tcW w:w="817" w:type="dxa"/>
                  <w:vAlign w:val="center"/>
                </w:tcPr>
                <w:p w14:paraId="165B700C">
                  <w:pPr>
                    <w:jc w:val="center"/>
                    <w:rPr>
                      <w:color w:val="auto"/>
                      <w:sz w:val="18"/>
                      <w:szCs w:val="18"/>
                    </w:rPr>
                  </w:pPr>
                  <w:r>
                    <w:rPr>
                      <w:rFonts w:hint="eastAsia"/>
                      <w:color w:val="auto"/>
                      <w:sz w:val="18"/>
                      <w:szCs w:val="18"/>
                    </w:rPr>
                    <w:t>0.1</w:t>
                  </w:r>
                </w:p>
              </w:tc>
              <w:tc>
                <w:tcPr>
                  <w:tcW w:w="1387" w:type="dxa"/>
                  <w:vAlign w:val="center"/>
                </w:tcPr>
                <w:p w14:paraId="4CE6311C">
                  <w:pPr>
                    <w:adjustRightInd w:val="0"/>
                    <w:snapToGrid w:val="0"/>
                    <w:jc w:val="center"/>
                    <w:rPr>
                      <w:color w:val="auto"/>
                      <w:sz w:val="18"/>
                      <w:szCs w:val="18"/>
                    </w:rPr>
                  </w:pPr>
                  <w:r>
                    <w:rPr>
                      <w:rFonts w:hint="eastAsia"/>
                      <w:color w:val="auto"/>
                      <w:sz w:val="18"/>
                      <w:szCs w:val="18"/>
                    </w:rPr>
                    <w:t>100g/瓶，瓶装</w:t>
                  </w:r>
                </w:p>
              </w:tc>
              <w:tc>
                <w:tcPr>
                  <w:tcW w:w="465" w:type="dxa"/>
                  <w:vMerge w:val="continue"/>
                  <w:vAlign w:val="center"/>
                </w:tcPr>
                <w:p w14:paraId="35F6D437">
                  <w:pPr>
                    <w:pStyle w:val="4"/>
                    <w:spacing w:before="0" w:after="0" w:line="240" w:lineRule="auto"/>
                    <w:rPr>
                      <w:color w:val="auto"/>
                    </w:rPr>
                  </w:pPr>
                </w:p>
              </w:tc>
            </w:tr>
            <w:tr w14:paraId="7F8112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3" w:hRule="atLeast"/>
                <w:jc w:val="center"/>
              </w:trPr>
              <w:tc>
                <w:tcPr>
                  <w:tcW w:w="669" w:type="dxa"/>
                  <w:vMerge w:val="continue"/>
                  <w:vAlign w:val="center"/>
                </w:tcPr>
                <w:p w14:paraId="0A79A5A3">
                  <w:pPr>
                    <w:jc w:val="center"/>
                    <w:rPr>
                      <w:color w:val="auto"/>
                      <w:sz w:val="18"/>
                      <w:szCs w:val="18"/>
                    </w:rPr>
                  </w:pPr>
                </w:p>
              </w:tc>
              <w:tc>
                <w:tcPr>
                  <w:tcW w:w="809" w:type="dxa"/>
                  <w:vMerge w:val="continue"/>
                  <w:vAlign w:val="center"/>
                </w:tcPr>
                <w:p w14:paraId="77D418F5">
                  <w:pPr>
                    <w:jc w:val="center"/>
                    <w:rPr>
                      <w:color w:val="auto"/>
                      <w:sz w:val="18"/>
                      <w:szCs w:val="18"/>
                    </w:rPr>
                  </w:pPr>
                </w:p>
              </w:tc>
              <w:tc>
                <w:tcPr>
                  <w:tcW w:w="1506" w:type="dxa"/>
                  <w:vAlign w:val="center"/>
                </w:tcPr>
                <w:p w14:paraId="1ECE586E">
                  <w:pPr>
                    <w:jc w:val="center"/>
                    <w:rPr>
                      <w:color w:val="auto"/>
                      <w:sz w:val="18"/>
                      <w:szCs w:val="18"/>
                    </w:rPr>
                  </w:pPr>
                  <w:r>
                    <w:rPr>
                      <w:rFonts w:hint="eastAsia"/>
                      <w:color w:val="auto"/>
                      <w:sz w:val="18"/>
                      <w:szCs w:val="18"/>
                    </w:rPr>
                    <w:t>锰</w:t>
                  </w:r>
                </w:p>
              </w:tc>
              <w:tc>
                <w:tcPr>
                  <w:tcW w:w="2052" w:type="dxa"/>
                  <w:vAlign w:val="center"/>
                </w:tcPr>
                <w:p w14:paraId="6D233D50">
                  <w:pPr>
                    <w:jc w:val="center"/>
                    <w:rPr>
                      <w:color w:val="auto"/>
                      <w:sz w:val="18"/>
                      <w:szCs w:val="18"/>
                    </w:rPr>
                  </w:pPr>
                  <w:r>
                    <w:rPr>
                      <w:rFonts w:hint="eastAsia"/>
                      <w:color w:val="auto"/>
                      <w:sz w:val="18"/>
                      <w:szCs w:val="18"/>
                    </w:rPr>
                    <w:t>99.95%，高纯，</w:t>
                  </w:r>
                  <w:r>
                    <w:rPr>
                      <w:rFonts w:eastAsia="Helvetica"/>
                      <w:color w:val="auto"/>
                      <w:sz w:val="18"/>
                      <w:szCs w:val="18"/>
                      <w:shd w:val="clear" w:color="auto" w:fill="FFFFFF"/>
                    </w:rPr>
                    <w:t>Mn</w:t>
                  </w:r>
                </w:p>
              </w:tc>
              <w:tc>
                <w:tcPr>
                  <w:tcW w:w="762" w:type="dxa"/>
                  <w:vAlign w:val="center"/>
                </w:tcPr>
                <w:p w14:paraId="7BF41F98">
                  <w:pPr>
                    <w:jc w:val="center"/>
                    <w:rPr>
                      <w:color w:val="auto"/>
                      <w:sz w:val="18"/>
                      <w:szCs w:val="18"/>
                    </w:rPr>
                  </w:pPr>
                  <w:r>
                    <w:rPr>
                      <w:rFonts w:hint="eastAsia"/>
                      <w:color w:val="auto"/>
                      <w:sz w:val="18"/>
                      <w:szCs w:val="18"/>
                    </w:rPr>
                    <w:t>0.5</w:t>
                  </w:r>
                </w:p>
              </w:tc>
              <w:tc>
                <w:tcPr>
                  <w:tcW w:w="817" w:type="dxa"/>
                  <w:vAlign w:val="center"/>
                </w:tcPr>
                <w:p w14:paraId="5F6CFC09">
                  <w:pPr>
                    <w:jc w:val="center"/>
                    <w:rPr>
                      <w:color w:val="auto"/>
                      <w:sz w:val="18"/>
                      <w:szCs w:val="18"/>
                    </w:rPr>
                  </w:pPr>
                  <w:r>
                    <w:rPr>
                      <w:rFonts w:hint="eastAsia"/>
                      <w:color w:val="auto"/>
                      <w:sz w:val="18"/>
                      <w:szCs w:val="18"/>
                    </w:rPr>
                    <w:t>0.1</w:t>
                  </w:r>
                </w:p>
              </w:tc>
              <w:tc>
                <w:tcPr>
                  <w:tcW w:w="1387" w:type="dxa"/>
                  <w:vAlign w:val="center"/>
                </w:tcPr>
                <w:p w14:paraId="730DBBCF">
                  <w:pPr>
                    <w:adjustRightInd w:val="0"/>
                    <w:snapToGrid w:val="0"/>
                    <w:jc w:val="center"/>
                    <w:rPr>
                      <w:color w:val="auto"/>
                      <w:sz w:val="18"/>
                      <w:szCs w:val="18"/>
                    </w:rPr>
                  </w:pPr>
                  <w:r>
                    <w:rPr>
                      <w:rFonts w:hint="eastAsia"/>
                      <w:color w:val="auto"/>
                      <w:sz w:val="18"/>
                      <w:szCs w:val="18"/>
                    </w:rPr>
                    <w:t>100g/瓶，瓶装</w:t>
                  </w:r>
                </w:p>
              </w:tc>
              <w:tc>
                <w:tcPr>
                  <w:tcW w:w="465" w:type="dxa"/>
                  <w:vMerge w:val="continue"/>
                  <w:vAlign w:val="center"/>
                </w:tcPr>
                <w:p w14:paraId="70EAEC88">
                  <w:pPr>
                    <w:pStyle w:val="4"/>
                    <w:spacing w:before="0" w:after="0" w:line="240" w:lineRule="auto"/>
                    <w:rPr>
                      <w:color w:val="auto"/>
                    </w:rPr>
                  </w:pPr>
                </w:p>
              </w:tc>
            </w:tr>
            <w:tr w14:paraId="62D873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3" w:hRule="atLeast"/>
                <w:jc w:val="center"/>
              </w:trPr>
              <w:tc>
                <w:tcPr>
                  <w:tcW w:w="669" w:type="dxa"/>
                  <w:vMerge w:val="continue"/>
                  <w:vAlign w:val="center"/>
                </w:tcPr>
                <w:p w14:paraId="16C7F4CA">
                  <w:pPr>
                    <w:jc w:val="center"/>
                    <w:rPr>
                      <w:color w:val="auto"/>
                      <w:sz w:val="18"/>
                      <w:szCs w:val="18"/>
                    </w:rPr>
                  </w:pPr>
                </w:p>
              </w:tc>
              <w:tc>
                <w:tcPr>
                  <w:tcW w:w="809" w:type="dxa"/>
                  <w:vMerge w:val="continue"/>
                  <w:vAlign w:val="center"/>
                </w:tcPr>
                <w:p w14:paraId="10069B97">
                  <w:pPr>
                    <w:jc w:val="center"/>
                    <w:rPr>
                      <w:color w:val="auto"/>
                      <w:sz w:val="18"/>
                      <w:szCs w:val="18"/>
                    </w:rPr>
                  </w:pPr>
                </w:p>
              </w:tc>
              <w:tc>
                <w:tcPr>
                  <w:tcW w:w="1506" w:type="dxa"/>
                  <w:vAlign w:val="center"/>
                </w:tcPr>
                <w:p w14:paraId="688B97CA">
                  <w:pPr>
                    <w:jc w:val="center"/>
                    <w:rPr>
                      <w:color w:val="auto"/>
                      <w:sz w:val="18"/>
                      <w:szCs w:val="18"/>
                    </w:rPr>
                  </w:pPr>
                  <w:r>
                    <w:rPr>
                      <w:rFonts w:hint="eastAsia"/>
                      <w:color w:val="auto"/>
                      <w:sz w:val="18"/>
                      <w:szCs w:val="18"/>
                    </w:rPr>
                    <w:t>铬</w:t>
                  </w:r>
                </w:p>
              </w:tc>
              <w:tc>
                <w:tcPr>
                  <w:tcW w:w="2052" w:type="dxa"/>
                  <w:vAlign w:val="center"/>
                </w:tcPr>
                <w:p w14:paraId="4E4B1977">
                  <w:pPr>
                    <w:jc w:val="center"/>
                    <w:rPr>
                      <w:color w:val="auto"/>
                      <w:sz w:val="18"/>
                      <w:szCs w:val="18"/>
                    </w:rPr>
                  </w:pPr>
                  <w:r>
                    <w:rPr>
                      <w:rFonts w:hint="eastAsia"/>
                      <w:color w:val="auto"/>
                      <w:sz w:val="18"/>
                      <w:szCs w:val="18"/>
                    </w:rPr>
                    <w:t>99.95%，高纯，</w:t>
                  </w:r>
                  <w:r>
                    <w:rPr>
                      <w:rFonts w:eastAsia="Helvetica"/>
                      <w:color w:val="auto"/>
                      <w:sz w:val="18"/>
                      <w:szCs w:val="18"/>
                      <w:shd w:val="clear" w:color="auto" w:fill="FFFFFF"/>
                    </w:rPr>
                    <w:t>Sc</w:t>
                  </w:r>
                </w:p>
              </w:tc>
              <w:tc>
                <w:tcPr>
                  <w:tcW w:w="762" w:type="dxa"/>
                  <w:vAlign w:val="center"/>
                </w:tcPr>
                <w:p w14:paraId="321CD873">
                  <w:pPr>
                    <w:jc w:val="center"/>
                    <w:rPr>
                      <w:color w:val="auto"/>
                      <w:sz w:val="18"/>
                      <w:szCs w:val="18"/>
                    </w:rPr>
                  </w:pPr>
                  <w:r>
                    <w:rPr>
                      <w:rFonts w:hint="eastAsia"/>
                      <w:color w:val="auto"/>
                      <w:sz w:val="18"/>
                      <w:szCs w:val="18"/>
                    </w:rPr>
                    <w:t>0.5</w:t>
                  </w:r>
                </w:p>
              </w:tc>
              <w:tc>
                <w:tcPr>
                  <w:tcW w:w="817" w:type="dxa"/>
                  <w:vAlign w:val="center"/>
                </w:tcPr>
                <w:p w14:paraId="17A89509">
                  <w:pPr>
                    <w:jc w:val="center"/>
                    <w:rPr>
                      <w:color w:val="auto"/>
                      <w:sz w:val="18"/>
                      <w:szCs w:val="18"/>
                    </w:rPr>
                  </w:pPr>
                  <w:r>
                    <w:rPr>
                      <w:rFonts w:hint="eastAsia"/>
                      <w:color w:val="auto"/>
                      <w:sz w:val="18"/>
                      <w:szCs w:val="18"/>
                    </w:rPr>
                    <w:t>0.1</w:t>
                  </w:r>
                </w:p>
              </w:tc>
              <w:tc>
                <w:tcPr>
                  <w:tcW w:w="1387" w:type="dxa"/>
                  <w:vAlign w:val="center"/>
                </w:tcPr>
                <w:p w14:paraId="396A4B45">
                  <w:pPr>
                    <w:adjustRightInd w:val="0"/>
                    <w:snapToGrid w:val="0"/>
                    <w:jc w:val="center"/>
                    <w:rPr>
                      <w:color w:val="auto"/>
                      <w:sz w:val="18"/>
                      <w:szCs w:val="18"/>
                    </w:rPr>
                  </w:pPr>
                  <w:r>
                    <w:rPr>
                      <w:rFonts w:hint="eastAsia"/>
                      <w:color w:val="auto"/>
                      <w:sz w:val="18"/>
                      <w:szCs w:val="18"/>
                    </w:rPr>
                    <w:t>100g/瓶，瓶装</w:t>
                  </w:r>
                </w:p>
              </w:tc>
              <w:tc>
                <w:tcPr>
                  <w:tcW w:w="465" w:type="dxa"/>
                  <w:vMerge w:val="continue"/>
                  <w:vAlign w:val="center"/>
                </w:tcPr>
                <w:p w14:paraId="3DD6571B">
                  <w:pPr>
                    <w:pStyle w:val="4"/>
                    <w:spacing w:before="0" w:after="0" w:line="240" w:lineRule="auto"/>
                    <w:rPr>
                      <w:color w:val="auto"/>
                    </w:rPr>
                  </w:pPr>
                </w:p>
              </w:tc>
            </w:tr>
            <w:tr w14:paraId="57FCD2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3" w:hRule="atLeast"/>
                <w:jc w:val="center"/>
              </w:trPr>
              <w:tc>
                <w:tcPr>
                  <w:tcW w:w="669" w:type="dxa"/>
                  <w:vMerge w:val="continue"/>
                  <w:vAlign w:val="center"/>
                </w:tcPr>
                <w:p w14:paraId="24DDC839">
                  <w:pPr>
                    <w:jc w:val="center"/>
                    <w:rPr>
                      <w:color w:val="auto"/>
                      <w:sz w:val="18"/>
                      <w:szCs w:val="18"/>
                    </w:rPr>
                  </w:pPr>
                </w:p>
              </w:tc>
              <w:tc>
                <w:tcPr>
                  <w:tcW w:w="809" w:type="dxa"/>
                  <w:vMerge w:val="continue"/>
                  <w:vAlign w:val="center"/>
                </w:tcPr>
                <w:p w14:paraId="6B56F803">
                  <w:pPr>
                    <w:jc w:val="center"/>
                    <w:rPr>
                      <w:color w:val="auto"/>
                      <w:sz w:val="18"/>
                      <w:szCs w:val="18"/>
                    </w:rPr>
                  </w:pPr>
                </w:p>
              </w:tc>
              <w:tc>
                <w:tcPr>
                  <w:tcW w:w="1506" w:type="dxa"/>
                  <w:vAlign w:val="center"/>
                </w:tcPr>
                <w:p w14:paraId="02758BF8">
                  <w:pPr>
                    <w:jc w:val="center"/>
                    <w:rPr>
                      <w:color w:val="auto"/>
                      <w:sz w:val="18"/>
                      <w:szCs w:val="18"/>
                    </w:rPr>
                  </w:pPr>
                  <w:r>
                    <w:rPr>
                      <w:rFonts w:hint="eastAsia"/>
                      <w:color w:val="auto"/>
                      <w:sz w:val="18"/>
                      <w:szCs w:val="18"/>
                    </w:rPr>
                    <w:t>锌</w:t>
                  </w:r>
                </w:p>
              </w:tc>
              <w:tc>
                <w:tcPr>
                  <w:tcW w:w="2052" w:type="dxa"/>
                  <w:vAlign w:val="center"/>
                </w:tcPr>
                <w:p w14:paraId="72876CC0">
                  <w:pPr>
                    <w:jc w:val="center"/>
                    <w:rPr>
                      <w:color w:val="auto"/>
                      <w:sz w:val="18"/>
                      <w:szCs w:val="18"/>
                    </w:rPr>
                  </w:pPr>
                  <w:r>
                    <w:rPr>
                      <w:rFonts w:hint="eastAsia"/>
                      <w:color w:val="auto"/>
                      <w:sz w:val="18"/>
                      <w:szCs w:val="18"/>
                    </w:rPr>
                    <w:t>99.99%，高纯，</w:t>
                  </w:r>
                  <w:r>
                    <w:rPr>
                      <w:rFonts w:eastAsia="Helvetica"/>
                      <w:color w:val="auto"/>
                      <w:sz w:val="18"/>
                      <w:szCs w:val="18"/>
                      <w:shd w:val="clear" w:color="auto" w:fill="FFFFFF"/>
                    </w:rPr>
                    <w:t>Zn</w:t>
                  </w:r>
                </w:p>
              </w:tc>
              <w:tc>
                <w:tcPr>
                  <w:tcW w:w="762" w:type="dxa"/>
                  <w:vAlign w:val="center"/>
                </w:tcPr>
                <w:p w14:paraId="506402C7">
                  <w:pPr>
                    <w:jc w:val="center"/>
                    <w:rPr>
                      <w:color w:val="auto"/>
                      <w:sz w:val="18"/>
                      <w:szCs w:val="18"/>
                    </w:rPr>
                  </w:pPr>
                  <w:r>
                    <w:rPr>
                      <w:rFonts w:hint="eastAsia"/>
                      <w:color w:val="auto"/>
                      <w:sz w:val="18"/>
                      <w:szCs w:val="18"/>
                    </w:rPr>
                    <w:t>0.5</w:t>
                  </w:r>
                </w:p>
              </w:tc>
              <w:tc>
                <w:tcPr>
                  <w:tcW w:w="817" w:type="dxa"/>
                  <w:vAlign w:val="center"/>
                </w:tcPr>
                <w:p w14:paraId="27CB74F8">
                  <w:pPr>
                    <w:jc w:val="center"/>
                    <w:rPr>
                      <w:color w:val="auto"/>
                      <w:sz w:val="18"/>
                      <w:szCs w:val="18"/>
                    </w:rPr>
                  </w:pPr>
                  <w:r>
                    <w:rPr>
                      <w:rFonts w:hint="eastAsia"/>
                      <w:color w:val="auto"/>
                      <w:sz w:val="18"/>
                      <w:szCs w:val="18"/>
                    </w:rPr>
                    <w:t>0.1</w:t>
                  </w:r>
                </w:p>
              </w:tc>
              <w:tc>
                <w:tcPr>
                  <w:tcW w:w="1387" w:type="dxa"/>
                  <w:vAlign w:val="center"/>
                </w:tcPr>
                <w:p w14:paraId="43531E6B">
                  <w:pPr>
                    <w:adjustRightInd w:val="0"/>
                    <w:snapToGrid w:val="0"/>
                    <w:jc w:val="center"/>
                    <w:rPr>
                      <w:color w:val="auto"/>
                      <w:sz w:val="18"/>
                      <w:szCs w:val="18"/>
                    </w:rPr>
                  </w:pPr>
                  <w:r>
                    <w:rPr>
                      <w:rFonts w:hint="eastAsia"/>
                      <w:color w:val="auto"/>
                      <w:sz w:val="18"/>
                      <w:szCs w:val="18"/>
                    </w:rPr>
                    <w:t>100g/瓶，瓶装</w:t>
                  </w:r>
                </w:p>
              </w:tc>
              <w:tc>
                <w:tcPr>
                  <w:tcW w:w="465" w:type="dxa"/>
                  <w:vMerge w:val="continue"/>
                  <w:vAlign w:val="center"/>
                </w:tcPr>
                <w:p w14:paraId="66C2BDEB">
                  <w:pPr>
                    <w:pStyle w:val="4"/>
                    <w:spacing w:before="0" w:after="0" w:line="240" w:lineRule="auto"/>
                    <w:rPr>
                      <w:color w:val="auto"/>
                    </w:rPr>
                  </w:pPr>
                </w:p>
              </w:tc>
            </w:tr>
            <w:tr w14:paraId="23869E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3" w:hRule="atLeast"/>
                <w:jc w:val="center"/>
              </w:trPr>
              <w:tc>
                <w:tcPr>
                  <w:tcW w:w="669" w:type="dxa"/>
                  <w:vMerge w:val="continue"/>
                  <w:vAlign w:val="center"/>
                </w:tcPr>
                <w:p w14:paraId="1920F185">
                  <w:pPr>
                    <w:jc w:val="center"/>
                    <w:rPr>
                      <w:color w:val="auto"/>
                      <w:sz w:val="18"/>
                      <w:szCs w:val="18"/>
                    </w:rPr>
                  </w:pPr>
                </w:p>
              </w:tc>
              <w:tc>
                <w:tcPr>
                  <w:tcW w:w="809" w:type="dxa"/>
                  <w:vMerge w:val="continue"/>
                  <w:vAlign w:val="center"/>
                </w:tcPr>
                <w:p w14:paraId="1FDE39F5">
                  <w:pPr>
                    <w:jc w:val="center"/>
                    <w:rPr>
                      <w:color w:val="auto"/>
                      <w:sz w:val="18"/>
                      <w:szCs w:val="18"/>
                    </w:rPr>
                  </w:pPr>
                </w:p>
              </w:tc>
              <w:tc>
                <w:tcPr>
                  <w:tcW w:w="1506" w:type="dxa"/>
                  <w:vAlign w:val="center"/>
                </w:tcPr>
                <w:p w14:paraId="2B624026">
                  <w:pPr>
                    <w:jc w:val="center"/>
                    <w:rPr>
                      <w:color w:val="auto"/>
                      <w:sz w:val="18"/>
                      <w:szCs w:val="18"/>
                    </w:rPr>
                  </w:pPr>
                  <w:r>
                    <w:rPr>
                      <w:rFonts w:hint="eastAsia"/>
                      <w:color w:val="auto"/>
                      <w:sz w:val="18"/>
                      <w:szCs w:val="18"/>
                    </w:rPr>
                    <w:t>铋</w:t>
                  </w:r>
                </w:p>
              </w:tc>
              <w:tc>
                <w:tcPr>
                  <w:tcW w:w="2052" w:type="dxa"/>
                  <w:vAlign w:val="center"/>
                </w:tcPr>
                <w:p w14:paraId="7343CAF7">
                  <w:pPr>
                    <w:jc w:val="center"/>
                    <w:rPr>
                      <w:color w:val="auto"/>
                      <w:sz w:val="18"/>
                      <w:szCs w:val="18"/>
                    </w:rPr>
                  </w:pPr>
                  <w:r>
                    <w:rPr>
                      <w:rFonts w:hint="eastAsia"/>
                      <w:color w:val="auto"/>
                      <w:sz w:val="18"/>
                      <w:szCs w:val="18"/>
                    </w:rPr>
                    <w:t>99.7%，AR，</w:t>
                  </w:r>
                  <w:r>
                    <w:rPr>
                      <w:rFonts w:eastAsia="Helvetica"/>
                      <w:color w:val="auto"/>
                      <w:sz w:val="18"/>
                      <w:szCs w:val="18"/>
                      <w:shd w:val="clear" w:color="auto" w:fill="FFFFFF"/>
                    </w:rPr>
                    <w:t>Bi</w:t>
                  </w:r>
                </w:p>
              </w:tc>
              <w:tc>
                <w:tcPr>
                  <w:tcW w:w="762" w:type="dxa"/>
                  <w:vAlign w:val="center"/>
                </w:tcPr>
                <w:p w14:paraId="0ACE6BC8">
                  <w:pPr>
                    <w:jc w:val="center"/>
                    <w:rPr>
                      <w:color w:val="auto"/>
                      <w:sz w:val="18"/>
                      <w:szCs w:val="18"/>
                    </w:rPr>
                  </w:pPr>
                  <w:r>
                    <w:rPr>
                      <w:rFonts w:hint="eastAsia"/>
                      <w:color w:val="auto"/>
                      <w:sz w:val="18"/>
                      <w:szCs w:val="18"/>
                    </w:rPr>
                    <w:t>0.5</w:t>
                  </w:r>
                </w:p>
              </w:tc>
              <w:tc>
                <w:tcPr>
                  <w:tcW w:w="817" w:type="dxa"/>
                  <w:vAlign w:val="center"/>
                </w:tcPr>
                <w:p w14:paraId="2C09897C">
                  <w:pPr>
                    <w:jc w:val="center"/>
                    <w:rPr>
                      <w:color w:val="auto"/>
                      <w:sz w:val="18"/>
                      <w:szCs w:val="18"/>
                    </w:rPr>
                  </w:pPr>
                  <w:r>
                    <w:rPr>
                      <w:rFonts w:hint="eastAsia"/>
                      <w:color w:val="auto"/>
                      <w:sz w:val="18"/>
                      <w:szCs w:val="18"/>
                    </w:rPr>
                    <w:t>0.1</w:t>
                  </w:r>
                </w:p>
              </w:tc>
              <w:tc>
                <w:tcPr>
                  <w:tcW w:w="1387" w:type="dxa"/>
                  <w:vAlign w:val="center"/>
                </w:tcPr>
                <w:p w14:paraId="04EC2BDF">
                  <w:pPr>
                    <w:adjustRightInd w:val="0"/>
                    <w:snapToGrid w:val="0"/>
                    <w:jc w:val="center"/>
                    <w:rPr>
                      <w:color w:val="auto"/>
                      <w:sz w:val="18"/>
                      <w:szCs w:val="18"/>
                    </w:rPr>
                  </w:pPr>
                  <w:r>
                    <w:rPr>
                      <w:rFonts w:hint="eastAsia"/>
                      <w:color w:val="auto"/>
                      <w:sz w:val="18"/>
                      <w:szCs w:val="18"/>
                    </w:rPr>
                    <w:t>100g/瓶，瓶装</w:t>
                  </w:r>
                </w:p>
              </w:tc>
              <w:tc>
                <w:tcPr>
                  <w:tcW w:w="465" w:type="dxa"/>
                  <w:vMerge w:val="continue"/>
                  <w:vAlign w:val="center"/>
                </w:tcPr>
                <w:p w14:paraId="735BCAF9">
                  <w:pPr>
                    <w:pStyle w:val="4"/>
                    <w:spacing w:before="0" w:after="0" w:line="240" w:lineRule="auto"/>
                    <w:rPr>
                      <w:color w:val="auto"/>
                    </w:rPr>
                  </w:pPr>
                </w:p>
              </w:tc>
            </w:tr>
            <w:tr w14:paraId="47EA45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3" w:hRule="atLeast"/>
                <w:jc w:val="center"/>
              </w:trPr>
              <w:tc>
                <w:tcPr>
                  <w:tcW w:w="669" w:type="dxa"/>
                  <w:vMerge w:val="continue"/>
                  <w:vAlign w:val="center"/>
                </w:tcPr>
                <w:p w14:paraId="7E87117C">
                  <w:pPr>
                    <w:jc w:val="center"/>
                    <w:rPr>
                      <w:color w:val="auto"/>
                      <w:sz w:val="18"/>
                      <w:szCs w:val="18"/>
                    </w:rPr>
                  </w:pPr>
                </w:p>
              </w:tc>
              <w:tc>
                <w:tcPr>
                  <w:tcW w:w="809" w:type="dxa"/>
                  <w:vMerge w:val="continue"/>
                  <w:vAlign w:val="center"/>
                </w:tcPr>
                <w:p w14:paraId="1EB6BB49">
                  <w:pPr>
                    <w:jc w:val="center"/>
                    <w:rPr>
                      <w:color w:val="auto"/>
                      <w:sz w:val="18"/>
                      <w:szCs w:val="18"/>
                    </w:rPr>
                  </w:pPr>
                </w:p>
              </w:tc>
              <w:tc>
                <w:tcPr>
                  <w:tcW w:w="1506" w:type="dxa"/>
                  <w:vAlign w:val="center"/>
                </w:tcPr>
                <w:p w14:paraId="633B8F19">
                  <w:pPr>
                    <w:jc w:val="center"/>
                    <w:rPr>
                      <w:color w:val="auto"/>
                      <w:sz w:val="18"/>
                      <w:szCs w:val="18"/>
                    </w:rPr>
                  </w:pPr>
                  <w:r>
                    <w:rPr>
                      <w:rFonts w:hint="eastAsia"/>
                      <w:color w:val="auto"/>
                      <w:sz w:val="18"/>
                      <w:szCs w:val="18"/>
                    </w:rPr>
                    <w:t>锂</w:t>
                  </w:r>
                </w:p>
              </w:tc>
              <w:tc>
                <w:tcPr>
                  <w:tcW w:w="2052" w:type="dxa"/>
                  <w:vAlign w:val="center"/>
                </w:tcPr>
                <w:p w14:paraId="7EED9908">
                  <w:pPr>
                    <w:jc w:val="center"/>
                    <w:rPr>
                      <w:color w:val="auto"/>
                      <w:sz w:val="18"/>
                      <w:szCs w:val="18"/>
                    </w:rPr>
                  </w:pPr>
                  <w:r>
                    <w:rPr>
                      <w:rFonts w:hint="eastAsia"/>
                      <w:color w:val="auto"/>
                      <w:sz w:val="18"/>
                      <w:szCs w:val="18"/>
                    </w:rPr>
                    <w:t>99.95%，高纯，</w:t>
                  </w:r>
                  <w:r>
                    <w:rPr>
                      <w:rFonts w:eastAsia="Helvetica"/>
                      <w:color w:val="auto"/>
                      <w:sz w:val="18"/>
                      <w:szCs w:val="18"/>
                      <w:shd w:val="clear" w:color="auto" w:fill="FFFFFF"/>
                    </w:rPr>
                    <w:t>Li</w:t>
                  </w:r>
                </w:p>
              </w:tc>
              <w:tc>
                <w:tcPr>
                  <w:tcW w:w="762" w:type="dxa"/>
                  <w:vAlign w:val="center"/>
                </w:tcPr>
                <w:p w14:paraId="7C14B7C5">
                  <w:pPr>
                    <w:jc w:val="center"/>
                    <w:rPr>
                      <w:color w:val="auto"/>
                      <w:sz w:val="18"/>
                      <w:szCs w:val="18"/>
                    </w:rPr>
                  </w:pPr>
                  <w:r>
                    <w:rPr>
                      <w:rFonts w:hint="eastAsia"/>
                      <w:color w:val="auto"/>
                      <w:sz w:val="18"/>
                      <w:szCs w:val="18"/>
                    </w:rPr>
                    <w:t>0.5</w:t>
                  </w:r>
                </w:p>
              </w:tc>
              <w:tc>
                <w:tcPr>
                  <w:tcW w:w="817" w:type="dxa"/>
                  <w:vAlign w:val="center"/>
                </w:tcPr>
                <w:p w14:paraId="41DB081D">
                  <w:pPr>
                    <w:jc w:val="center"/>
                    <w:rPr>
                      <w:color w:val="auto"/>
                      <w:sz w:val="18"/>
                      <w:szCs w:val="18"/>
                    </w:rPr>
                  </w:pPr>
                  <w:r>
                    <w:rPr>
                      <w:rFonts w:hint="eastAsia"/>
                      <w:color w:val="auto"/>
                      <w:sz w:val="18"/>
                      <w:szCs w:val="18"/>
                    </w:rPr>
                    <w:t>0.1</w:t>
                  </w:r>
                </w:p>
              </w:tc>
              <w:tc>
                <w:tcPr>
                  <w:tcW w:w="1387" w:type="dxa"/>
                  <w:vAlign w:val="center"/>
                </w:tcPr>
                <w:p w14:paraId="0AD30AA5">
                  <w:pPr>
                    <w:adjustRightInd w:val="0"/>
                    <w:snapToGrid w:val="0"/>
                    <w:jc w:val="center"/>
                    <w:rPr>
                      <w:color w:val="auto"/>
                      <w:sz w:val="18"/>
                      <w:szCs w:val="18"/>
                    </w:rPr>
                  </w:pPr>
                  <w:r>
                    <w:rPr>
                      <w:rFonts w:hint="eastAsia"/>
                      <w:color w:val="auto"/>
                      <w:sz w:val="18"/>
                      <w:szCs w:val="18"/>
                    </w:rPr>
                    <w:t>100g/瓶，瓶装</w:t>
                  </w:r>
                </w:p>
              </w:tc>
              <w:tc>
                <w:tcPr>
                  <w:tcW w:w="465" w:type="dxa"/>
                  <w:vMerge w:val="continue"/>
                  <w:vAlign w:val="center"/>
                </w:tcPr>
                <w:p w14:paraId="5D4C01B4">
                  <w:pPr>
                    <w:pStyle w:val="4"/>
                    <w:spacing w:before="0" w:after="0" w:line="240" w:lineRule="auto"/>
                    <w:rPr>
                      <w:color w:val="auto"/>
                    </w:rPr>
                  </w:pPr>
                </w:p>
              </w:tc>
            </w:tr>
            <w:tr w14:paraId="7FCFD9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3" w:hRule="atLeast"/>
                <w:jc w:val="center"/>
              </w:trPr>
              <w:tc>
                <w:tcPr>
                  <w:tcW w:w="669" w:type="dxa"/>
                  <w:vMerge w:val="continue"/>
                  <w:vAlign w:val="center"/>
                </w:tcPr>
                <w:p w14:paraId="016DF4E6">
                  <w:pPr>
                    <w:jc w:val="center"/>
                    <w:rPr>
                      <w:color w:val="auto"/>
                      <w:sz w:val="18"/>
                      <w:szCs w:val="18"/>
                    </w:rPr>
                  </w:pPr>
                </w:p>
              </w:tc>
              <w:tc>
                <w:tcPr>
                  <w:tcW w:w="809" w:type="dxa"/>
                  <w:vMerge w:val="continue"/>
                  <w:vAlign w:val="center"/>
                </w:tcPr>
                <w:p w14:paraId="7258CB95">
                  <w:pPr>
                    <w:jc w:val="center"/>
                    <w:rPr>
                      <w:color w:val="auto"/>
                      <w:sz w:val="18"/>
                      <w:szCs w:val="18"/>
                    </w:rPr>
                  </w:pPr>
                </w:p>
              </w:tc>
              <w:tc>
                <w:tcPr>
                  <w:tcW w:w="1506" w:type="dxa"/>
                  <w:vAlign w:val="center"/>
                </w:tcPr>
                <w:p w14:paraId="5386FD87">
                  <w:pPr>
                    <w:jc w:val="center"/>
                    <w:rPr>
                      <w:color w:val="auto"/>
                      <w:sz w:val="18"/>
                      <w:szCs w:val="18"/>
                    </w:rPr>
                  </w:pPr>
                  <w:r>
                    <w:rPr>
                      <w:rFonts w:hint="eastAsia"/>
                      <w:color w:val="auto"/>
                      <w:sz w:val="18"/>
                      <w:szCs w:val="18"/>
                    </w:rPr>
                    <w:t>金</w:t>
                  </w:r>
                </w:p>
              </w:tc>
              <w:tc>
                <w:tcPr>
                  <w:tcW w:w="2052" w:type="dxa"/>
                  <w:vAlign w:val="center"/>
                </w:tcPr>
                <w:p w14:paraId="7CB906B8">
                  <w:pPr>
                    <w:jc w:val="center"/>
                    <w:rPr>
                      <w:color w:val="auto"/>
                      <w:sz w:val="18"/>
                      <w:szCs w:val="18"/>
                    </w:rPr>
                  </w:pPr>
                  <w:r>
                    <w:rPr>
                      <w:rFonts w:hint="eastAsia"/>
                      <w:color w:val="auto"/>
                      <w:sz w:val="18"/>
                      <w:szCs w:val="18"/>
                    </w:rPr>
                    <w:t>99.9%，标准品</w:t>
                  </w:r>
                  <w:r>
                    <w:rPr>
                      <w:color w:val="auto"/>
                      <w:sz w:val="18"/>
                      <w:szCs w:val="18"/>
                    </w:rPr>
                    <w:t>，</w:t>
                  </w:r>
                  <w:r>
                    <w:rPr>
                      <w:rFonts w:eastAsia="Helvetica"/>
                      <w:color w:val="auto"/>
                      <w:sz w:val="18"/>
                      <w:szCs w:val="18"/>
                      <w:shd w:val="clear" w:color="auto" w:fill="FFFFFF"/>
                    </w:rPr>
                    <w:t>Au</w:t>
                  </w:r>
                </w:p>
              </w:tc>
              <w:tc>
                <w:tcPr>
                  <w:tcW w:w="762" w:type="dxa"/>
                  <w:vAlign w:val="center"/>
                </w:tcPr>
                <w:p w14:paraId="6143C983">
                  <w:pPr>
                    <w:jc w:val="center"/>
                    <w:rPr>
                      <w:color w:val="auto"/>
                      <w:sz w:val="18"/>
                      <w:szCs w:val="18"/>
                    </w:rPr>
                  </w:pPr>
                  <w:r>
                    <w:rPr>
                      <w:rFonts w:hint="eastAsia"/>
                      <w:color w:val="auto"/>
                      <w:sz w:val="18"/>
                      <w:szCs w:val="18"/>
                    </w:rPr>
                    <w:t>0.5</w:t>
                  </w:r>
                </w:p>
              </w:tc>
              <w:tc>
                <w:tcPr>
                  <w:tcW w:w="817" w:type="dxa"/>
                  <w:vAlign w:val="center"/>
                </w:tcPr>
                <w:p w14:paraId="00968C6C">
                  <w:pPr>
                    <w:jc w:val="center"/>
                    <w:rPr>
                      <w:color w:val="auto"/>
                      <w:sz w:val="18"/>
                      <w:szCs w:val="18"/>
                    </w:rPr>
                  </w:pPr>
                  <w:r>
                    <w:rPr>
                      <w:rFonts w:hint="eastAsia"/>
                      <w:color w:val="auto"/>
                      <w:sz w:val="18"/>
                      <w:szCs w:val="18"/>
                    </w:rPr>
                    <w:t>0.1</w:t>
                  </w:r>
                </w:p>
              </w:tc>
              <w:tc>
                <w:tcPr>
                  <w:tcW w:w="1387" w:type="dxa"/>
                  <w:vAlign w:val="center"/>
                </w:tcPr>
                <w:p w14:paraId="2A95B8F1">
                  <w:pPr>
                    <w:adjustRightInd w:val="0"/>
                    <w:snapToGrid w:val="0"/>
                    <w:jc w:val="center"/>
                    <w:rPr>
                      <w:color w:val="auto"/>
                      <w:sz w:val="18"/>
                      <w:szCs w:val="18"/>
                    </w:rPr>
                  </w:pPr>
                  <w:r>
                    <w:rPr>
                      <w:rFonts w:hint="eastAsia"/>
                      <w:color w:val="auto"/>
                      <w:sz w:val="18"/>
                      <w:szCs w:val="18"/>
                    </w:rPr>
                    <w:t>100g/瓶，瓶装</w:t>
                  </w:r>
                </w:p>
              </w:tc>
              <w:tc>
                <w:tcPr>
                  <w:tcW w:w="465" w:type="dxa"/>
                  <w:vMerge w:val="continue"/>
                  <w:vAlign w:val="center"/>
                </w:tcPr>
                <w:p w14:paraId="4CE4C7BF">
                  <w:pPr>
                    <w:pStyle w:val="4"/>
                    <w:spacing w:before="0" w:after="0" w:line="240" w:lineRule="auto"/>
                    <w:rPr>
                      <w:color w:val="auto"/>
                    </w:rPr>
                  </w:pPr>
                </w:p>
              </w:tc>
            </w:tr>
            <w:tr w14:paraId="4E0F99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3" w:hRule="atLeast"/>
                <w:jc w:val="center"/>
              </w:trPr>
              <w:tc>
                <w:tcPr>
                  <w:tcW w:w="669" w:type="dxa"/>
                  <w:vMerge w:val="continue"/>
                  <w:vAlign w:val="center"/>
                </w:tcPr>
                <w:p w14:paraId="02957C00">
                  <w:pPr>
                    <w:jc w:val="center"/>
                    <w:rPr>
                      <w:color w:val="auto"/>
                      <w:sz w:val="18"/>
                      <w:szCs w:val="18"/>
                    </w:rPr>
                  </w:pPr>
                </w:p>
              </w:tc>
              <w:tc>
                <w:tcPr>
                  <w:tcW w:w="809" w:type="dxa"/>
                  <w:vMerge w:val="continue"/>
                  <w:vAlign w:val="center"/>
                </w:tcPr>
                <w:p w14:paraId="6D5A059F">
                  <w:pPr>
                    <w:jc w:val="center"/>
                    <w:rPr>
                      <w:color w:val="auto"/>
                      <w:sz w:val="18"/>
                      <w:szCs w:val="18"/>
                    </w:rPr>
                  </w:pPr>
                </w:p>
              </w:tc>
              <w:tc>
                <w:tcPr>
                  <w:tcW w:w="1506" w:type="dxa"/>
                  <w:vAlign w:val="center"/>
                </w:tcPr>
                <w:p w14:paraId="6BE2F168">
                  <w:pPr>
                    <w:jc w:val="center"/>
                    <w:rPr>
                      <w:color w:val="auto"/>
                      <w:sz w:val="18"/>
                      <w:szCs w:val="18"/>
                    </w:rPr>
                  </w:pPr>
                  <w:r>
                    <w:rPr>
                      <w:rFonts w:hint="eastAsia"/>
                      <w:color w:val="auto"/>
                      <w:sz w:val="18"/>
                      <w:szCs w:val="18"/>
                    </w:rPr>
                    <w:t>镍</w:t>
                  </w:r>
                </w:p>
              </w:tc>
              <w:tc>
                <w:tcPr>
                  <w:tcW w:w="2052" w:type="dxa"/>
                  <w:vAlign w:val="center"/>
                </w:tcPr>
                <w:p w14:paraId="6BF2F0F0">
                  <w:pPr>
                    <w:jc w:val="center"/>
                    <w:rPr>
                      <w:color w:val="auto"/>
                      <w:sz w:val="18"/>
                      <w:szCs w:val="18"/>
                    </w:rPr>
                  </w:pPr>
                  <w:r>
                    <w:rPr>
                      <w:rFonts w:hint="eastAsia"/>
                      <w:color w:val="auto"/>
                      <w:sz w:val="18"/>
                      <w:szCs w:val="18"/>
                    </w:rPr>
                    <w:t>99.98%，高纯</w:t>
                  </w:r>
                  <w:r>
                    <w:rPr>
                      <w:color w:val="auto"/>
                      <w:sz w:val="18"/>
                      <w:szCs w:val="18"/>
                    </w:rPr>
                    <w:t>，</w:t>
                  </w:r>
                  <w:r>
                    <w:rPr>
                      <w:rFonts w:eastAsia="Helvetica"/>
                      <w:color w:val="auto"/>
                      <w:sz w:val="18"/>
                      <w:szCs w:val="18"/>
                      <w:shd w:val="clear" w:color="auto" w:fill="FFFFFF"/>
                    </w:rPr>
                    <w:t>Ni</w:t>
                  </w:r>
                </w:p>
              </w:tc>
              <w:tc>
                <w:tcPr>
                  <w:tcW w:w="762" w:type="dxa"/>
                  <w:vAlign w:val="center"/>
                </w:tcPr>
                <w:p w14:paraId="2CEE9264">
                  <w:pPr>
                    <w:jc w:val="center"/>
                    <w:rPr>
                      <w:color w:val="auto"/>
                      <w:sz w:val="18"/>
                      <w:szCs w:val="18"/>
                    </w:rPr>
                  </w:pPr>
                  <w:r>
                    <w:rPr>
                      <w:rFonts w:hint="eastAsia"/>
                      <w:color w:val="auto"/>
                      <w:sz w:val="18"/>
                      <w:szCs w:val="18"/>
                    </w:rPr>
                    <w:t>0.5</w:t>
                  </w:r>
                </w:p>
              </w:tc>
              <w:tc>
                <w:tcPr>
                  <w:tcW w:w="817" w:type="dxa"/>
                  <w:vAlign w:val="center"/>
                </w:tcPr>
                <w:p w14:paraId="69655242">
                  <w:pPr>
                    <w:jc w:val="center"/>
                    <w:rPr>
                      <w:color w:val="auto"/>
                      <w:sz w:val="18"/>
                      <w:szCs w:val="18"/>
                    </w:rPr>
                  </w:pPr>
                  <w:r>
                    <w:rPr>
                      <w:rFonts w:hint="eastAsia"/>
                      <w:color w:val="auto"/>
                      <w:sz w:val="18"/>
                      <w:szCs w:val="18"/>
                    </w:rPr>
                    <w:t>0.1</w:t>
                  </w:r>
                </w:p>
              </w:tc>
              <w:tc>
                <w:tcPr>
                  <w:tcW w:w="1387" w:type="dxa"/>
                  <w:vAlign w:val="center"/>
                </w:tcPr>
                <w:p w14:paraId="57482403">
                  <w:pPr>
                    <w:adjustRightInd w:val="0"/>
                    <w:snapToGrid w:val="0"/>
                    <w:jc w:val="center"/>
                    <w:rPr>
                      <w:color w:val="auto"/>
                      <w:sz w:val="18"/>
                      <w:szCs w:val="18"/>
                    </w:rPr>
                  </w:pPr>
                  <w:r>
                    <w:rPr>
                      <w:rFonts w:hint="eastAsia"/>
                      <w:color w:val="auto"/>
                      <w:sz w:val="18"/>
                      <w:szCs w:val="18"/>
                    </w:rPr>
                    <w:t>100g/瓶，瓶装</w:t>
                  </w:r>
                </w:p>
              </w:tc>
              <w:tc>
                <w:tcPr>
                  <w:tcW w:w="465" w:type="dxa"/>
                  <w:vMerge w:val="continue"/>
                  <w:vAlign w:val="center"/>
                </w:tcPr>
                <w:p w14:paraId="41B8E702">
                  <w:pPr>
                    <w:pStyle w:val="4"/>
                    <w:spacing w:before="0" w:after="0" w:line="240" w:lineRule="auto"/>
                    <w:rPr>
                      <w:color w:val="auto"/>
                    </w:rPr>
                  </w:pPr>
                </w:p>
              </w:tc>
            </w:tr>
            <w:tr w14:paraId="673421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3" w:hRule="atLeast"/>
                <w:jc w:val="center"/>
              </w:trPr>
              <w:tc>
                <w:tcPr>
                  <w:tcW w:w="669" w:type="dxa"/>
                  <w:vMerge w:val="continue"/>
                  <w:tcBorders>
                    <w:bottom w:val="nil"/>
                  </w:tcBorders>
                  <w:vAlign w:val="center"/>
                </w:tcPr>
                <w:p w14:paraId="26838BD3">
                  <w:pPr>
                    <w:jc w:val="center"/>
                    <w:rPr>
                      <w:color w:val="auto"/>
                      <w:sz w:val="18"/>
                      <w:szCs w:val="18"/>
                    </w:rPr>
                  </w:pPr>
                </w:p>
              </w:tc>
              <w:tc>
                <w:tcPr>
                  <w:tcW w:w="809" w:type="dxa"/>
                  <w:vMerge w:val="continue"/>
                  <w:tcBorders>
                    <w:bottom w:val="nil"/>
                  </w:tcBorders>
                  <w:vAlign w:val="center"/>
                </w:tcPr>
                <w:p w14:paraId="59708132">
                  <w:pPr>
                    <w:jc w:val="center"/>
                    <w:rPr>
                      <w:color w:val="auto"/>
                      <w:sz w:val="18"/>
                      <w:szCs w:val="18"/>
                    </w:rPr>
                  </w:pPr>
                </w:p>
              </w:tc>
              <w:tc>
                <w:tcPr>
                  <w:tcW w:w="1506" w:type="dxa"/>
                  <w:vAlign w:val="center"/>
                </w:tcPr>
                <w:p w14:paraId="206BE0F9">
                  <w:pPr>
                    <w:jc w:val="center"/>
                    <w:rPr>
                      <w:color w:val="auto"/>
                      <w:sz w:val="18"/>
                      <w:szCs w:val="18"/>
                    </w:rPr>
                  </w:pPr>
                  <w:r>
                    <w:rPr>
                      <w:rFonts w:hint="eastAsia"/>
                      <w:color w:val="auto"/>
                      <w:sz w:val="18"/>
                      <w:szCs w:val="18"/>
                    </w:rPr>
                    <w:t>包材</w:t>
                  </w:r>
                </w:p>
              </w:tc>
              <w:tc>
                <w:tcPr>
                  <w:tcW w:w="2052" w:type="dxa"/>
                  <w:vAlign w:val="center"/>
                </w:tcPr>
                <w:p w14:paraId="089EECA8">
                  <w:pPr>
                    <w:jc w:val="center"/>
                    <w:rPr>
                      <w:color w:val="auto"/>
                      <w:sz w:val="18"/>
                      <w:szCs w:val="18"/>
                    </w:rPr>
                  </w:pPr>
                  <w:r>
                    <w:rPr>
                      <w:color w:val="auto"/>
                      <w:sz w:val="18"/>
                      <w:szCs w:val="18"/>
                    </w:rPr>
                    <w:t>/</w:t>
                  </w:r>
                </w:p>
              </w:tc>
              <w:tc>
                <w:tcPr>
                  <w:tcW w:w="762" w:type="dxa"/>
                  <w:vAlign w:val="center"/>
                </w:tcPr>
                <w:p w14:paraId="1513D201">
                  <w:pPr>
                    <w:jc w:val="center"/>
                    <w:rPr>
                      <w:color w:val="auto"/>
                      <w:sz w:val="18"/>
                      <w:szCs w:val="18"/>
                    </w:rPr>
                  </w:pPr>
                  <w:r>
                    <w:rPr>
                      <w:rFonts w:hint="eastAsia"/>
                      <w:color w:val="auto"/>
                      <w:sz w:val="18"/>
                      <w:szCs w:val="18"/>
                    </w:rPr>
                    <w:t>100</w:t>
                  </w:r>
                </w:p>
              </w:tc>
              <w:tc>
                <w:tcPr>
                  <w:tcW w:w="817" w:type="dxa"/>
                  <w:vAlign w:val="center"/>
                </w:tcPr>
                <w:p w14:paraId="632796ED">
                  <w:pPr>
                    <w:jc w:val="center"/>
                    <w:rPr>
                      <w:color w:val="auto"/>
                      <w:sz w:val="18"/>
                      <w:szCs w:val="18"/>
                    </w:rPr>
                  </w:pPr>
                  <w:r>
                    <w:rPr>
                      <w:rFonts w:hint="eastAsia"/>
                      <w:color w:val="auto"/>
                      <w:sz w:val="18"/>
                      <w:szCs w:val="18"/>
                    </w:rPr>
                    <w:t>10</w:t>
                  </w:r>
                </w:p>
              </w:tc>
              <w:tc>
                <w:tcPr>
                  <w:tcW w:w="1387" w:type="dxa"/>
                  <w:vAlign w:val="center"/>
                </w:tcPr>
                <w:p w14:paraId="16EB852E">
                  <w:pPr>
                    <w:adjustRightInd w:val="0"/>
                    <w:snapToGrid w:val="0"/>
                    <w:jc w:val="center"/>
                    <w:rPr>
                      <w:color w:val="auto"/>
                      <w:sz w:val="18"/>
                      <w:szCs w:val="18"/>
                    </w:rPr>
                  </w:pPr>
                  <w:r>
                    <w:rPr>
                      <w:rFonts w:hint="eastAsia"/>
                      <w:color w:val="auto"/>
                      <w:sz w:val="18"/>
                      <w:szCs w:val="18"/>
                    </w:rPr>
                    <w:t>箱装</w:t>
                  </w:r>
                </w:p>
              </w:tc>
              <w:tc>
                <w:tcPr>
                  <w:tcW w:w="465" w:type="dxa"/>
                  <w:vMerge w:val="continue"/>
                  <w:vAlign w:val="center"/>
                </w:tcPr>
                <w:p w14:paraId="533776CA">
                  <w:pPr>
                    <w:pStyle w:val="4"/>
                    <w:spacing w:before="0" w:after="0" w:line="240" w:lineRule="auto"/>
                    <w:rPr>
                      <w:color w:val="auto"/>
                    </w:rPr>
                  </w:pPr>
                </w:p>
              </w:tc>
            </w:tr>
            <w:tr w14:paraId="37E671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3" w:hRule="atLeast"/>
                <w:jc w:val="center"/>
              </w:trPr>
              <w:tc>
                <w:tcPr>
                  <w:tcW w:w="669" w:type="dxa"/>
                  <w:vMerge w:val="restart"/>
                  <w:tcBorders>
                    <w:top w:val="nil"/>
                  </w:tcBorders>
                  <w:vAlign w:val="center"/>
                </w:tcPr>
                <w:p w14:paraId="3653B61D">
                  <w:pPr>
                    <w:jc w:val="center"/>
                    <w:rPr>
                      <w:color w:val="auto"/>
                      <w:sz w:val="18"/>
                      <w:szCs w:val="18"/>
                    </w:rPr>
                  </w:pPr>
                </w:p>
              </w:tc>
              <w:tc>
                <w:tcPr>
                  <w:tcW w:w="809" w:type="dxa"/>
                  <w:vMerge w:val="restart"/>
                  <w:tcBorders>
                    <w:top w:val="nil"/>
                    <w:bottom w:val="nil"/>
                  </w:tcBorders>
                  <w:vAlign w:val="center"/>
                </w:tcPr>
                <w:p w14:paraId="447E5578">
                  <w:pPr>
                    <w:jc w:val="center"/>
                    <w:rPr>
                      <w:color w:val="auto"/>
                      <w:sz w:val="18"/>
                      <w:szCs w:val="18"/>
                    </w:rPr>
                  </w:pPr>
                </w:p>
              </w:tc>
              <w:tc>
                <w:tcPr>
                  <w:tcW w:w="1506" w:type="dxa"/>
                  <w:vAlign w:val="center"/>
                </w:tcPr>
                <w:p w14:paraId="3DA1BBC1">
                  <w:pPr>
                    <w:jc w:val="center"/>
                    <w:rPr>
                      <w:color w:val="auto"/>
                      <w:sz w:val="18"/>
                      <w:szCs w:val="18"/>
                    </w:rPr>
                  </w:pPr>
                  <w:r>
                    <w:rPr>
                      <w:rFonts w:hint="eastAsia"/>
                      <w:color w:val="auto"/>
                      <w:sz w:val="18"/>
                      <w:szCs w:val="18"/>
                    </w:rPr>
                    <w:t>外购纯水</w:t>
                  </w:r>
                </w:p>
              </w:tc>
              <w:tc>
                <w:tcPr>
                  <w:tcW w:w="2052" w:type="dxa"/>
                  <w:vAlign w:val="center"/>
                </w:tcPr>
                <w:p w14:paraId="00ACA8D1">
                  <w:pPr>
                    <w:jc w:val="center"/>
                    <w:rPr>
                      <w:color w:val="auto"/>
                      <w:sz w:val="18"/>
                      <w:szCs w:val="18"/>
                    </w:rPr>
                  </w:pPr>
                  <w:r>
                    <w:rPr>
                      <w:rFonts w:hint="eastAsia"/>
                      <w:color w:val="auto"/>
                      <w:sz w:val="18"/>
                      <w:szCs w:val="18"/>
                    </w:rPr>
                    <w:t>/</w:t>
                  </w:r>
                </w:p>
              </w:tc>
              <w:tc>
                <w:tcPr>
                  <w:tcW w:w="762" w:type="dxa"/>
                  <w:vAlign w:val="center"/>
                </w:tcPr>
                <w:p w14:paraId="7AD51B43">
                  <w:pPr>
                    <w:jc w:val="center"/>
                    <w:rPr>
                      <w:rFonts w:hint="default" w:eastAsia="宋体"/>
                      <w:color w:val="auto"/>
                      <w:sz w:val="18"/>
                      <w:szCs w:val="18"/>
                      <w:lang w:val="en-US" w:eastAsia="zh-CN"/>
                    </w:rPr>
                  </w:pPr>
                  <w:r>
                    <w:rPr>
                      <w:rFonts w:hint="eastAsia"/>
                      <w:color w:val="auto"/>
                      <w:sz w:val="18"/>
                      <w:szCs w:val="18"/>
                      <w:lang w:val="en-US" w:eastAsia="zh-CN"/>
                    </w:rPr>
                    <w:t>9500</w:t>
                  </w:r>
                </w:p>
              </w:tc>
              <w:tc>
                <w:tcPr>
                  <w:tcW w:w="817" w:type="dxa"/>
                  <w:vAlign w:val="center"/>
                </w:tcPr>
                <w:p w14:paraId="5C83C22A">
                  <w:pPr>
                    <w:jc w:val="center"/>
                    <w:rPr>
                      <w:color w:val="auto"/>
                      <w:sz w:val="18"/>
                      <w:szCs w:val="18"/>
                    </w:rPr>
                  </w:pPr>
                  <w:r>
                    <w:rPr>
                      <w:rFonts w:hint="eastAsia"/>
                      <w:color w:val="auto"/>
                      <w:sz w:val="18"/>
                      <w:szCs w:val="18"/>
                    </w:rPr>
                    <w:t>150L</w:t>
                  </w:r>
                </w:p>
              </w:tc>
              <w:tc>
                <w:tcPr>
                  <w:tcW w:w="1387" w:type="dxa"/>
                  <w:vAlign w:val="center"/>
                </w:tcPr>
                <w:p w14:paraId="30D7F43D">
                  <w:pPr>
                    <w:jc w:val="center"/>
                    <w:rPr>
                      <w:color w:val="auto"/>
                      <w:sz w:val="18"/>
                      <w:szCs w:val="18"/>
                    </w:rPr>
                  </w:pPr>
                  <w:r>
                    <w:rPr>
                      <w:color w:val="auto"/>
                      <w:sz w:val="18"/>
                      <w:szCs w:val="18"/>
                    </w:rPr>
                    <w:t>15L/4.5L桶</w:t>
                  </w:r>
                  <w:r>
                    <w:rPr>
                      <w:rFonts w:hint="eastAsia"/>
                      <w:color w:val="auto"/>
                      <w:sz w:val="18"/>
                      <w:szCs w:val="18"/>
                    </w:rPr>
                    <w:t>，</w:t>
                  </w:r>
                </w:p>
                <w:p w14:paraId="45BCAF22">
                  <w:pPr>
                    <w:jc w:val="center"/>
                    <w:rPr>
                      <w:color w:val="auto"/>
                      <w:sz w:val="18"/>
                      <w:szCs w:val="18"/>
                    </w:rPr>
                  </w:pPr>
                  <w:r>
                    <w:rPr>
                      <w:rFonts w:hint="eastAsia"/>
                      <w:color w:val="auto"/>
                      <w:sz w:val="18"/>
                      <w:szCs w:val="18"/>
                    </w:rPr>
                    <w:t>桶装</w:t>
                  </w:r>
                </w:p>
              </w:tc>
              <w:tc>
                <w:tcPr>
                  <w:tcW w:w="465" w:type="dxa"/>
                  <w:tcBorders>
                    <w:top w:val="nil"/>
                  </w:tcBorders>
                  <w:vAlign w:val="center"/>
                </w:tcPr>
                <w:p w14:paraId="0AE63966">
                  <w:pPr>
                    <w:jc w:val="center"/>
                    <w:rPr>
                      <w:color w:val="auto"/>
                      <w:sz w:val="18"/>
                      <w:szCs w:val="18"/>
                    </w:rPr>
                  </w:pPr>
                  <w:r>
                    <w:rPr>
                      <w:rFonts w:hint="eastAsia"/>
                      <w:color w:val="auto"/>
                      <w:sz w:val="18"/>
                      <w:szCs w:val="18"/>
                    </w:rPr>
                    <w:t>实验</w:t>
                  </w:r>
                </w:p>
                <w:p w14:paraId="72977813">
                  <w:pPr>
                    <w:jc w:val="center"/>
                    <w:rPr>
                      <w:color w:val="auto"/>
                      <w:sz w:val="18"/>
                      <w:szCs w:val="18"/>
                    </w:rPr>
                  </w:pPr>
                  <w:r>
                    <w:rPr>
                      <w:rFonts w:hint="eastAsia"/>
                      <w:color w:val="auto"/>
                      <w:sz w:val="18"/>
                      <w:szCs w:val="18"/>
                    </w:rPr>
                    <w:t>区域</w:t>
                  </w:r>
                </w:p>
              </w:tc>
            </w:tr>
            <w:tr w14:paraId="49CAD7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669" w:type="dxa"/>
                  <w:vMerge w:val="continue"/>
                  <w:vAlign w:val="center"/>
                </w:tcPr>
                <w:p w14:paraId="0EAE8648">
                  <w:pPr>
                    <w:jc w:val="center"/>
                    <w:rPr>
                      <w:color w:val="auto"/>
                      <w:sz w:val="18"/>
                      <w:szCs w:val="18"/>
                    </w:rPr>
                  </w:pPr>
                </w:p>
              </w:tc>
              <w:tc>
                <w:tcPr>
                  <w:tcW w:w="809" w:type="dxa"/>
                  <w:vMerge w:val="continue"/>
                  <w:tcBorders>
                    <w:top w:val="nil"/>
                    <w:bottom w:val="nil"/>
                  </w:tcBorders>
                  <w:vAlign w:val="center"/>
                </w:tcPr>
                <w:p w14:paraId="58622676">
                  <w:pPr>
                    <w:jc w:val="center"/>
                    <w:rPr>
                      <w:color w:val="auto"/>
                      <w:sz w:val="18"/>
                      <w:szCs w:val="18"/>
                    </w:rPr>
                  </w:pPr>
                </w:p>
              </w:tc>
              <w:tc>
                <w:tcPr>
                  <w:tcW w:w="1506" w:type="dxa"/>
                  <w:vAlign w:val="center"/>
                </w:tcPr>
                <w:p w14:paraId="486A6072">
                  <w:pPr>
                    <w:jc w:val="center"/>
                    <w:rPr>
                      <w:color w:val="auto"/>
                      <w:sz w:val="18"/>
                      <w:szCs w:val="18"/>
                    </w:rPr>
                  </w:pPr>
                  <w:r>
                    <w:rPr>
                      <w:rFonts w:hint="eastAsia"/>
                      <w:color w:val="auto"/>
                      <w:sz w:val="18"/>
                      <w:szCs w:val="18"/>
                    </w:rPr>
                    <w:t>液氮</w:t>
                  </w:r>
                </w:p>
              </w:tc>
              <w:tc>
                <w:tcPr>
                  <w:tcW w:w="2052" w:type="dxa"/>
                  <w:vAlign w:val="center"/>
                </w:tcPr>
                <w:p w14:paraId="3402DE9D">
                  <w:pPr>
                    <w:jc w:val="center"/>
                    <w:rPr>
                      <w:color w:val="auto"/>
                      <w:sz w:val="18"/>
                      <w:szCs w:val="18"/>
                    </w:rPr>
                  </w:pPr>
                  <w:r>
                    <w:rPr>
                      <w:rFonts w:eastAsia="Helvetica"/>
                      <w:color w:val="auto"/>
                      <w:sz w:val="18"/>
                      <w:szCs w:val="18"/>
                      <w:shd w:val="clear" w:color="auto" w:fill="FFFFFF"/>
                    </w:rPr>
                    <w:t>N₂</w:t>
                  </w:r>
                </w:p>
              </w:tc>
              <w:tc>
                <w:tcPr>
                  <w:tcW w:w="762" w:type="dxa"/>
                  <w:vAlign w:val="center"/>
                </w:tcPr>
                <w:p w14:paraId="6D2307C5">
                  <w:pPr>
                    <w:jc w:val="center"/>
                    <w:rPr>
                      <w:color w:val="auto"/>
                      <w:sz w:val="18"/>
                      <w:szCs w:val="18"/>
                    </w:rPr>
                  </w:pPr>
                  <w:r>
                    <w:rPr>
                      <w:rFonts w:hint="eastAsia"/>
                      <w:color w:val="auto"/>
                      <w:sz w:val="18"/>
                      <w:szCs w:val="18"/>
                    </w:rPr>
                    <w:t>3600L</w:t>
                  </w:r>
                </w:p>
              </w:tc>
              <w:tc>
                <w:tcPr>
                  <w:tcW w:w="817" w:type="dxa"/>
                  <w:vAlign w:val="center"/>
                </w:tcPr>
                <w:p w14:paraId="73EE0F7E">
                  <w:pPr>
                    <w:jc w:val="center"/>
                    <w:rPr>
                      <w:color w:val="auto"/>
                      <w:sz w:val="18"/>
                      <w:szCs w:val="18"/>
                    </w:rPr>
                  </w:pPr>
                  <w:r>
                    <w:rPr>
                      <w:rFonts w:hint="eastAsia"/>
                      <w:color w:val="auto"/>
                      <w:sz w:val="18"/>
                      <w:szCs w:val="18"/>
                    </w:rPr>
                    <w:t>360L</w:t>
                  </w:r>
                </w:p>
              </w:tc>
              <w:tc>
                <w:tcPr>
                  <w:tcW w:w="1387" w:type="dxa"/>
                  <w:vAlign w:val="center"/>
                </w:tcPr>
                <w:p w14:paraId="0ED54997">
                  <w:pPr>
                    <w:adjustRightInd w:val="0"/>
                    <w:snapToGrid w:val="0"/>
                    <w:jc w:val="center"/>
                    <w:rPr>
                      <w:color w:val="auto"/>
                      <w:sz w:val="18"/>
                      <w:szCs w:val="18"/>
                    </w:rPr>
                  </w:pPr>
                  <w:r>
                    <w:rPr>
                      <w:color w:val="auto"/>
                      <w:sz w:val="18"/>
                      <w:szCs w:val="18"/>
                    </w:rPr>
                    <w:t>180L/罐，</w:t>
                  </w:r>
                  <w:r>
                    <w:rPr>
                      <w:rFonts w:hint="eastAsia"/>
                      <w:color w:val="auto"/>
                      <w:sz w:val="18"/>
                      <w:szCs w:val="18"/>
                    </w:rPr>
                    <w:t>罐装</w:t>
                  </w:r>
                </w:p>
              </w:tc>
              <w:tc>
                <w:tcPr>
                  <w:tcW w:w="465" w:type="dxa"/>
                  <w:vMerge w:val="restart"/>
                  <w:vAlign w:val="center"/>
                </w:tcPr>
                <w:p w14:paraId="2774E03A">
                  <w:pPr>
                    <w:jc w:val="center"/>
                    <w:rPr>
                      <w:color w:val="auto"/>
                    </w:rPr>
                  </w:pPr>
                  <w:r>
                    <w:rPr>
                      <w:rFonts w:hint="eastAsia"/>
                      <w:color w:val="auto"/>
                      <w:sz w:val="18"/>
                      <w:szCs w:val="18"/>
                    </w:rPr>
                    <w:t>气瓶区</w:t>
                  </w:r>
                </w:p>
              </w:tc>
            </w:tr>
            <w:tr w14:paraId="59C81A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8" w:hRule="atLeast"/>
                <w:jc w:val="center"/>
              </w:trPr>
              <w:tc>
                <w:tcPr>
                  <w:tcW w:w="669" w:type="dxa"/>
                  <w:vMerge w:val="continue"/>
                  <w:vAlign w:val="center"/>
                </w:tcPr>
                <w:p w14:paraId="05BFFF8F">
                  <w:pPr>
                    <w:jc w:val="center"/>
                    <w:rPr>
                      <w:color w:val="auto"/>
                      <w:sz w:val="18"/>
                      <w:szCs w:val="18"/>
                    </w:rPr>
                  </w:pPr>
                </w:p>
              </w:tc>
              <w:tc>
                <w:tcPr>
                  <w:tcW w:w="809" w:type="dxa"/>
                  <w:vMerge w:val="continue"/>
                  <w:tcBorders>
                    <w:top w:val="nil"/>
                    <w:bottom w:val="single" w:color="auto" w:sz="12" w:space="0"/>
                  </w:tcBorders>
                  <w:vAlign w:val="center"/>
                </w:tcPr>
                <w:p w14:paraId="31BBB4EA">
                  <w:pPr>
                    <w:jc w:val="center"/>
                    <w:rPr>
                      <w:color w:val="auto"/>
                      <w:sz w:val="18"/>
                      <w:szCs w:val="18"/>
                    </w:rPr>
                  </w:pPr>
                </w:p>
              </w:tc>
              <w:tc>
                <w:tcPr>
                  <w:tcW w:w="1506" w:type="dxa"/>
                  <w:vAlign w:val="center"/>
                </w:tcPr>
                <w:p w14:paraId="0918560B">
                  <w:pPr>
                    <w:jc w:val="center"/>
                    <w:rPr>
                      <w:color w:val="auto"/>
                      <w:sz w:val="18"/>
                      <w:szCs w:val="18"/>
                    </w:rPr>
                  </w:pPr>
                  <w:r>
                    <w:rPr>
                      <w:rFonts w:hint="eastAsia"/>
                      <w:color w:val="auto"/>
                      <w:sz w:val="18"/>
                      <w:szCs w:val="18"/>
                    </w:rPr>
                    <w:t>高纯氮</w:t>
                  </w:r>
                </w:p>
              </w:tc>
              <w:tc>
                <w:tcPr>
                  <w:tcW w:w="2052" w:type="dxa"/>
                  <w:vAlign w:val="center"/>
                </w:tcPr>
                <w:p w14:paraId="05A9A018">
                  <w:pPr>
                    <w:jc w:val="center"/>
                    <w:rPr>
                      <w:color w:val="auto"/>
                      <w:sz w:val="18"/>
                      <w:szCs w:val="18"/>
                    </w:rPr>
                  </w:pPr>
                  <w:r>
                    <w:rPr>
                      <w:rFonts w:eastAsia="Helvetica"/>
                      <w:color w:val="auto"/>
                      <w:sz w:val="18"/>
                      <w:szCs w:val="18"/>
                      <w:shd w:val="clear" w:color="auto" w:fill="FFFFFF"/>
                    </w:rPr>
                    <w:t>N₂</w:t>
                  </w:r>
                </w:p>
              </w:tc>
              <w:tc>
                <w:tcPr>
                  <w:tcW w:w="762" w:type="dxa"/>
                  <w:vAlign w:val="center"/>
                </w:tcPr>
                <w:p w14:paraId="576F5FC1">
                  <w:pPr>
                    <w:jc w:val="center"/>
                    <w:rPr>
                      <w:color w:val="auto"/>
                      <w:sz w:val="18"/>
                      <w:szCs w:val="18"/>
                    </w:rPr>
                  </w:pPr>
                  <w:r>
                    <w:rPr>
                      <w:rFonts w:hint="eastAsia"/>
                      <w:color w:val="auto"/>
                      <w:sz w:val="18"/>
                      <w:szCs w:val="18"/>
                    </w:rPr>
                    <w:t>1200L</w:t>
                  </w:r>
                </w:p>
              </w:tc>
              <w:tc>
                <w:tcPr>
                  <w:tcW w:w="817" w:type="dxa"/>
                  <w:vAlign w:val="center"/>
                </w:tcPr>
                <w:p w14:paraId="66B9614D">
                  <w:pPr>
                    <w:jc w:val="center"/>
                    <w:rPr>
                      <w:color w:val="auto"/>
                      <w:sz w:val="18"/>
                      <w:szCs w:val="18"/>
                    </w:rPr>
                  </w:pPr>
                  <w:r>
                    <w:rPr>
                      <w:rFonts w:hint="eastAsia"/>
                      <w:color w:val="auto"/>
                      <w:sz w:val="18"/>
                      <w:szCs w:val="18"/>
                    </w:rPr>
                    <w:t>120L</w:t>
                  </w:r>
                </w:p>
              </w:tc>
              <w:tc>
                <w:tcPr>
                  <w:tcW w:w="1387" w:type="dxa"/>
                  <w:vAlign w:val="center"/>
                </w:tcPr>
                <w:p w14:paraId="70D6C047">
                  <w:pPr>
                    <w:adjustRightInd w:val="0"/>
                    <w:snapToGrid w:val="0"/>
                    <w:jc w:val="center"/>
                    <w:rPr>
                      <w:color w:val="auto"/>
                      <w:sz w:val="18"/>
                      <w:szCs w:val="18"/>
                    </w:rPr>
                  </w:pPr>
                  <w:r>
                    <w:rPr>
                      <w:color w:val="auto"/>
                      <w:sz w:val="18"/>
                      <w:szCs w:val="18"/>
                    </w:rPr>
                    <w:t>40L/罐，</w:t>
                  </w:r>
                  <w:r>
                    <w:rPr>
                      <w:rFonts w:hint="eastAsia"/>
                      <w:color w:val="auto"/>
                      <w:sz w:val="18"/>
                      <w:szCs w:val="18"/>
                    </w:rPr>
                    <w:t>罐装</w:t>
                  </w:r>
                </w:p>
              </w:tc>
              <w:tc>
                <w:tcPr>
                  <w:tcW w:w="465" w:type="dxa"/>
                  <w:vMerge w:val="continue"/>
                  <w:vAlign w:val="center"/>
                </w:tcPr>
                <w:p w14:paraId="799B66EA">
                  <w:pPr>
                    <w:pStyle w:val="4"/>
                    <w:spacing w:before="0" w:after="0" w:line="240" w:lineRule="auto"/>
                    <w:rPr>
                      <w:color w:val="auto"/>
                    </w:rPr>
                  </w:pPr>
                </w:p>
              </w:tc>
            </w:tr>
          </w:tbl>
          <w:p w14:paraId="6CAA34A3">
            <w:pPr>
              <w:adjustRightInd w:val="0"/>
              <w:snapToGrid w:val="0"/>
              <w:spacing w:before="120" w:line="360" w:lineRule="auto"/>
              <w:ind w:firstLine="444" w:firstLineChars="200"/>
              <w:rPr>
                <w:color w:val="auto"/>
                <w:spacing w:val="6"/>
                <w:szCs w:val="21"/>
                <w:shd w:val="clear" w:color="auto" w:fill="FFFFFF"/>
              </w:rPr>
            </w:pPr>
            <w:r>
              <w:rPr>
                <w:color w:val="auto"/>
                <w:spacing w:val="6"/>
                <w:szCs w:val="21"/>
                <w:shd w:val="clear" w:color="auto" w:fill="FFFFFF"/>
              </w:rPr>
              <w:t>（2）理化性质</w:t>
            </w:r>
          </w:p>
          <w:p w14:paraId="58B25324">
            <w:pPr>
              <w:adjustRightInd w:val="0"/>
              <w:snapToGrid w:val="0"/>
              <w:jc w:val="center"/>
              <w:rPr>
                <w:b/>
                <w:bCs/>
                <w:color w:val="auto"/>
                <w:spacing w:val="6"/>
                <w:szCs w:val="21"/>
                <w:shd w:val="clear" w:color="auto" w:fill="FFFFFF"/>
              </w:rPr>
            </w:pPr>
            <w:r>
              <w:rPr>
                <w:b/>
                <w:bCs/>
                <w:color w:val="auto"/>
                <w:spacing w:val="6"/>
                <w:szCs w:val="21"/>
                <w:shd w:val="clear" w:color="auto" w:fill="FFFFFF"/>
              </w:rPr>
              <w:t>表2-</w:t>
            </w:r>
            <w:r>
              <w:rPr>
                <w:rFonts w:hint="eastAsia"/>
                <w:b/>
                <w:bCs/>
                <w:color w:val="auto"/>
                <w:spacing w:val="6"/>
                <w:szCs w:val="21"/>
                <w:shd w:val="clear" w:color="auto" w:fill="FFFFFF"/>
              </w:rPr>
              <w:t>4</w:t>
            </w:r>
            <w:r>
              <w:rPr>
                <w:b/>
                <w:bCs/>
                <w:color w:val="auto"/>
                <w:spacing w:val="6"/>
                <w:szCs w:val="21"/>
                <w:shd w:val="clear" w:color="auto" w:fill="FFFFFF"/>
              </w:rPr>
              <w:t xml:space="preserve"> 原辅材料理化性质表</w:t>
            </w:r>
          </w:p>
          <w:tbl>
            <w:tblPr>
              <w:tblStyle w:val="23"/>
              <w:tblW w:w="486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168"/>
              <w:gridCol w:w="4149"/>
              <w:gridCol w:w="975"/>
              <w:gridCol w:w="1329"/>
            </w:tblGrid>
            <w:tr w14:paraId="67A4B5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5" w:hRule="atLeast"/>
                <w:tblHeader/>
                <w:jc w:val="center"/>
              </w:trPr>
              <w:tc>
                <w:tcPr>
                  <w:tcW w:w="391" w:type="pct"/>
                  <w:vAlign w:val="center"/>
                </w:tcPr>
                <w:p w14:paraId="4C2C64B8">
                  <w:pPr>
                    <w:autoSpaceDE w:val="0"/>
                    <w:autoSpaceDN w:val="0"/>
                    <w:adjustRightInd w:val="0"/>
                    <w:snapToGrid w:val="0"/>
                    <w:jc w:val="center"/>
                    <w:rPr>
                      <w:b/>
                      <w:color w:val="auto"/>
                      <w:kern w:val="0"/>
                      <w:sz w:val="18"/>
                      <w:szCs w:val="18"/>
                    </w:rPr>
                  </w:pPr>
                  <w:r>
                    <w:rPr>
                      <w:b/>
                      <w:color w:val="auto"/>
                      <w:kern w:val="0"/>
                      <w:sz w:val="18"/>
                      <w:szCs w:val="18"/>
                    </w:rPr>
                    <w:t>序号</w:t>
                  </w:r>
                </w:p>
              </w:tc>
              <w:tc>
                <w:tcPr>
                  <w:tcW w:w="706" w:type="pct"/>
                  <w:vAlign w:val="center"/>
                </w:tcPr>
                <w:p w14:paraId="5E20BC1C">
                  <w:pPr>
                    <w:autoSpaceDE w:val="0"/>
                    <w:autoSpaceDN w:val="0"/>
                    <w:adjustRightInd w:val="0"/>
                    <w:snapToGrid w:val="0"/>
                    <w:jc w:val="center"/>
                    <w:rPr>
                      <w:b/>
                      <w:color w:val="auto"/>
                      <w:kern w:val="0"/>
                      <w:sz w:val="18"/>
                      <w:szCs w:val="18"/>
                    </w:rPr>
                  </w:pPr>
                  <w:r>
                    <w:rPr>
                      <w:b/>
                      <w:color w:val="auto"/>
                      <w:kern w:val="0"/>
                      <w:sz w:val="18"/>
                      <w:szCs w:val="18"/>
                    </w:rPr>
                    <w:t>名称</w:t>
                  </w:r>
                </w:p>
              </w:tc>
              <w:tc>
                <w:tcPr>
                  <w:tcW w:w="2508" w:type="pct"/>
                  <w:vAlign w:val="center"/>
                </w:tcPr>
                <w:p w14:paraId="28DD7323">
                  <w:pPr>
                    <w:autoSpaceDE w:val="0"/>
                    <w:autoSpaceDN w:val="0"/>
                    <w:adjustRightInd w:val="0"/>
                    <w:snapToGrid w:val="0"/>
                    <w:jc w:val="center"/>
                    <w:rPr>
                      <w:b/>
                      <w:color w:val="auto"/>
                      <w:kern w:val="0"/>
                      <w:sz w:val="18"/>
                      <w:szCs w:val="18"/>
                    </w:rPr>
                  </w:pPr>
                  <w:r>
                    <w:rPr>
                      <w:b/>
                      <w:color w:val="auto"/>
                      <w:kern w:val="0"/>
                      <w:sz w:val="18"/>
                      <w:szCs w:val="18"/>
                    </w:rPr>
                    <w:t>理化性质</w:t>
                  </w:r>
                </w:p>
              </w:tc>
              <w:tc>
                <w:tcPr>
                  <w:tcW w:w="589" w:type="pct"/>
                  <w:vAlign w:val="center"/>
                </w:tcPr>
                <w:p w14:paraId="5296CDF2">
                  <w:pPr>
                    <w:autoSpaceDE w:val="0"/>
                    <w:autoSpaceDN w:val="0"/>
                    <w:adjustRightInd w:val="0"/>
                    <w:snapToGrid w:val="0"/>
                    <w:jc w:val="center"/>
                    <w:rPr>
                      <w:b/>
                      <w:color w:val="auto"/>
                      <w:kern w:val="0"/>
                      <w:sz w:val="18"/>
                      <w:szCs w:val="18"/>
                    </w:rPr>
                  </w:pPr>
                  <w:r>
                    <w:rPr>
                      <w:b/>
                      <w:color w:val="auto"/>
                      <w:kern w:val="0"/>
                      <w:sz w:val="18"/>
                      <w:szCs w:val="18"/>
                    </w:rPr>
                    <w:t>危险特性</w:t>
                  </w:r>
                </w:p>
              </w:tc>
              <w:tc>
                <w:tcPr>
                  <w:tcW w:w="803" w:type="pct"/>
                  <w:vAlign w:val="center"/>
                </w:tcPr>
                <w:p w14:paraId="7E679AA5">
                  <w:pPr>
                    <w:autoSpaceDE w:val="0"/>
                    <w:autoSpaceDN w:val="0"/>
                    <w:adjustRightInd w:val="0"/>
                    <w:snapToGrid w:val="0"/>
                    <w:jc w:val="center"/>
                    <w:rPr>
                      <w:b/>
                      <w:color w:val="auto"/>
                      <w:kern w:val="0"/>
                      <w:sz w:val="18"/>
                      <w:szCs w:val="18"/>
                    </w:rPr>
                  </w:pPr>
                  <w:r>
                    <w:rPr>
                      <w:b/>
                      <w:color w:val="auto"/>
                      <w:kern w:val="0"/>
                      <w:sz w:val="18"/>
                      <w:szCs w:val="18"/>
                    </w:rPr>
                    <w:t>毒性</w:t>
                  </w:r>
                </w:p>
              </w:tc>
            </w:tr>
            <w:tr w14:paraId="4970C0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391" w:type="pct"/>
                  <w:vAlign w:val="center"/>
                </w:tcPr>
                <w:p w14:paraId="34C2E9E0">
                  <w:pPr>
                    <w:adjustRightInd w:val="0"/>
                    <w:snapToGrid w:val="0"/>
                    <w:jc w:val="center"/>
                    <w:rPr>
                      <w:color w:val="auto"/>
                      <w:kern w:val="0"/>
                      <w:sz w:val="18"/>
                      <w:szCs w:val="18"/>
                    </w:rPr>
                  </w:pPr>
                  <w:r>
                    <w:rPr>
                      <w:color w:val="auto"/>
                      <w:kern w:val="0"/>
                      <w:sz w:val="18"/>
                      <w:szCs w:val="18"/>
                    </w:rPr>
                    <w:t>1</w:t>
                  </w:r>
                </w:p>
              </w:tc>
              <w:tc>
                <w:tcPr>
                  <w:tcW w:w="706" w:type="pct"/>
                  <w:vAlign w:val="center"/>
                </w:tcPr>
                <w:p w14:paraId="3492FFA8">
                  <w:pPr>
                    <w:jc w:val="center"/>
                    <w:rPr>
                      <w:color w:val="auto"/>
                      <w:sz w:val="18"/>
                      <w:szCs w:val="18"/>
                    </w:rPr>
                  </w:pPr>
                  <w:r>
                    <w:rPr>
                      <w:color w:val="auto"/>
                      <w:sz w:val="18"/>
                      <w:szCs w:val="18"/>
                    </w:rPr>
                    <w:t>乙二胺四乙酸二钠</w:t>
                  </w:r>
                </w:p>
              </w:tc>
              <w:tc>
                <w:tcPr>
                  <w:tcW w:w="2508" w:type="pct"/>
                  <w:vAlign w:val="center"/>
                </w:tcPr>
                <w:p w14:paraId="06669C3D">
                  <w:pPr>
                    <w:jc w:val="left"/>
                    <w:rPr>
                      <w:color w:val="auto"/>
                      <w:kern w:val="0"/>
                      <w:sz w:val="18"/>
                      <w:szCs w:val="18"/>
                    </w:rPr>
                  </w:pPr>
                  <w:r>
                    <w:rPr>
                      <w:color w:val="auto"/>
                      <w:kern w:val="0"/>
                      <w:sz w:val="18"/>
                      <w:szCs w:val="18"/>
                      <w:lang w:bidi="ar"/>
                    </w:rPr>
                    <w:t>白色晶体状粉末。密度（g/mL,25ºC）：1.01。熔点（ºC）：248。</w:t>
                  </w:r>
                </w:p>
              </w:tc>
              <w:tc>
                <w:tcPr>
                  <w:tcW w:w="589" w:type="pct"/>
                  <w:vAlign w:val="center"/>
                </w:tcPr>
                <w:p w14:paraId="29847939">
                  <w:pPr>
                    <w:jc w:val="center"/>
                    <w:rPr>
                      <w:color w:val="auto"/>
                      <w:kern w:val="0"/>
                      <w:sz w:val="18"/>
                      <w:szCs w:val="18"/>
                    </w:rPr>
                  </w:pPr>
                  <w:r>
                    <w:rPr>
                      <w:color w:val="auto"/>
                      <w:sz w:val="18"/>
                      <w:szCs w:val="18"/>
                    </w:rPr>
                    <w:t>/</w:t>
                  </w:r>
                </w:p>
              </w:tc>
              <w:tc>
                <w:tcPr>
                  <w:tcW w:w="803" w:type="pct"/>
                  <w:vAlign w:val="center"/>
                </w:tcPr>
                <w:p w14:paraId="5A2B47DD">
                  <w:pPr>
                    <w:jc w:val="center"/>
                    <w:rPr>
                      <w:color w:val="auto"/>
                      <w:kern w:val="0"/>
                      <w:sz w:val="18"/>
                      <w:szCs w:val="18"/>
                    </w:rPr>
                  </w:pPr>
                  <w:r>
                    <w:rPr>
                      <w:color w:val="auto"/>
                      <w:kern w:val="0"/>
                      <w:sz w:val="18"/>
                      <w:szCs w:val="18"/>
                      <w:lang w:bidi="ar"/>
                    </w:rPr>
                    <w:t>家鼠口服LD</w:t>
                  </w:r>
                  <w:r>
                    <w:rPr>
                      <w:color w:val="auto"/>
                      <w:kern w:val="0"/>
                      <w:sz w:val="18"/>
                      <w:szCs w:val="18"/>
                      <w:vertAlign w:val="subscript"/>
                      <w:lang w:bidi="ar"/>
                    </w:rPr>
                    <w:t>50</w:t>
                  </w:r>
                  <w:r>
                    <w:rPr>
                      <w:color w:val="auto"/>
                      <w:kern w:val="0"/>
                      <w:sz w:val="18"/>
                      <w:szCs w:val="18"/>
                      <w:lang w:bidi="ar"/>
                    </w:rPr>
                    <w:t xml:space="preserve"> 2g/kg</w:t>
                  </w:r>
                </w:p>
              </w:tc>
            </w:tr>
            <w:tr w14:paraId="1FAD50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391" w:type="pct"/>
                  <w:vAlign w:val="center"/>
                </w:tcPr>
                <w:p w14:paraId="0584999A">
                  <w:pPr>
                    <w:adjustRightInd w:val="0"/>
                    <w:snapToGrid w:val="0"/>
                    <w:jc w:val="center"/>
                    <w:rPr>
                      <w:color w:val="auto"/>
                      <w:kern w:val="0"/>
                      <w:sz w:val="18"/>
                      <w:szCs w:val="18"/>
                    </w:rPr>
                  </w:pPr>
                  <w:r>
                    <w:rPr>
                      <w:color w:val="auto"/>
                      <w:kern w:val="0"/>
                      <w:sz w:val="18"/>
                      <w:szCs w:val="18"/>
                    </w:rPr>
                    <w:t>2</w:t>
                  </w:r>
                </w:p>
              </w:tc>
              <w:tc>
                <w:tcPr>
                  <w:tcW w:w="706" w:type="pct"/>
                  <w:vAlign w:val="center"/>
                </w:tcPr>
                <w:p w14:paraId="4B056B7B">
                  <w:pPr>
                    <w:jc w:val="center"/>
                    <w:rPr>
                      <w:color w:val="auto"/>
                      <w:sz w:val="18"/>
                      <w:szCs w:val="18"/>
                    </w:rPr>
                  </w:pPr>
                  <w:r>
                    <w:rPr>
                      <w:color w:val="auto"/>
                      <w:sz w:val="18"/>
                      <w:szCs w:val="18"/>
                    </w:rPr>
                    <w:t>氨水</w:t>
                  </w:r>
                </w:p>
              </w:tc>
              <w:tc>
                <w:tcPr>
                  <w:tcW w:w="2508" w:type="pct"/>
                  <w:vAlign w:val="center"/>
                </w:tcPr>
                <w:p w14:paraId="29F932EA">
                  <w:pPr>
                    <w:jc w:val="left"/>
                    <w:rPr>
                      <w:color w:val="auto"/>
                      <w:sz w:val="18"/>
                      <w:szCs w:val="18"/>
                    </w:rPr>
                  </w:pPr>
                  <w:r>
                    <w:rPr>
                      <w:color w:val="auto"/>
                      <w:sz w:val="18"/>
                      <w:szCs w:val="18"/>
                    </w:rPr>
                    <w:t>氨的水溶液，无色透明且具有刺激性气味。氨水易挥发，具有部分碱的通性，由氨气通入水中制得。密度：0.91g/cm</w:t>
                  </w:r>
                  <w:r>
                    <w:rPr>
                      <w:color w:val="auto"/>
                      <w:sz w:val="18"/>
                      <w:szCs w:val="18"/>
                      <w:vertAlign w:val="superscript"/>
                    </w:rPr>
                    <w:t>3</w:t>
                  </w:r>
                  <w:r>
                    <w:rPr>
                      <w:color w:val="auto"/>
                      <w:sz w:val="18"/>
                      <w:szCs w:val="18"/>
                    </w:rPr>
                    <w:t>，氨水有一定的腐蚀作用。</w:t>
                  </w:r>
                </w:p>
              </w:tc>
              <w:tc>
                <w:tcPr>
                  <w:tcW w:w="589" w:type="pct"/>
                  <w:vAlign w:val="center"/>
                </w:tcPr>
                <w:p w14:paraId="5822FDB1">
                  <w:pPr>
                    <w:jc w:val="center"/>
                    <w:rPr>
                      <w:color w:val="auto"/>
                      <w:kern w:val="0"/>
                      <w:sz w:val="18"/>
                      <w:szCs w:val="18"/>
                    </w:rPr>
                  </w:pPr>
                  <w:r>
                    <w:rPr>
                      <w:color w:val="auto"/>
                      <w:sz w:val="18"/>
                      <w:szCs w:val="18"/>
                    </w:rPr>
                    <w:t>/</w:t>
                  </w:r>
                </w:p>
              </w:tc>
              <w:tc>
                <w:tcPr>
                  <w:tcW w:w="803" w:type="pct"/>
                  <w:vAlign w:val="center"/>
                </w:tcPr>
                <w:p w14:paraId="516B6277">
                  <w:pPr>
                    <w:jc w:val="center"/>
                    <w:rPr>
                      <w:color w:val="auto"/>
                      <w:kern w:val="0"/>
                      <w:sz w:val="18"/>
                      <w:szCs w:val="18"/>
                    </w:rPr>
                  </w:pPr>
                  <w:r>
                    <w:rPr>
                      <w:color w:val="auto"/>
                      <w:sz w:val="18"/>
                      <w:szCs w:val="18"/>
                    </w:rPr>
                    <w:t>/</w:t>
                  </w:r>
                </w:p>
              </w:tc>
            </w:tr>
            <w:tr w14:paraId="140199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391" w:type="pct"/>
                  <w:vAlign w:val="center"/>
                </w:tcPr>
                <w:p w14:paraId="56E45D2F">
                  <w:pPr>
                    <w:adjustRightInd w:val="0"/>
                    <w:snapToGrid w:val="0"/>
                    <w:jc w:val="center"/>
                    <w:rPr>
                      <w:color w:val="auto"/>
                      <w:kern w:val="0"/>
                      <w:sz w:val="18"/>
                      <w:szCs w:val="18"/>
                    </w:rPr>
                  </w:pPr>
                  <w:r>
                    <w:rPr>
                      <w:color w:val="auto"/>
                      <w:kern w:val="0"/>
                      <w:sz w:val="18"/>
                      <w:szCs w:val="18"/>
                    </w:rPr>
                    <w:t>3</w:t>
                  </w:r>
                </w:p>
              </w:tc>
              <w:tc>
                <w:tcPr>
                  <w:tcW w:w="706" w:type="pct"/>
                  <w:shd w:val="clear" w:color="auto" w:fill="auto"/>
                  <w:vAlign w:val="center"/>
                </w:tcPr>
                <w:p w14:paraId="11D7ADD7">
                  <w:pPr>
                    <w:jc w:val="center"/>
                    <w:rPr>
                      <w:rFonts w:ascii="Times New Roman" w:hAnsi="Times New Roman" w:eastAsia="宋体" w:cs="Times New Roman"/>
                      <w:color w:val="auto"/>
                      <w:kern w:val="2"/>
                      <w:sz w:val="18"/>
                      <w:szCs w:val="18"/>
                      <w:lang w:val="en-US" w:eastAsia="zh-CN" w:bidi="ar-SA"/>
                    </w:rPr>
                  </w:pPr>
                  <w:r>
                    <w:rPr>
                      <w:color w:val="auto"/>
                      <w:sz w:val="18"/>
                      <w:szCs w:val="18"/>
                    </w:rPr>
                    <w:t>草酸</w:t>
                  </w:r>
                </w:p>
              </w:tc>
              <w:tc>
                <w:tcPr>
                  <w:tcW w:w="2508" w:type="pct"/>
                  <w:shd w:val="clear" w:color="auto" w:fill="auto"/>
                  <w:vAlign w:val="center"/>
                </w:tcPr>
                <w:p w14:paraId="1A34DBD0">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无色单斜片状或棱柱体结晶或白色粉末，氧化法草酸无气味，合成法草酸有味。150～160℃升华（升华时有刺激性酸味气味，蒸气冷却时凝华为白色针状结晶或粉末）。在高热干燥空气中能风化。熔点：189.5℃；沸点：沸点150℃（升华）密度：1.895-1.900。易溶于乙醇，可溶于水，微溶于乙醚，不溶于苯和氯仿。</w:t>
                  </w:r>
                </w:p>
              </w:tc>
              <w:tc>
                <w:tcPr>
                  <w:tcW w:w="589" w:type="pct"/>
                  <w:shd w:val="clear" w:color="auto" w:fill="auto"/>
                  <w:vAlign w:val="center"/>
                </w:tcPr>
                <w:p w14:paraId="78E171B5">
                  <w:pPr>
                    <w:jc w:val="center"/>
                    <w:rPr>
                      <w:rFonts w:ascii="Times New Roman" w:hAnsi="Times New Roman" w:eastAsia="宋体" w:cs="Times New Roman"/>
                      <w:color w:val="auto"/>
                      <w:kern w:val="0"/>
                      <w:sz w:val="18"/>
                      <w:szCs w:val="18"/>
                      <w:lang w:val="en-US" w:eastAsia="zh-CN" w:bidi="ar-SA"/>
                    </w:rPr>
                  </w:pPr>
                  <w:r>
                    <w:rPr>
                      <w:color w:val="auto"/>
                      <w:sz w:val="18"/>
                      <w:szCs w:val="18"/>
                    </w:rPr>
                    <w:t>/</w:t>
                  </w:r>
                </w:p>
              </w:tc>
              <w:tc>
                <w:tcPr>
                  <w:tcW w:w="803" w:type="pct"/>
                  <w:shd w:val="clear" w:color="auto" w:fill="auto"/>
                  <w:vAlign w:val="center"/>
                </w:tcPr>
                <w:p w14:paraId="7BD420F7">
                  <w:pPr>
                    <w:jc w:val="center"/>
                    <w:rPr>
                      <w:rFonts w:ascii="Times New Roman" w:hAnsi="Times New Roman" w:eastAsia="宋体" w:cs="Times New Roman"/>
                      <w:color w:val="auto"/>
                      <w:kern w:val="0"/>
                      <w:sz w:val="18"/>
                      <w:szCs w:val="18"/>
                      <w:lang w:val="en-US" w:eastAsia="zh-CN" w:bidi="ar-SA"/>
                    </w:rPr>
                  </w:pPr>
                  <w:r>
                    <w:rPr>
                      <w:color w:val="auto"/>
                      <w:sz w:val="18"/>
                      <w:szCs w:val="18"/>
                      <w:shd w:val="clear" w:color="auto" w:fill="FFFFFF"/>
                    </w:rPr>
                    <w:t>大鼠经口LD50：7500 mg/kg；小鼠腹腔LD50：270 mg/kg</w:t>
                  </w:r>
                </w:p>
              </w:tc>
            </w:tr>
            <w:tr w14:paraId="7BAFB1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1C686BAE">
                  <w:pPr>
                    <w:adjustRightInd w:val="0"/>
                    <w:snapToGrid w:val="0"/>
                    <w:jc w:val="center"/>
                    <w:rPr>
                      <w:color w:val="auto"/>
                      <w:sz w:val="18"/>
                      <w:szCs w:val="18"/>
                    </w:rPr>
                  </w:pPr>
                  <w:r>
                    <w:rPr>
                      <w:color w:val="auto"/>
                      <w:sz w:val="18"/>
                      <w:szCs w:val="18"/>
                    </w:rPr>
                    <w:t>4</w:t>
                  </w:r>
                </w:p>
              </w:tc>
              <w:tc>
                <w:tcPr>
                  <w:tcW w:w="706" w:type="pct"/>
                  <w:shd w:val="clear" w:color="auto" w:fill="auto"/>
                  <w:vAlign w:val="center"/>
                </w:tcPr>
                <w:p w14:paraId="6CF7ADB4">
                  <w:pPr>
                    <w:jc w:val="center"/>
                    <w:rPr>
                      <w:rFonts w:ascii="Times New Roman" w:hAnsi="Times New Roman" w:eastAsia="宋体" w:cs="Times New Roman"/>
                      <w:color w:val="auto"/>
                      <w:kern w:val="2"/>
                      <w:sz w:val="18"/>
                      <w:szCs w:val="18"/>
                      <w:lang w:val="en-US" w:eastAsia="zh-CN" w:bidi="ar-SA"/>
                    </w:rPr>
                  </w:pPr>
                  <w:r>
                    <w:rPr>
                      <w:color w:val="auto"/>
                      <w:sz w:val="18"/>
                      <w:szCs w:val="18"/>
                    </w:rPr>
                    <w:t>草酸二钾</w:t>
                  </w:r>
                </w:p>
              </w:tc>
              <w:tc>
                <w:tcPr>
                  <w:tcW w:w="2508" w:type="pct"/>
                  <w:shd w:val="clear" w:color="auto" w:fill="auto"/>
                  <w:vAlign w:val="center"/>
                </w:tcPr>
                <w:p w14:paraId="74CFB4C5">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白色结晶固体。密度：相对密度约为2.13g/cm</w:t>
                  </w:r>
                  <w:r>
                    <w:rPr>
                      <w:color w:val="auto"/>
                      <w:sz w:val="18"/>
                      <w:szCs w:val="18"/>
                      <w:vertAlign w:val="superscript"/>
                    </w:rPr>
                    <w:t>3</w:t>
                  </w:r>
                  <w:r>
                    <w:rPr>
                      <w:color w:val="auto"/>
                      <w:sz w:val="18"/>
                      <w:szCs w:val="18"/>
                    </w:rPr>
                    <w:t>。可溶于水，略溶于乙醇。熔点：356°C。</w:t>
                  </w:r>
                </w:p>
              </w:tc>
              <w:tc>
                <w:tcPr>
                  <w:tcW w:w="589" w:type="pct"/>
                  <w:shd w:val="clear" w:color="auto" w:fill="auto"/>
                  <w:vAlign w:val="center"/>
                </w:tcPr>
                <w:p w14:paraId="5F56D670">
                  <w:pPr>
                    <w:jc w:val="center"/>
                    <w:rPr>
                      <w:rFonts w:ascii="Times New Roman" w:hAnsi="Times New Roman" w:eastAsia="宋体" w:cs="Times New Roman"/>
                      <w:color w:val="auto"/>
                      <w:kern w:val="0"/>
                      <w:sz w:val="18"/>
                      <w:szCs w:val="18"/>
                      <w:lang w:val="en-US" w:eastAsia="zh-CN" w:bidi="ar-SA"/>
                    </w:rPr>
                  </w:pPr>
                  <w:r>
                    <w:rPr>
                      <w:color w:val="auto"/>
                      <w:sz w:val="18"/>
                      <w:szCs w:val="18"/>
                    </w:rPr>
                    <w:t>/</w:t>
                  </w:r>
                </w:p>
              </w:tc>
              <w:tc>
                <w:tcPr>
                  <w:tcW w:w="803" w:type="pct"/>
                  <w:shd w:val="clear" w:color="auto" w:fill="auto"/>
                  <w:vAlign w:val="center"/>
                </w:tcPr>
                <w:p w14:paraId="216D5DAE">
                  <w:pPr>
                    <w:jc w:val="center"/>
                    <w:rPr>
                      <w:rFonts w:ascii="Times New Roman" w:hAnsi="Times New Roman" w:eastAsia="宋体" w:cs="Times New Roman"/>
                      <w:color w:val="auto"/>
                      <w:kern w:val="0"/>
                      <w:sz w:val="18"/>
                      <w:szCs w:val="18"/>
                      <w:lang w:val="en-US" w:eastAsia="zh-CN" w:bidi="ar-SA"/>
                    </w:rPr>
                  </w:pPr>
                  <w:r>
                    <w:rPr>
                      <w:color w:val="auto"/>
                      <w:sz w:val="18"/>
                      <w:szCs w:val="18"/>
                    </w:rPr>
                    <w:t>/</w:t>
                  </w:r>
                </w:p>
              </w:tc>
            </w:tr>
            <w:tr w14:paraId="1D82CD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391" w:type="pct"/>
                  <w:vAlign w:val="center"/>
                </w:tcPr>
                <w:p w14:paraId="1E3E4A07">
                  <w:pPr>
                    <w:adjustRightInd w:val="0"/>
                    <w:snapToGrid w:val="0"/>
                    <w:jc w:val="center"/>
                    <w:rPr>
                      <w:color w:val="auto"/>
                      <w:sz w:val="18"/>
                      <w:szCs w:val="18"/>
                    </w:rPr>
                  </w:pPr>
                  <w:r>
                    <w:rPr>
                      <w:color w:val="auto"/>
                      <w:sz w:val="18"/>
                      <w:szCs w:val="18"/>
                    </w:rPr>
                    <w:t>5</w:t>
                  </w:r>
                </w:p>
              </w:tc>
              <w:tc>
                <w:tcPr>
                  <w:tcW w:w="706" w:type="pct"/>
                  <w:shd w:val="clear" w:color="auto" w:fill="auto"/>
                  <w:vAlign w:val="center"/>
                </w:tcPr>
                <w:p w14:paraId="56AAAE9B">
                  <w:pPr>
                    <w:jc w:val="center"/>
                    <w:rPr>
                      <w:rFonts w:ascii="Times New Roman" w:hAnsi="Times New Roman" w:eastAsia="宋体" w:cs="Times New Roman"/>
                      <w:color w:val="auto"/>
                      <w:kern w:val="2"/>
                      <w:sz w:val="18"/>
                      <w:szCs w:val="18"/>
                      <w:lang w:val="en-US" w:eastAsia="zh-CN" w:bidi="ar-SA"/>
                    </w:rPr>
                  </w:pPr>
                  <w:r>
                    <w:rPr>
                      <w:color w:val="auto"/>
                      <w:sz w:val="18"/>
                      <w:szCs w:val="18"/>
                    </w:rPr>
                    <w:t>草酸钠</w:t>
                  </w:r>
                </w:p>
              </w:tc>
              <w:tc>
                <w:tcPr>
                  <w:tcW w:w="2508" w:type="pct"/>
                  <w:shd w:val="clear" w:color="auto" w:fill="auto"/>
                  <w:vAlign w:val="center"/>
                </w:tcPr>
                <w:p w14:paraId="6CF955C2">
                  <w:pPr>
                    <w:widowControl/>
                    <w:jc w:val="left"/>
                    <w:rPr>
                      <w:rFonts w:ascii="Times New Roman" w:hAnsi="Times New Roman" w:eastAsia="宋体" w:cs="Times New Roman"/>
                      <w:color w:val="auto"/>
                      <w:kern w:val="2"/>
                      <w:sz w:val="18"/>
                      <w:szCs w:val="18"/>
                      <w:lang w:val="en-US" w:eastAsia="zh-CN" w:bidi="ar-SA"/>
                    </w:rPr>
                  </w:pPr>
                  <w:r>
                    <w:rPr>
                      <w:color w:val="auto"/>
                      <w:kern w:val="0"/>
                      <w:sz w:val="18"/>
                      <w:szCs w:val="18"/>
                      <w:lang w:bidi="ar"/>
                    </w:rPr>
                    <w:t>白色结晶性粉末，无气味，有吸湿性。溶于水，不溶于乙醇。熔点：250～257℃(分解)，相对密度2.34g/cm</w:t>
                  </w:r>
                  <w:r>
                    <w:rPr>
                      <w:color w:val="auto"/>
                      <w:kern w:val="0"/>
                      <w:sz w:val="18"/>
                      <w:szCs w:val="18"/>
                      <w:vertAlign w:val="superscript"/>
                      <w:lang w:bidi="ar"/>
                    </w:rPr>
                    <w:t>3</w:t>
                  </w:r>
                  <w:r>
                    <w:rPr>
                      <w:color w:val="auto"/>
                      <w:kern w:val="0"/>
                      <w:sz w:val="18"/>
                      <w:szCs w:val="18"/>
                      <w:lang w:bidi="ar"/>
                    </w:rPr>
                    <w:t>。</w:t>
                  </w:r>
                </w:p>
              </w:tc>
              <w:tc>
                <w:tcPr>
                  <w:tcW w:w="589" w:type="pct"/>
                  <w:shd w:val="clear" w:color="auto" w:fill="auto"/>
                  <w:vAlign w:val="center"/>
                </w:tcPr>
                <w:p w14:paraId="345BF16F">
                  <w:pPr>
                    <w:jc w:val="center"/>
                    <w:rPr>
                      <w:rFonts w:ascii="Times New Roman" w:hAnsi="Times New Roman" w:eastAsia="宋体" w:cs="Times New Roman"/>
                      <w:color w:val="auto"/>
                      <w:kern w:val="0"/>
                      <w:sz w:val="18"/>
                      <w:szCs w:val="18"/>
                      <w:lang w:val="en-US" w:eastAsia="zh-CN" w:bidi="ar-SA"/>
                    </w:rPr>
                  </w:pPr>
                  <w:r>
                    <w:rPr>
                      <w:color w:val="auto"/>
                      <w:sz w:val="18"/>
                      <w:szCs w:val="18"/>
                    </w:rPr>
                    <w:t>/</w:t>
                  </w:r>
                </w:p>
              </w:tc>
              <w:tc>
                <w:tcPr>
                  <w:tcW w:w="803" w:type="pct"/>
                  <w:shd w:val="clear" w:color="auto" w:fill="auto"/>
                  <w:vAlign w:val="center"/>
                </w:tcPr>
                <w:p w14:paraId="4649EFD6">
                  <w:pPr>
                    <w:jc w:val="center"/>
                    <w:rPr>
                      <w:rFonts w:ascii="Times New Roman" w:hAnsi="Times New Roman" w:eastAsia="宋体" w:cs="Times New Roman"/>
                      <w:color w:val="auto"/>
                      <w:kern w:val="0"/>
                      <w:sz w:val="18"/>
                      <w:szCs w:val="18"/>
                      <w:lang w:val="en-US" w:eastAsia="zh-CN" w:bidi="ar-SA"/>
                    </w:rPr>
                  </w:pPr>
                  <w:r>
                    <w:rPr>
                      <w:color w:val="auto"/>
                      <w:sz w:val="18"/>
                      <w:szCs w:val="18"/>
                    </w:rPr>
                    <w:t>/</w:t>
                  </w:r>
                </w:p>
              </w:tc>
            </w:tr>
            <w:tr w14:paraId="2B2493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3E17F1CF">
                  <w:pPr>
                    <w:adjustRightInd w:val="0"/>
                    <w:snapToGrid w:val="0"/>
                    <w:jc w:val="center"/>
                    <w:rPr>
                      <w:color w:val="auto"/>
                      <w:sz w:val="18"/>
                      <w:szCs w:val="18"/>
                    </w:rPr>
                  </w:pPr>
                  <w:r>
                    <w:rPr>
                      <w:color w:val="auto"/>
                      <w:sz w:val="18"/>
                      <w:szCs w:val="18"/>
                    </w:rPr>
                    <w:t>6</w:t>
                  </w:r>
                </w:p>
              </w:tc>
              <w:tc>
                <w:tcPr>
                  <w:tcW w:w="706" w:type="pct"/>
                  <w:shd w:val="clear" w:color="auto" w:fill="auto"/>
                  <w:vAlign w:val="center"/>
                </w:tcPr>
                <w:p w14:paraId="37A454E3">
                  <w:pPr>
                    <w:jc w:val="center"/>
                    <w:rPr>
                      <w:rFonts w:ascii="Times New Roman" w:hAnsi="Times New Roman" w:eastAsia="宋体" w:cs="Times New Roman"/>
                      <w:color w:val="auto"/>
                      <w:kern w:val="2"/>
                      <w:sz w:val="18"/>
                      <w:szCs w:val="18"/>
                      <w:lang w:val="en-US" w:eastAsia="zh-CN" w:bidi="ar-SA"/>
                    </w:rPr>
                  </w:pPr>
                  <w:r>
                    <w:rPr>
                      <w:color w:val="auto"/>
                      <w:sz w:val="18"/>
                      <w:szCs w:val="18"/>
                    </w:rPr>
                    <w:t>醋酸</w:t>
                  </w:r>
                </w:p>
              </w:tc>
              <w:tc>
                <w:tcPr>
                  <w:tcW w:w="2508" w:type="pct"/>
                  <w:shd w:val="clear" w:color="auto" w:fill="auto"/>
                  <w:vAlign w:val="center"/>
                </w:tcPr>
                <w:p w14:paraId="36595544">
                  <w:pPr>
                    <w:widowControl/>
                    <w:jc w:val="left"/>
                    <w:rPr>
                      <w:rFonts w:ascii="Times New Roman" w:hAnsi="Times New Roman" w:eastAsia="宋体" w:cs="Times New Roman"/>
                      <w:color w:val="auto"/>
                      <w:kern w:val="2"/>
                      <w:sz w:val="18"/>
                      <w:szCs w:val="18"/>
                      <w:lang w:val="en-US" w:eastAsia="zh-CN" w:bidi="ar-SA"/>
                    </w:rPr>
                  </w:pPr>
                  <w:r>
                    <w:rPr>
                      <w:color w:val="auto"/>
                      <w:kern w:val="0"/>
                      <w:sz w:val="18"/>
                      <w:szCs w:val="18"/>
                      <w:lang w:bidi="ar"/>
                    </w:rPr>
                    <w:t>熔点 16.6℃，沸点 117.9℃，密度 1.050，是一种有机一元酸，为食醋主要成分。纯的无水乙酸（冰醋酸）是无色的吸湿性固体，凝固点为16.6℃（62℉），凝固后为无色晶体，其水溶液中呈弱酸性且蚀性强，蒸汽对眼和鼻有刺激性作用。</w:t>
                  </w:r>
                </w:p>
              </w:tc>
              <w:tc>
                <w:tcPr>
                  <w:tcW w:w="589" w:type="pct"/>
                  <w:shd w:val="clear" w:color="auto" w:fill="auto"/>
                  <w:vAlign w:val="center"/>
                </w:tcPr>
                <w:p w14:paraId="2F2B07D8">
                  <w:pPr>
                    <w:jc w:val="center"/>
                    <w:rPr>
                      <w:color w:val="auto"/>
                      <w:kern w:val="0"/>
                      <w:sz w:val="18"/>
                      <w:szCs w:val="18"/>
                    </w:rPr>
                  </w:pPr>
                  <w:r>
                    <w:rPr>
                      <w:color w:val="auto"/>
                      <w:kern w:val="0"/>
                      <w:sz w:val="18"/>
                      <w:szCs w:val="18"/>
                    </w:rPr>
                    <w:t>易燃</w:t>
                  </w:r>
                </w:p>
                <w:p w14:paraId="59B7D30B">
                  <w:pPr>
                    <w:jc w:val="center"/>
                    <w:rPr>
                      <w:rFonts w:ascii="Times New Roman" w:hAnsi="Times New Roman" w:eastAsia="宋体" w:cs="Times New Roman"/>
                      <w:color w:val="auto"/>
                      <w:kern w:val="0"/>
                      <w:sz w:val="18"/>
                      <w:szCs w:val="18"/>
                      <w:lang w:val="en-US" w:eastAsia="zh-CN" w:bidi="ar-SA"/>
                    </w:rPr>
                  </w:pPr>
                </w:p>
              </w:tc>
              <w:tc>
                <w:tcPr>
                  <w:tcW w:w="803" w:type="pct"/>
                  <w:shd w:val="clear" w:color="auto" w:fill="auto"/>
                  <w:vAlign w:val="center"/>
                </w:tcPr>
                <w:p w14:paraId="32A3ED97">
                  <w:pPr>
                    <w:widowControl/>
                    <w:jc w:val="center"/>
                    <w:rPr>
                      <w:color w:val="auto"/>
                      <w:sz w:val="18"/>
                      <w:szCs w:val="18"/>
                    </w:rPr>
                  </w:pPr>
                  <w:r>
                    <w:rPr>
                      <w:color w:val="auto"/>
                      <w:kern w:val="0"/>
                      <w:sz w:val="18"/>
                      <w:szCs w:val="18"/>
                      <w:lang w:bidi="ar"/>
                    </w:rPr>
                    <w:t>LD50：3530mg/kg</w:t>
                  </w:r>
                </w:p>
                <w:p w14:paraId="14C23531">
                  <w:pPr>
                    <w:widowControl/>
                    <w:jc w:val="center"/>
                    <w:rPr>
                      <w:color w:val="auto"/>
                      <w:sz w:val="18"/>
                      <w:szCs w:val="18"/>
                    </w:rPr>
                  </w:pPr>
                  <w:r>
                    <w:rPr>
                      <w:color w:val="auto"/>
                      <w:kern w:val="0"/>
                      <w:sz w:val="18"/>
                      <w:szCs w:val="18"/>
                      <w:lang w:bidi="ar"/>
                    </w:rPr>
                    <w:t>（大鼠经口）</w:t>
                  </w:r>
                </w:p>
                <w:p w14:paraId="09301331">
                  <w:pPr>
                    <w:jc w:val="center"/>
                    <w:rPr>
                      <w:rFonts w:ascii="Times New Roman" w:hAnsi="Times New Roman" w:eastAsia="宋体" w:cs="Times New Roman"/>
                      <w:color w:val="auto"/>
                      <w:kern w:val="0"/>
                      <w:sz w:val="18"/>
                      <w:szCs w:val="18"/>
                      <w:lang w:val="en-US" w:eastAsia="zh-CN" w:bidi="ar-SA"/>
                    </w:rPr>
                  </w:pPr>
                </w:p>
              </w:tc>
            </w:tr>
            <w:tr w14:paraId="714B4A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3548902C">
                  <w:pPr>
                    <w:adjustRightInd w:val="0"/>
                    <w:snapToGrid w:val="0"/>
                    <w:jc w:val="center"/>
                    <w:rPr>
                      <w:color w:val="auto"/>
                      <w:sz w:val="18"/>
                      <w:szCs w:val="18"/>
                    </w:rPr>
                  </w:pPr>
                  <w:r>
                    <w:rPr>
                      <w:color w:val="auto"/>
                      <w:sz w:val="18"/>
                      <w:szCs w:val="18"/>
                    </w:rPr>
                    <w:t>7</w:t>
                  </w:r>
                </w:p>
              </w:tc>
              <w:tc>
                <w:tcPr>
                  <w:tcW w:w="706" w:type="pct"/>
                  <w:shd w:val="clear" w:color="auto" w:fill="auto"/>
                  <w:vAlign w:val="center"/>
                </w:tcPr>
                <w:p w14:paraId="3BCFC57F">
                  <w:pPr>
                    <w:jc w:val="center"/>
                    <w:rPr>
                      <w:rFonts w:ascii="Times New Roman" w:hAnsi="Times New Roman" w:eastAsia="宋体" w:cs="Times New Roman"/>
                      <w:color w:val="auto"/>
                      <w:kern w:val="2"/>
                      <w:sz w:val="18"/>
                      <w:szCs w:val="18"/>
                      <w:lang w:val="en-US" w:eastAsia="zh-CN" w:bidi="ar-SA"/>
                    </w:rPr>
                  </w:pPr>
                  <w:r>
                    <w:rPr>
                      <w:color w:val="auto"/>
                      <w:sz w:val="18"/>
                      <w:szCs w:val="18"/>
                    </w:rPr>
                    <w:t>醋酸钙</w:t>
                  </w:r>
                </w:p>
              </w:tc>
              <w:tc>
                <w:tcPr>
                  <w:tcW w:w="2508" w:type="pct"/>
                  <w:shd w:val="clear" w:color="auto" w:fill="auto"/>
                  <w:vAlign w:val="center"/>
                </w:tcPr>
                <w:p w14:paraId="2CD866FD">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白色结晶或结晶性粉末，无臭，有乙酸味。易溶于水，微溶于乙醇。极易吸湿。加热至160℃时会分解成丙酮和碳酸钙</w:t>
                  </w:r>
                </w:p>
              </w:tc>
              <w:tc>
                <w:tcPr>
                  <w:tcW w:w="589" w:type="pct"/>
                  <w:shd w:val="clear" w:color="auto" w:fill="auto"/>
                  <w:vAlign w:val="center"/>
                </w:tcPr>
                <w:p w14:paraId="172D36A9">
                  <w:pPr>
                    <w:jc w:val="center"/>
                    <w:rPr>
                      <w:rFonts w:ascii="Times New Roman" w:hAnsi="Times New Roman" w:eastAsia="宋体" w:cs="Times New Roman"/>
                      <w:color w:val="auto"/>
                      <w:kern w:val="0"/>
                      <w:sz w:val="18"/>
                      <w:szCs w:val="18"/>
                      <w:lang w:val="en-US" w:eastAsia="zh-CN" w:bidi="ar-SA"/>
                    </w:rPr>
                  </w:pPr>
                  <w:r>
                    <w:rPr>
                      <w:color w:val="auto"/>
                      <w:sz w:val="18"/>
                      <w:szCs w:val="18"/>
                    </w:rPr>
                    <w:t>/</w:t>
                  </w:r>
                </w:p>
              </w:tc>
              <w:tc>
                <w:tcPr>
                  <w:tcW w:w="803" w:type="pct"/>
                  <w:shd w:val="clear" w:color="auto" w:fill="auto"/>
                  <w:vAlign w:val="center"/>
                </w:tcPr>
                <w:p w14:paraId="36302D6C">
                  <w:pPr>
                    <w:jc w:val="center"/>
                    <w:rPr>
                      <w:rFonts w:ascii="Times New Roman" w:hAnsi="Times New Roman" w:eastAsia="宋体" w:cs="Times New Roman"/>
                      <w:color w:val="auto"/>
                      <w:kern w:val="0"/>
                      <w:sz w:val="18"/>
                      <w:szCs w:val="18"/>
                      <w:lang w:val="en-US" w:eastAsia="zh-CN" w:bidi="ar-SA"/>
                    </w:rPr>
                  </w:pPr>
                  <w:r>
                    <w:rPr>
                      <w:color w:val="auto"/>
                      <w:sz w:val="18"/>
                      <w:szCs w:val="18"/>
                    </w:rPr>
                    <w:t>/</w:t>
                  </w:r>
                </w:p>
              </w:tc>
            </w:tr>
            <w:tr w14:paraId="4A5BD9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70666DF5">
                  <w:pPr>
                    <w:adjustRightInd w:val="0"/>
                    <w:snapToGrid w:val="0"/>
                    <w:jc w:val="center"/>
                    <w:rPr>
                      <w:color w:val="auto"/>
                      <w:sz w:val="18"/>
                      <w:szCs w:val="18"/>
                    </w:rPr>
                  </w:pPr>
                  <w:r>
                    <w:rPr>
                      <w:color w:val="auto"/>
                      <w:sz w:val="18"/>
                      <w:szCs w:val="18"/>
                    </w:rPr>
                    <w:t>8</w:t>
                  </w:r>
                </w:p>
              </w:tc>
              <w:tc>
                <w:tcPr>
                  <w:tcW w:w="706" w:type="pct"/>
                  <w:shd w:val="clear" w:color="auto" w:fill="auto"/>
                  <w:vAlign w:val="center"/>
                </w:tcPr>
                <w:p w14:paraId="249537EE">
                  <w:pPr>
                    <w:jc w:val="center"/>
                    <w:rPr>
                      <w:rFonts w:ascii="Times New Roman" w:hAnsi="Times New Roman" w:eastAsia="宋体" w:cs="Times New Roman"/>
                      <w:color w:val="auto"/>
                      <w:kern w:val="2"/>
                      <w:sz w:val="18"/>
                      <w:szCs w:val="18"/>
                      <w:lang w:val="en-US" w:eastAsia="zh-CN" w:bidi="ar-SA"/>
                    </w:rPr>
                  </w:pPr>
                  <w:r>
                    <w:rPr>
                      <w:color w:val="auto"/>
                      <w:sz w:val="18"/>
                      <w:szCs w:val="18"/>
                    </w:rPr>
                    <w:t>醋酸钠</w:t>
                  </w:r>
                </w:p>
              </w:tc>
              <w:tc>
                <w:tcPr>
                  <w:tcW w:w="2508" w:type="pct"/>
                  <w:shd w:val="clear" w:color="auto" w:fill="auto"/>
                  <w:vAlign w:val="center"/>
                </w:tcPr>
                <w:p w14:paraId="0B8F7CE8">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无色无味，透明结晶或白色颗粒，相对密度为1.45（三水合物），1.528（无水物）；熔点为324℃，易溶于水。</w:t>
                  </w:r>
                </w:p>
              </w:tc>
              <w:tc>
                <w:tcPr>
                  <w:tcW w:w="589" w:type="pct"/>
                  <w:shd w:val="clear" w:color="auto" w:fill="auto"/>
                  <w:vAlign w:val="center"/>
                </w:tcPr>
                <w:p w14:paraId="1AB782C9">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可燃</w:t>
                  </w:r>
                </w:p>
              </w:tc>
              <w:tc>
                <w:tcPr>
                  <w:tcW w:w="803" w:type="pct"/>
                  <w:shd w:val="clear" w:color="auto" w:fill="auto"/>
                  <w:vAlign w:val="center"/>
                </w:tcPr>
                <w:p w14:paraId="0D211CD5">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r>
            <w:tr w14:paraId="10A11B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40B84BC1">
                  <w:pPr>
                    <w:adjustRightInd w:val="0"/>
                    <w:snapToGrid w:val="0"/>
                    <w:jc w:val="center"/>
                    <w:rPr>
                      <w:color w:val="auto"/>
                      <w:sz w:val="18"/>
                      <w:szCs w:val="18"/>
                    </w:rPr>
                  </w:pPr>
                  <w:r>
                    <w:rPr>
                      <w:color w:val="auto"/>
                      <w:sz w:val="18"/>
                      <w:szCs w:val="18"/>
                    </w:rPr>
                    <w:t>9</w:t>
                  </w:r>
                </w:p>
              </w:tc>
              <w:tc>
                <w:tcPr>
                  <w:tcW w:w="706" w:type="pct"/>
                  <w:shd w:val="clear" w:color="auto" w:fill="auto"/>
                  <w:vAlign w:val="center"/>
                </w:tcPr>
                <w:p w14:paraId="793EFE48">
                  <w:pPr>
                    <w:jc w:val="center"/>
                    <w:rPr>
                      <w:rFonts w:ascii="Times New Roman" w:hAnsi="Times New Roman" w:eastAsia="宋体" w:cs="Times New Roman"/>
                      <w:color w:val="auto"/>
                      <w:kern w:val="2"/>
                      <w:sz w:val="18"/>
                      <w:szCs w:val="18"/>
                      <w:lang w:val="en-US" w:eastAsia="zh-CN" w:bidi="ar-SA"/>
                    </w:rPr>
                  </w:pPr>
                  <w:r>
                    <w:rPr>
                      <w:color w:val="auto"/>
                      <w:sz w:val="18"/>
                      <w:szCs w:val="18"/>
                    </w:rPr>
                    <w:t>邻苯二甲酸氢钾</w:t>
                  </w:r>
                </w:p>
              </w:tc>
              <w:tc>
                <w:tcPr>
                  <w:tcW w:w="2508" w:type="pct"/>
                  <w:shd w:val="clear" w:color="auto" w:fill="auto"/>
                  <w:vAlign w:val="center"/>
                </w:tcPr>
                <w:p w14:paraId="00AE01D4">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呈白色结晶粉末，在空气中稳定，能溶于水，微溶于醇，用作 pH 测定的缓冲剂、分析基准物质；熔点 295-300℃ ，沸点 378.3℃，密度1.006g/cm</w:t>
                  </w:r>
                  <w:r>
                    <w:rPr>
                      <w:color w:val="auto"/>
                      <w:sz w:val="18"/>
                      <w:szCs w:val="18"/>
                      <w:vertAlign w:val="superscript"/>
                    </w:rPr>
                    <w:t>3</w:t>
                  </w:r>
                </w:p>
              </w:tc>
              <w:tc>
                <w:tcPr>
                  <w:tcW w:w="589" w:type="pct"/>
                  <w:shd w:val="clear" w:color="auto" w:fill="auto"/>
                  <w:vAlign w:val="center"/>
                </w:tcPr>
                <w:p w14:paraId="2E88C442">
                  <w:pPr>
                    <w:jc w:val="center"/>
                    <w:rPr>
                      <w:rFonts w:ascii="Times New Roman" w:hAnsi="Times New Roman" w:eastAsia="宋体" w:cs="Times New Roman"/>
                      <w:color w:val="auto"/>
                      <w:kern w:val="0"/>
                      <w:sz w:val="18"/>
                      <w:szCs w:val="18"/>
                      <w:lang w:val="en-US" w:eastAsia="zh-CN" w:bidi="ar-SA"/>
                    </w:rPr>
                  </w:pPr>
                  <w:r>
                    <w:rPr>
                      <w:color w:val="auto"/>
                      <w:sz w:val="18"/>
                      <w:szCs w:val="18"/>
                    </w:rPr>
                    <w:t>/</w:t>
                  </w:r>
                </w:p>
              </w:tc>
              <w:tc>
                <w:tcPr>
                  <w:tcW w:w="803" w:type="pct"/>
                  <w:shd w:val="clear" w:color="auto" w:fill="auto"/>
                  <w:vAlign w:val="center"/>
                </w:tcPr>
                <w:p w14:paraId="4FDDF231">
                  <w:pPr>
                    <w:jc w:val="center"/>
                    <w:rPr>
                      <w:rFonts w:ascii="Times New Roman" w:hAnsi="Times New Roman" w:eastAsia="宋体" w:cs="Times New Roman"/>
                      <w:color w:val="auto"/>
                      <w:kern w:val="0"/>
                      <w:sz w:val="18"/>
                      <w:szCs w:val="18"/>
                      <w:lang w:val="en-US" w:eastAsia="zh-CN" w:bidi="ar-SA"/>
                    </w:rPr>
                  </w:pPr>
                  <w:r>
                    <w:rPr>
                      <w:color w:val="auto"/>
                      <w:sz w:val="18"/>
                      <w:szCs w:val="18"/>
                    </w:rPr>
                    <w:t>/</w:t>
                  </w:r>
                </w:p>
              </w:tc>
            </w:tr>
            <w:tr w14:paraId="2EBA1C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391" w:type="pct"/>
                  <w:vAlign w:val="center"/>
                </w:tcPr>
                <w:p w14:paraId="0FA7049D">
                  <w:pPr>
                    <w:adjustRightInd w:val="0"/>
                    <w:snapToGrid w:val="0"/>
                    <w:jc w:val="center"/>
                    <w:rPr>
                      <w:color w:val="auto"/>
                      <w:sz w:val="18"/>
                      <w:szCs w:val="18"/>
                    </w:rPr>
                  </w:pPr>
                  <w:r>
                    <w:rPr>
                      <w:color w:val="auto"/>
                      <w:sz w:val="18"/>
                      <w:szCs w:val="18"/>
                    </w:rPr>
                    <w:t>10</w:t>
                  </w:r>
                </w:p>
              </w:tc>
              <w:tc>
                <w:tcPr>
                  <w:tcW w:w="706" w:type="pct"/>
                  <w:shd w:val="clear" w:color="auto" w:fill="auto"/>
                  <w:vAlign w:val="center"/>
                </w:tcPr>
                <w:p w14:paraId="1568BBDA">
                  <w:pPr>
                    <w:jc w:val="center"/>
                    <w:rPr>
                      <w:rFonts w:ascii="Times New Roman" w:hAnsi="Times New Roman" w:eastAsia="宋体" w:cs="Times New Roman"/>
                      <w:color w:val="auto"/>
                      <w:kern w:val="2"/>
                      <w:sz w:val="18"/>
                      <w:szCs w:val="18"/>
                      <w:lang w:val="en-US" w:eastAsia="zh-CN" w:bidi="ar-SA"/>
                    </w:rPr>
                  </w:pPr>
                  <w:r>
                    <w:rPr>
                      <w:color w:val="auto"/>
                      <w:sz w:val="18"/>
                      <w:szCs w:val="18"/>
                    </w:rPr>
                    <w:t>重铬酸钾</w:t>
                  </w:r>
                </w:p>
              </w:tc>
              <w:tc>
                <w:tcPr>
                  <w:tcW w:w="2508" w:type="pct"/>
                  <w:shd w:val="clear" w:color="auto" w:fill="auto"/>
                  <w:vAlign w:val="center"/>
                </w:tcPr>
                <w:p w14:paraId="6DFB523D">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室温下为橘红色结晶性粉末，溶于水，不溶于乙醇；熔点 398℃ ，沸点 500℃，密度2.676g/cm</w:t>
                  </w:r>
                  <w:r>
                    <w:rPr>
                      <w:color w:val="auto"/>
                      <w:sz w:val="18"/>
                      <w:szCs w:val="18"/>
                      <w:vertAlign w:val="superscript"/>
                    </w:rPr>
                    <w:t>3</w:t>
                  </w:r>
                </w:p>
              </w:tc>
              <w:tc>
                <w:tcPr>
                  <w:tcW w:w="589" w:type="pct"/>
                  <w:shd w:val="clear" w:color="auto" w:fill="auto"/>
                  <w:vAlign w:val="center"/>
                </w:tcPr>
                <w:p w14:paraId="5D8EE944">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易制爆</w:t>
                  </w:r>
                </w:p>
              </w:tc>
              <w:tc>
                <w:tcPr>
                  <w:tcW w:w="803" w:type="pct"/>
                  <w:shd w:val="clear" w:color="auto" w:fill="auto"/>
                  <w:vAlign w:val="center"/>
                </w:tcPr>
                <w:p w14:paraId="5A7147EC">
                  <w:pPr>
                    <w:adjustRightInd w:val="0"/>
                    <w:snapToGrid w:val="0"/>
                    <w:jc w:val="center"/>
                    <w:rPr>
                      <w:color w:val="auto"/>
                      <w:sz w:val="18"/>
                      <w:szCs w:val="18"/>
                    </w:rPr>
                  </w:pPr>
                  <w:r>
                    <w:rPr>
                      <w:color w:val="auto"/>
                      <w:sz w:val="18"/>
                      <w:szCs w:val="18"/>
                    </w:rPr>
                    <w:t>LD</w:t>
                  </w:r>
                  <w:r>
                    <w:rPr>
                      <w:color w:val="auto"/>
                      <w:sz w:val="18"/>
                      <w:szCs w:val="18"/>
                      <w:vertAlign w:val="subscript"/>
                    </w:rPr>
                    <w:t>50</w:t>
                  </w:r>
                  <w:r>
                    <w:rPr>
                      <w:color w:val="auto"/>
                      <w:sz w:val="18"/>
                      <w:szCs w:val="18"/>
                    </w:rPr>
                    <w:t>：</w:t>
                  </w:r>
                </w:p>
                <w:p w14:paraId="21848375">
                  <w:pPr>
                    <w:adjustRightInd w:val="0"/>
                    <w:snapToGrid w:val="0"/>
                    <w:jc w:val="center"/>
                    <w:rPr>
                      <w:color w:val="auto"/>
                      <w:sz w:val="18"/>
                      <w:szCs w:val="18"/>
                    </w:rPr>
                  </w:pPr>
                  <w:r>
                    <w:rPr>
                      <w:color w:val="auto"/>
                      <w:sz w:val="18"/>
                      <w:szCs w:val="18"/>
                    </w:rPr>
                    <w:t>25mg/kg（大</w:t>
                  </w:r>
                </w:p>
                <w:p w14:paraId="3A28D8CA">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鼠经口）</w:t>
                  </w:r>
                </w:p>
              </w:tc>
            </w:tr>
            <w:tr w14:paraId="082329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34D8A785">
                  <w:pPr>
                    <w:adjustRightInd w:val="0"/>
                    <w:snapToGrid w:val="0"/>
                    <w:jc w:val="center"/>
                    <w:rPr>
                      <w:color w:val="auto"/>
                      <w:sz w:val="18"/>
                      <w:szCs w:val="18"/>
                    </w:rPr>
                  </w:pPr>
                  <w:r>
                    <w:rPr>
                      <w:color w:val="auto"/>
                      <w:sz w:val="18"/>
                      <w:szCs w:val="18"/>
                    </w:rPr>
                    <w:t>11</w:t>
                  </w:r>
                </w:p>
              </w:tc>
              <w:tc>
                <w:tcPr>
                  <w:tcW w:w="706" w:type="pct"/>
                  <w:shd w:val="clear" w:color="auto" w:fill="auto"/>
                  <w:vAlign w:val="center"/>
                </w:tcPr>
                <w:p w14:paraId="769F6EBB">
                  <w:pPr>
                    <w:jc w:val="center"/>
                    <w:rPr>
                      <w:rFonts w:ascii="Times New Roman" w:hAnsi="Times New Roman" w:eastAsia="宋体" w:cs="Times New Roman"/>
                      <w:color w:val="auto"/>
                      <w:kern w:val="2"/>
                      <w:sz w:val="18"/>
                      <w:szCs w:val="18"/>
                      <w:lang w:val="en-US" w:eastAsia="zh-CN" w:bidi="ar-SA"/>
                    </w:rPr>
                  </w:pPr>
                  <w:r>
                    <w:rPr>
                      <w:color w:val="auto"/>
                      <w:sz w:val="18"/>
                      <w:szCs w:val="18"/>
                    </w:rPr>
                    <w:t>氧化锌</w:t>
                  </w:r>
                </w:p>
              </w:tc>
              <w:tc>
                <w:tcPr>
                  <w:tcW w:w="2508" w:type="pct"/>
                  <w:shd w:val="clear" w:color="auto" w:fill="auto"/>
                  <w:vAlign w:val="center"/>
                </w:tcPr>
                <w:p w14:paraId="5D67FED5">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白色固体。溶解性：不溶于水、乙醇，溶于酸、氢氧化钠水溶液、氯化铵。密度：5.6g/cm</w:t>
                  </w:r>
                  <w:r>
                    <w:rPr>
                      <w:color w:val="auto"/>
                      <w:sz w:val="18"/>
                      <w:szCs w:val="18"/>
                      <w:vertAlign w:val="superscript"/>
                    </w:rPr>
                    <w:t>3</w:t>
                  </w:r>
                  <w:r>
                    <w:rPr>
                      <w:color w:val="auto"/>
                      <w:sz w:val="18"/>
                      <w:szCs w:val="18"/>
                    </w:rPr>
                    <w:t>、熔点：1975℃。沸点：2360℃</w:t>
                  </w:r>
                </w:p>
              </w:tc>
              <w:tc>
                <w:tcPr>
                  <w:tcW w:w="589" w:type="pct"/>
                  <w:shd w:val="clear" w:color="auto" w:fill="auto"/>
                  <w:vAlign w:val="center"/>
                </w:tcPr>
                <w:p w14:paraId="79A817CD">
                  <w:pPr>
                    <w:jc w:val="center"/>
                    <w:rPr>
                      <w:rFonts w:ascii="Times New Roman" w:hAnsi="Times New Roman" w:eastAsia="宋体" w:cs="Times New Roman"/>
                      <w:color w:val="auto"/>
                      <w:kern w:val="0"/>
                      <w:sz w:val="18"/>
                      <w:szCs w:val="18"/>
                      <w:lang w:val="en-US" w:eastAsia="zh-CN" w:bidi="ar-SA"/>
                    </w:rPr>
                  </w:pPr>
                  <w:r>
                    <w:rPr>
                      <w:color w:val="auto"/>
                      <w:sz w:val="18"/>
                      <w:szCs w:val="18"/>
                    </w:rPr>
                    <w:t>/</w:t>
                  </w:r>
                </w:p>
              </w:tc>
              <w:tc>
                <w:tcPr>
                  <w:tcW w:w="803" w:type="pct"/>
                  <w:shd w:val="clear" w:color="auto" w:fill="auto"/>
                  <w:vAlign w:val="center"/>
                </w:tcPr>
                <w:p w14:paraId="087B9581">
                  <w:pPr>
                    <w:jc w:val="center"/>
                    <w:rPr>
                      <w:rFonts w:ascii="Times New Roman" w:hAnsi="Times New Roman" w:eastAsia="宋体" w:cs="Times New Roman"/>
                      <w:color w:val="auto"/>
                      <w:kern w:val="0"/>
                      <w:sz w:val="18"/>
                      <w:szCs w:val="18"/>
                      <w:lang w:val="en-US" w:eastAsia="zh-CN" w:bidi="ar-SA"/>
                    </w:rPr>
                  </w:pPr>
                  <w:r>
                    <w:rPr>
                      <w:color w:val="auto"/>
                      <w:kern w:val="0"/>
                      <w:sz w:val="18"/>
                      <w:szCs w:val="18"/>
                    </w:rPr>
                    <w:t>大鼠腹腔注射LD</w:t>
                  </w:r>
                  <w:r>
                    <w:rPr>
                      <w:color w:val="auto"/>
                      <w:kern w:val="0"/>
                      <w:sz w:val="18"/>
                      <w:szCs w:val="18"/>
                      <w:vertAlign w:val="subscript"/>
                    </w:rPr>
                    <w:t>50</w:t>
                  </w:r>
                  <w:r>
                    <w:rPr>
                      <w:color w:val="auto"/>
                      <w:kern w:val="0"/>
                      <w:sz w:val="18"/>
                      <w:szCs w:val="18"/>
                    </w:rPr>
                    <w:t>：240mg/kg</w:t>
                  </w:r>
                </w:p>
              </w:tc>
            </w:tr>
            <w:tr w14:paraId="60E241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47F00089">
                  <w:pPr>
                    <w:adjustRightInd w:val="0"/>
                    <w:snapToGrid w:val="0"/>
                    <w:jc w:val="center"/>
                    <w:rPr>
                      <w:color w:val="auto"/>
                      <w:sz w:val="18"/>
                      <w:szCs w:val="18"/>
                    </w:rPr>
                  </w:pPr>
                  <w:r>
                    <w:rPr>
                      <w:color w:val="auto"/>
                      <w:sz w:val="18"/>
                      <w:szCs w:val="18"/>
                    </w:rPr>
                    <w:t>12</w:t>
                  </w:r>
                </w:p>
              </w:tc>
              <w:tc>
                <w:tcPr>
                  <w:tcW w:w="706" w:type="pct"/>
                  <w:shd w:val="clear" w:color="auto" w:fill="auto"/>
                  <w:vAlign w:val="center"/>
                </w:tcPr>
                <w:p w14:paraId="5D516966">
                  <w:pPr>
                    <w:jc w:val="center"/>
                    <w:rPr>
                      <w:rFonts w:ascii="Times New Roman" w:hAnsi="Times New Roman" w:eastAsia="宋体" w:cs="Times New Roman"/>
                      <w:color w:val="auto"/>
                      <w:kern w:val="2"/>
                      <w:sz w:val="18"/>
                      <w:szCs w:val="18"/>
                      <w:lang w:val="en-US" w:eastAsia="zh-CN" w:bidi="ar-SA"/>
                    </w:rPr>
                  </w:pPr>
                  <w:r>
                    <w:rPr>
                      <w:color w:val="auto"/>
                      <w:sz w:val="18"/>
                      <w:szCs w:val="18"/>
                    </w:rPr>
                    <w:t>碳酸钠</w:t>
                  </w:r>
                </w:p>
              </w:tc>
              <w:tc>
                <w:tcPr>
                  <w:tcW w:w="2508" w:type="pct"/>
                  <w:shd w:val="clear" w:color="auto" w:fill="auto"/>
                  <w:vAlign w:val="center"/>
                </w:tcPr>
                <w:p w14:paraId="174561E6">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常温下为白色无气味的粉末或颗粒。密度：2.532 g/cm</w:t>
                  </w:r>
                  <w:r>
                    <w:rPr>
                      <w:color w:val="auto"/>
                      <w:sz w:val="18"/>
                      <w:szCs w:val="18"/>
                      <w:vertAlign w:val="superscript"/>
                    </w:rPr>
                    <w:t>3</w:t>
                  </w:r>
                  <w:r>
                    <w:rPr>
                      <w:color w:val="auto"/>
                      <w:sz w:val="18"/>
                      <w:szCs w:val="18"/>
                    </w:rPr>
                    <w:t>。熔点：851℃。易溶于水和</w:t>
                  </w:r>
                  <w:r>
                    <w:rPr>
                      <w:color w:val="auto"/>
                    </w:rPr>
                    <w:fldChar w:fldCharType="begin"/>
                  </w:r>
                  <w:r>
                    <w:rPr>
                      <w:color w:val="auto"/>
                    </w:rPr>
                    <w:instrText xml:space="preserve"> HYPERLINK "https://baike.baidu.com/item/%E7%94%98%E6%B2%B9/99429?fromModule=lemma_inlink" \t "https://baike.baidu.com/item/_blank" </w:instrText>
                  </w:r>
                  <w:r>
                    <w:rPr>
                      <w:color w:val="auto"/>
                    </w:rPr>
                    <w:fldChar w:fldCharType="separate"/>
                  </w:r>
                  <w:r>
                    <w:rPr>
                      <w:color w:val="auto"/>
                      <w:sz w:val="18"/>
                      <w:szCs w:val="18"/>
                    </w:rPr>
                    <w:t>甘油</w:t>
                  </w:r>
                  <w:r>
                    <w:rPr>
                      <w:color w:val="auto"/>
                      <w:sz w:val="18"/>
                      <w:szCs w:val="18"/>
                    </w:rPr>
                    <w:fldChar w:fldCharType="end"/>
                  </w:r>
                  <w:r>
                    <w:rPr>
                      <w:color w:val="auto"/>
                      <w:sz w:val="18"/>
                      <w:szCs w:val="18"/>
                    </w:rPr>
                    <w:t>，微溶于无水乙醇，难溶于丙醇。</w:t>
                  </w:r>
                </w:p>
              </w:tc>
              <w:tc>
                <w:tcPr>
                  <w:tcW w:w="589" w:type="pct"/>
                  <w:shd w:val="clear" w:color="auto" w:fill="auto"/>
                  <w:vAlign w:val="center"/>
                </w:tcPr>
                <w:p w14:paraId="5BC960FC">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579A98BC">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r>
            <w:tr w14:paraId="482790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62F510B2">
                  <w:pPr>
                    <w:adjustRightInd w:val="0"/>
                    <w:snapToGrid w:val="0"/>
                    <w:jc w:val="center"/>
                    <w:rPr>
                      <w:color w:val="auto"/>
                      <w:sz w:val="18"/>
                      <w:szCs w:val="18"/>
                    </w:rPr>
                  </w:pPr>
                  <w:r>
                    <w:rPr>
                      <w:color w:val="auto"/>
                      <w:sz w:val="18"/>
                      <w:szCs w:val="18"/>
                    </w:rPr>
                    <w:t>13</w:t>
                  </w:r>
                </w:p>
              </w:tc>
              <w:tc>
                <w:tcPr>
                  <w:tcW w:w="706" w:type="pct"/>
                  <w:shd w:val="clear" w:color="auto" w:fill="auto"/>
                  <w:vAlign w:val="center"/>
                </w:tcPr>
                <w:p w14:paraId="6E8E608A">
                  <w:pPr>
                    <w:jc w:val="center"/>
                    <w:rPr>
                      <w:rFonts w:ascii="Times New Roman" w:hAnsi="Times New Roman" w:eastAsia="宋体" w:cs="Times New Roman"/>
                      <w:color w:val="auto"/>
                      <w:kern w:val="2"/>
                      <w:sz w:val="18"/>
                      <w:szCs w:val="18"/>
                      <w:lang w:val="en-US" w:eastAsia="zh-CN" w:bidi="ar-SA"/>
                    </w:rPr>
                  </w:pPr>
                  <w:r>
                    <w:rPr>
                      <w:color w:val="auto"/>
                      <w:sz w:val="18"/>
                      <w:szCs w:val="18"/>
                    </w:rPr>
                    <w:t>氯化钠</w:t>
                  </w:r>
                </w:p>
              </w:tc>
              <w:tc>
                <w:tcPr>
                  <w:tcW w:w="2508" w:type="pct"/>
                  <w:shd w:val="clear" w:color="auto" w:fill="auto"/>
                  <w:vAlign w:val="center"/>
                </w:tcPr>
                <w:p w14:paraId="671A9334">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分子量 58.44，熔点 801℃，沸点 100℃，密度 1.199g/cm</w:t>
                  </w:r>
                  <w:r>
                    <w:rPr>
                      <w:color w:val="auto"/>
                      <w:sz w:val="18"/>
                      <w:szCs w:val="18"/>
                      <w:vertAlign w:val="superscript"/>
                    </w:rPr>
                    <w:t>3</w:t>
                  </w:r>
                  <w:r>
                    <w:rPr>
                      <w:color w:val="auto"/>
                      <w:sz w:val="18"/>
                      <w:szCs w:val="18"/>
                    </w:rPr>
                    <w:t>。无色至白色立方体结晶。相对密度 2.16。易溶于水及甘油，微溶于乙醇，不溶于盐酸。主要用于调味剂、营养剂、防腐剂、香料、面团调节剂。</w:t>
                  </w:r>
                </w:p>
              </w:tc>
              <w:tc>
                <w:tcPr>
                  <w:tcW w:w="589" w:type="pct"/>
                  <w:shd w:val="clear" w:color="auto" w:fill="auto"/>
                  <w:vAlign w:val="center"/>
                </w:tcPr>
                <w:p w14:paraId="018E2283">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129687A8">
                  <w:pPr>
                    <w:adjustRightInd w:val="0"/>
                    <w:snapToGrid w:val="0"/>
                    <w:jc w:val="center"/>
                    <w:rPr>
                      <w:color w:val="auto"/>
                      <w:sz w:val="18"/>
                      <w:szCs w:val="18"/>
                      <w:vertAlign w:val="subscript"/>
                    </w:rPr>
                  </w:pPr>
                  <w:r>
                    <w:rPr>
                      <w:color w:val="auto"/>
                      <w:sz w:val="18"/>
                      <w:szCs w:val="18"/>
                    </w:rPr>
                    <w:t>LD</w:t>
                  </w:r>
                  <w:r>
                    <w:rPr>
                      <w:color w:val="auto"/>
                      <w:sz w:val="18"/>
                      <w:szCs w:val="18"/>
                      <w:vertAlign w:val="subscript"/>
                    </w:rPr>
                    <w:t>50</w:t>
                  </w:r>
                  <w:r>
                    <w:rPr>
                      <w:color w:val="auto"/>
                      <w:kern w:val="0"/>
                      <w:sz w:val="18"/>
                      <w:szCs w:val="18"/>
                    </w:rPr>
                    <w:t>：</w:t>
                  </w:r>
                </w:p>
                <w:p w14:paraId="0ACB8177">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3000mg/kg</w:t>
                  </w:r>
                  <w:r>
                    <w:rPr>
                      <w:rFonts w:hint="eastAsia"/>
                      <w:color w:val="auto"/>
                      <w:sz w:val="18"/>
                      <w:szCs w:val="18"/>
                    </w:rPr>
                    <w:t>（</w:t>
                  </w:r>
                  <w:r>
                    <w:rPr>
                      <w:color w:val="auto"/>
                      <w:sz w:val="18"/>
                      <w:szCs w:val="18"/>
                    </w:rPr>
                    <w:t>大鼠，经口</w:t>
                  </w:r>
                  <w:r>
                    <w:rPr>
                      <w:rFonts w:hint="eastAsia"/>
                      <w:color w:val="auto"/>
                      <w:sz w:val="18"/>
                      <w:szCs w:val="18"/>
                    </w:rPr>
                    <w:t>）</w:t>
                  </w:r>
                </w:p>
              </w:tc>
            </w:tr>
            <w:tr w14:paraId="38B372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30DDD75C">
                  <w:pPr>
                    <w:adjustRightInd w:val="0"/>
                    <w:snapToGrid w:val="0"/>
                    <w:jc w:val="center"/>
                    <w:rPr>
                      <w:color w:val="auto"/>
                      <w:sz w:val="18"/>
                      <w:szCs w:val="18"/>
                    </w:rPr>
                  </w:pPr>
                  <w:r>
                    <w:rPr>
                      <w:color w:val="auto"/>
                      <w:sz w:val="18"/>
                      <w:szCs w:val="18"/>
                    </w:rPr>
                    <w:t>14</w:t>
                  </w:r>
                </w:p>
              </w:tc>
              <w:tc>
                <w:tcPr>
                  <w:tcW w:w="706" w:type="pct"/>
                  <w:shd w:val="clear" w:color="auto" w:fill="auto"/>
                  <w:vAlign w:val="center"/>
                </w:tcPr>
                <w:p w14:paraId="499BABC1">
                  <w:pPr>
                    <w:jc w:val="center"/>
                    <w:rPr>
                      <w:rFonts w:ascii="Times New Roman" w:hAnsi="Times New Roman" w:eastAsia="宋体" w:cs="Times New Roman"/>
                      <w:color w:val="auto"/>
                      <w:kern w:val="2"/>
                      <w:sz w:val="18"/>
                      <w:szCs w:val="18"/>
                      <w:lang w:val="en-US" w:eastAsia="zh-CN" w:bidi="ar-SA"/>
                    </w:rPr>
                  </w:pPr>
                  <w:r>
                    <w:rPr>
                      <w:color w:val="auto"/>
                      <w:sz w:val="18"/>
                      <w:szCs w:val="18"/>
                    </w:rPr>
                    <w:t>硝酸银</w:t>
                  </w:r>
                </w:p>
              </w:tc>
              <w:tc>
                <w:tcPr>
                  <w:tcW w:w="2508" w:type="pct"/>
                  <w:shd w:val="clear" w:color="auto" w:fill="auto"/>
                  <w:vAlign w:val="center"/>
                </w:tcPr>
                <w:p w14:paraId="7418E1F4">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常温下呈无色透明斜方晶系片状结晶，易溶于水、氨水，微溶于甲醇、乙醇。纯硝酸银对光稳定，但由于一般的产品纯度不够，其水溶液和固体常被保存在棕色试剂瓶中；熔点 212℃，沸点 444℃，密度 4.35g/cm</w:t>
                  </w:r>
                  <w:r>
                    <w:rPr>
                      <w:color w:val="auto"/>
                      <w:sz w:val="18"/>
                      <w:szCs w:val="18"/>
                      <w:vertAlign w:val="superscript"/>
                    </w:rPr>
                    <w:t>3</w:t>
                  </w:r>
                </w:p>
              </w:tc>
              <w:tc>
                <w:tcPr>
                  <w:tcW w:w="589" w:type="pct"/>
                  <w:shd w:val="clear" w:color="auto" w:fill="auto"/>
                  <w:vAlign w:val="center"/>
                </w:tcPr>
                <w:p w14:paraId="79A13B7B">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易制爆</w:t>
                  </w:r>
                </w:p>
              </w:tc>
              <w:tc>
                <w:tcPr>
                  <w:tcW w:w="803" w:type="pct"/>
                  <w:shd w:val="clear" w:color="auto" w:fill="auto"/>
                  <w:vAlign w:val="center"/>
                </w:tcPr>
                <w:p w14:paraId="2EBD8C13">
                  <w:pPr>
                    <w:adjustRightInd w:val="0"/>
                    <w:snapToGrid w:val="0"/>
                    <w:jc w:val="center"/>
                    <w:rPr>
                      <w:rFonts w:ascii="Times New Roman" w:hAnsi="Times New Roman" w:eastAsia="宋体" w:cs="Times New Roman"/>
                      <w:color w:val="auto"/>
                      <w:kern w:val="2"/>
                      <w:sz w:val="18"/>
                      <w:szCs w:val="18"/>
                      <w:lang w:val="en-US" w:eastAsia="zh-CN" w:bidi="ar-SA"/>
                    </w:rPr>
                  </w:pPr>
                  <w:r>
                    <w:rPr>
                      <w:rFonts w:eastAsia="Helvetica"/>
                      <w:color w:val="auto"/>
                      <w:sz w:val="18"/>
                      <w:szCs w:val="18"/>
                      <w:shd w:val="clear" w:color="auto" w:fill="FFFFFF"/>
                    </w:rPr>
                    <w:t>LD</w:t>
                  </w:r>
                  <w:r>
                    <w:rPr>
                      <w:rFonts w:eastAsia="Helvetica"/>
                      <w:color w:val="auto"/>
                      <w:sz w:val="18"/>
                      <w:szCs w:val="18"/>
                      <w:shd w:val="clear" w:color="auto" w:fill="FFFFFF"/>
                      <w:vertAlign w:val="subscript"/>
                    </w:rPr>
                    <w:t>50</w:t>
                  </w:r>
                  <w:r>
                    <w:rPr>
                      <w:color w:val="auto"/>
                      <w:sz w:val="18"/>
                      <w:szCs w:val="18"/>
                      <w:shd w:val="clear" w:color="auto" w:fill="FFFFFF"/>
                    </w:rPr>
                    <w:t>：</w:t>
                  </w:r>
                  <w:r>
                    <w:rPr>
                      <w:rFonts w:eastAsia="Helvetica"/>
                      <w:color w:val="auto"/>
                      <w:sz w:val="18"/>
                      <w:szCs w:val="18"/>
                      <w:shd w:val="clear" w:color="auto" w:fill="FFFFFF"/>
                    </w:rPr>
                    <w:t>1173mg/kg（大鼠经口）</w:t>
                  </w:r>
                  <w:r>
                    <w:rPr>
                      <w:color w:val="auto"/>
                      <w:sz w:val="18"/>
                      <w:szCs w:val="18"/>
                      <w:shd w:val="clear" w:color="auto" w:fill="FFFFFF"/>
                    </w:rPr>
                    <w:t>；50mg/kg（小鼠经口）</w:t>
                  </w:r>
                </w:p>
              </w:tc>
            </w:tr>
            <w:tr w14:paraId="4319A8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5747B0EF">
                  <w:pPr>
                    <w:adjustRightInd w:val="0"/>
                    <w:snapToGrid w:val="0"/>
                    <w:jc w:val="center"/>
                    <w:rPr>
                      <w:color w:val="auto"/>
                      <w:sz w:val="18"/>
                      <w:szCs w:val="18"/>
                    </w:rPr>
                  </w:pPr>
                  <w:r>
                    <w:rPr>
                      <w:color w:val="auto"/>
                      <w:sz w:val="18"/>
                      <w:szCs w:val="18"/>
                    </w:rPr>
                    <w:t>15</w:t>
                  </w:r>
                </w:p>
              </w:tc>
              <w:tc>
                <w:tcPr>
                  <w:tcW w:w="706" w:type="pct"/>
                  <w:shd w:val="clear" w:color="auto" w:fill="auto"/>
                  <w:vAlign w:val="center"/>
                </w:tcPr>
                <w:p w14:paraId="745B9CD5">
                  <w:pPr>
                    <w:jc w:val="center"/>
                    <w:rPr>
                      <w:rFonts w:ascii="Times New Roman" w:hAnsi="Times New Roman" w:eastAsia="宋体" w:cs="Times New Roman"/>
                      <w:color w:val="auto"/>
                      <w:kern w:val="2"/>
                      <w:sz w:val="18"/>
                      <w:szCs w:val="18"/>
                      <w:lang w:val="en-US" w:eastAsia="zh-CN" w:bidi="ar-SA"/>
                    </w:rPr>
                  </w:pPr>
                  <w:r>
                    <w:rPr>
                      <w:color w:val="auto"/>
                      <w:sz w:val="18"/>
                      <w:szCs w:val="18"/>
                    </w:rPr>
                    <w:t>高锰酸钾</w:t>
                  </w:r>
                </w:p>
              </w:tc>
              <w:tc>
                <w:tcPr>
                  <w:tcW w:w="2508" w:type="pct"/>
                  <w:shd w:val="clear" w:color="auto" w:fill="auto"/>
                  <w:vAlign w:val="center"/>
                </w:tcPr>
                <w:p w14:paraId="799C99AD">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黑紫色结晶，带蓝色的金属光泽，无臭，与某些有机物或易氧化物接触，易发生爆炸，溶于水、碱液，微溶于甲醇、丙酮、硫酸，熔点：240℃，密度：2.7g/cm</w:t>
                  </w:r>
                  <w:r>
                    <w:rPr>
                      <w:color w:val="auto"/>
                      <w:sz w:val="18"/>
                      <w:szCs w:val="18"/>
                      <w:vertAlign w:val="superscript"/>
                    </w:rPr>
                    <w:t>3</w:t>
                  </w:r>
                  <w:r>
                    <w:rPr>
                      <w:color w:val="auto"/>
                      <w:sz w:val="18"/>
                      <w:szCs w:val="18"/>
                    </w:rPr>
                    <w:t>，水溶解性：6.4 g/100 mL(20 ºC)</w:t>
                  </w:r>
                </w:p>
              </w:tc>
              <w:tc>
                <w:tcPr>
                  <w:tcW w:w="589" w:type="pct"/>
                  <w:shd w:val="clear" w:color="auto" w:fill="auto"/>
                  <w:vAlign w:val="center"/>
                </w:tcPr>
                <w:p w14:paraId="07C07D42">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7E9206BE">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r>
            <w:tr w14:paraId="49FF46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4A734AEB">
                  <w:pPr>
                    <w:adjustRightInd w:val="0"/>
                    <w:snapToGrid w:val="0"/>
                    <w:jc w:val="center"/>
                    <w:rPr>
                      <w:color w:val="auto"/>
                      <w:sz w:val="18"/>
                      <w:szCs w:val="18"/>
                    </w:rPr>
                  </w:pPr>
                  <w:r>
                    <w:rPr>
                      <w:color w:val="auto"/>
                      <w:sz w:val="18"/>
                      <w:szCs w:val="18"/>
                    </w:rPr>
                    <w:t>16</w:t>
                  </w:r>
                </w:p>
              </w:tc>
              <w:tc>
                <w:tcPr>
                  <w:tcW w:w="706" w:type="pct"/>
                  <w:shd w:val="clear" w:color="auto" w:fill="auto"/>
                  <w:vAlign w:val="center"/>
                </w:tcPr>
                <w:p w14:paraId="440DEEA4">
                  <w:pPr>
                    <w:jc w:val="center"/>
                    <w:rPr>
                      <w:rFonts w:ascii="Times New Roman" w:hAnsi="Times New Roman" w:eastAsia="宋体" w:cs="Times New Roman"/>
                      <w:color w:val="auto"/>
                      <w:kern w:val="2"/>
                      <w:sz w:val="18"/>
                      <w:szCs w:val="18"/>
                      <w:lang w:val="en-US" w:eastAsia="zh-CN" w:bidi="ar-SA"/>
                    </w:rPr>
                  </w:pPr>
                  <w:r>
                    <w:rPr>
                      <w:color w:val="auto"/>
                      <w:sz w:val="18"/>
                      <w:szCs w:val="18"/>
                    </w:rPr>
                    <w:t>硫代硫酸钠</w:t>
                  </w:r>
                </w:p>
              </w:tc>
              <w:tc>
                <w:tcPr>
                  <w:tcW w:w="2508" w:type="pct"/>
                  <w:shd w:val="clear" w:color="auto" w:fill="auto"/>
                  <w:vAlign w:val="center"/>
                </w:tcPr>
                <w:p w14:paraId="6588D82D">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无色或白色</w:t>
                  </w:r>
                  <w:r>
                    <w:rPr>
                      <w:color w:val="auto"/>
                    </w:rPr>
                    <w:fldChar w:fldCharType="begin"/>
                  </w:r>
                  <w:r>
                    <w:rPr>
                      <w:color w:val="auto"/>
                    </w:rPr>
                    <w:instrText xml:space="preserve"> HYPERLINK "https://baike.baidu.com/item/%E7%BB%93%E6%99%B6%E6%80%A7/6830050?fromModule=lemma_inlink" \t "https://baike.baidu.com/item/_blank" </w:instrText>
                  </w:r>
                  <w:r>
                    <w:rPr>
                      <w:color w:val="auto"/>
                    </w:rPr>
                    <w:fldChar w:fldCharType="separate"/>
                  </w:r>
                  <w:r>
                    <w:rPr>
                      <w:color w:val="auto"/>
                      <w:sz w:val="18"/>
                      <w:szCs w:val="18"/>
                    </w:rPr>
                    <w:t>结晶性</w:t>
                  </w:r>
                  <w:r>
                    <w:rPr>
                      <w:color w:val="auto"/>
                      <w:sz w:val="18"/>
                      <w:szCs w:val="18"/>
                    </w:rPr>
                    <w:fldChar w:fldCharType="end"/>
                  </w:r>
                  <w:r>
                    <w:rPr>
                      <w:color w:val="auto"/>
                      <w:sz w:val="18"/>
                      <w:szCs w:val="18"/>
                    </w:rPr>
                    <w:t>粉末，溶于</w:t>
                  </w:r>
                  <w:r>
                    <w:rPr>
                      <w:color w:val="auto"/>
                    </w:rPr>
                    <w:fldChar w:fldCharType="begin"/>
                  </w:r>
                  <w:r>
                    <w:rPr>
                      <w:color w:val="auto"/>
                    </w:rPr>
                    <w:instrText xml:space="preserve"> HYPERLINK "https://baike.baidu.com/item/%E6%B0%B4/34133?fromModule=lemma_inlink" \t "https://baike.baidu.com/item/_blank" </w:instrText>
                  </w:r>
                  <w:r>
                    <w:rPr>
                      <w:color w:val="auto"/>
                    </w:rPr>
                    <w:fldChar w:fldCharType="separate"/>
                  </w:r>
                  <w:r>
                    <w:rPr>
                      <w:color w:val="auto"/>
                      <w:sz w:val="18"/>
                      <w:szCs w:val="18"/>
                    </w:rPr>
                    <w:t>水</w:t>
                  </w:r>
                  <w:r>
                    <w:rPr>
                      <w:color w:val="auto"/>
                      <w:sz w:val="18"/>
                      <w:szCs w:val="18"/>
                    </w:rPr>
                    <w:fldChar w:fldCharType="end"/>
                  </w:r>
                  <w:r>
                    <w:rPr>
                      <w:color w:val="auto"/>
                      <w:sz w:val="18"/>
                      <w:szCs w:val="18"/>
                    </w:rPr>
                    <w:t>和</w:t>
                  </w:r>
                  <w:r>
                    <w:rPr>
                      <w:color w:val="auto"/>
                    </w:rPr>
                    <w:fldChar w:fldCharType="begin"/>
                  </w:r>
                  <w:r>
                    <w:rPr>
                      <w:color w:val="auto"/>
                    </w:rPr>
                    <w:instrText xml:space="preserve"> HYPERLINK "https://baike.baidu.com/item/%E6%9D%BE%E8%8A%82%E6%B2%B9/1192631?fromModule=lemma_inlink" \t "https://baike.baidu.com/item/_blank" </w:instrText>
                  </w:r>
                  <w:r>
                    <w:rPr>
                      <w:color w:val="auto"/>
                    </w:rPr>
                    <w:fldChar w:fldCharType="separate"/>
                  </w:r>
                  <w:r>
                    <w:rPr>
                      <w:color w:val="auto"/>
                      <w:sz w:val="18"/>
                      <w:szCs w:val="18"/>
                    </w:rPr>
                    <w:t>松节油</w:t>
                  </w:r>
                  <w:r>
                    <w:rPr>
                      <w:color w:val="auto"/>
                      <w:sz w:val="18"/>
                      <w:szCs w:val="18"/>
                    </w:rPr>
                    <w:fldChar w:fldCharType="end"/>
                  </w:r>
                  <w:r>
                    <w:rPr>
                      <w:color w:val="auto"/>
                      <w:sz w:val="18"/>
                      <w:szCs w:val="18"/>
                    </w:rPr>
                    <w:t>，难溶于</w:t>
                  </w:r>
                  <w:r>
                    <w:rPr>
                      <w:color w:val="auto"/>
                    </w:rPr>
                    <w:fldChar w:fldCharType="begin"/>
                  </w:r>
                  <w:r>
                    <w:rPr>
                      <w:color w:val="auto"/>
                    </w:rPr>
                    <w:instrText xml:space="preserve"> HYPERLINK "https://baike.baidu.com/item/%E4%B9%99%E9%86%87/135334?fromModule=lemma_inlink" \t "https://baike.baidu.com/item/_blank" </w:instrText>
                  </w:r>
                  <w:r>
                    <w:rPr>
                      <w:color w:val="auto"/>
                    </w:rPr>
                    <w:fldChar w:fldCharType="separate"/>
                  </w:r>
                  <w:r>
                    <w:rPr>
                      <w:color w:val="auto"/>
                      <w:sz w:val="18"/>
                      <w:szCs w:val="18"/>
                    </w:rPr>
                    <w:t>乙醇</w:t>
                  </w:r>
                  <w:r>
                    <w:rPr>
                      <w:color w:val="auto"/>
                      <w:sz w:val="18"/>
                      <w:szCs w:val="18"/>
                    </w:rPr>
                    <w:fldChar w:fldCharType="end"/>
                  </w:r>
                  <w:r>
                    <w:rPr>
                      <w:color w:val="auto"/>
                      <w:sz w:val="18"/>
                      <w:szCs w:val="18"/>
                    </w:rPr>
                    <w:t>。密度1.667g/cm</w:t>
                  </w:r>
                  <w:r>
                    <w:rPr>
                      <w:color w:val="auto"/>
                      <w:sz w:val="18"/>
                      <w:szCs w:val="18"/>
                      <w:vertAlign w:val="superscript"/>
                    </w:rPr>
                    <w:t>3</w:t>
                  </w:r>
                  <w:r>
                    <w:rPr>
                      <w:color w:val="auto"/>
                      <w:sz w:val="18"/>
                      <w:szCs w:val="18"/>
                    </w:rPr>
                    <w:t>，熔点 48℃，沸点100℃。</w:t>
                  </w:r>
                </w:p>
              </w:tc>
              <w:tc>
                <w:tcPr>
                  <w:tcW w:w="589" w:type="pct"/>
                  <w:shd w:val="clear" w:color="auto" w:fill="auto"/>
                  <w:vAlign w:val="center"/>
                </w:tcPr>
                <w:p w14:paraId="4DDA24F1">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44C80F49">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r>
            <w:tr w14:paraId="2F0C18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6137D4B4">
                  <w:pPr>
                    <w:adjustRightInd w:val="0"/>
                    <w:snapToGrid w:val="0"/>
                    <w:jc w:val="center"/>
                    <w:rPr>
                      <w:color w:val="auto"/>
                      <w:sz w:val="18"/>
                      <w:szCs w:val="18"/>
                    </w:rPr>
                  </w:pPr>
                  <w:r>
                    <w:rPr>
                      <w:color w:val="auto"/>
                      <w:sz w:val="18"/>
                      <w:szCs w:val="18"/>
                    </w:rPr>
                    <w:t>17</w:t>
                  </w:r>
                </w:p>
              </w:tc>
              <w:tc>
                <w:tcPr>
                  <w:tcW w:w="706" w:type="pct"/>
                  <w:shd w:val="clear" w:color="auto" w:fill="auto"/>
                  <w:vAlign w:val="center"/>
                </w:tcPr>
                <w:p w14:paraId="35E7DF19">
                  <w:pPr>
                    <w:jc w:val="center"/>
                    <w:rPr>
                      <w:rFonts w:ascii="Times New Roman" w:hAnsi="Times New Roman" w:eastAsia="宋体" w:cs="Times New Roman"/>
                      <w:color w:val="auto"/>
                      <w:kern w:val="2"/>
                      <w:sz w:val="18"/>
                      <w:szCs w:val="18"/>
                      <w:lang w:val="en-US" w:eastAsia="zh-CN" w:bidi="ar-SA"/>
                    </w:rPr>
                  </w:pPr>
                  <w:r>
                    <w:rPr>
                      <w:color w:val="auto"/>
                      <w:sz w:val="18"/>
                      <w:szCs w:val="18"/>
                    </w:rPr>
                    <w:t>过硫酸铵</w:t>
                  </w:r>
                </w:p>
              </w:tc>
              <w:tc>
                <w:tcPr>
                  <w:tcW w:w="2508" w:type="pct"/>
                  <w:shd w:val="clear" w:color="auto" w:fill="auto"/>
                  <w:vAlign w:val="center"/>
                </w:tcPr>
                <w:p w14:paraId="1B669687">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白色结晶性粉末。熔点：120℃（分解）。密度：1.98g/cm</w:t>
                  </w:r>
                  <w:r>
                    <w:rPr>
                      <w:color w:val="auto"/>
                      <w:sz w:val="18"/>
                      <w:szCs w:val="18"/>
                      <w:vertAlign w:val="superscript"/>
                    </w:rPr>
                    <w:t>3</w:t>
                  </w:r>
                  <w:r>
                    <w:rPr>
                      <w:color w:val="auto"/>
                      <w:sz w:val="18"/>
                      <w:szCs w:val="18"/>
                    </w:rPr>
                    <w:t>。有强氧化性。</w:t>
                  </w:r>
                </w:p>
              </w:tc>
              <w:tc>
                <w:tcPr>
                  <w:tcW w:w="589" w:type="pct"/>
                  <w:shd w:val="clear" w:color="auto" w:fill="auto"/>
                  <w:vAlign w:val="center"/>
                </w:tcPr>
                <w:p w14:paraId="49A987B8">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07C86D0C">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LD</w:t>
                  </w:r>
                  <w:r>
                    <w:rPr>
                      <w:color w:val="auto"/>
                      <w:sz w:val="18"/>
                      <w:szCs w:val="18"/>
                      <w:vertAlign w:val="subscript"/>
                    </w:rPr>
                    <w:t>50</w:t>
                  </w:r>
                  <w:r>
                    <w:rPr>
                      <w:color w:val="auto"/>
                      <w:sz w:val="18"/>
                      <w:szCs w:val="18"/>
                    </w:rPr>
                    <w:t>：689 mg/kg（大鼠经口）</w:t>
                  </w:r>
                </w:p>
              </w:tc>
            </w:tr>
            <w:tr w14:paraId="1CB7B5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7E18FBCC">
                  <w:pPr>
                    <w:adjustRightInd w:val="0"/>
                    <w:snapToGrid w:val="0"/>
                    <w:jc w:val="center"/>
                    <w:rPr>
                      <w:color w:val="auto"/>
                      <w:sz w:val="18"/>
                      <w:szCs w:val="18"/>
                    </w:rPr>
                  </w:pPr>
                  <w:r>
                    <w:rPr>
                      <w:color w:val="auto"/>
                      <w:sz w:val="18"/>
                      <w:szCs w:val="18"/>
                    </w:rPr>
                    <w:t>18</w:t>
                  </w:r>
                </w:p>
              </w:tc>
              <w:tc>
                <w:tcPr>
                  <w:tcW w:w="706" w:type="pct"/>
                  <w:shd w:val="clear" w:color="auto" w:fill="auto"/>
                  <w:vAlign w:val="center"/>
                </w:tcPr>
                <w:p w14:paraId="1F80CD3A">
                  <w:pPr>
                    <w:jc w:val="center"/>
                    <w:rPr>
                      <w:rFonts w:ascii="Times New Roman" w:hAnsi="Times New Roman" w:eastAsia="宋体" w:cs="Times New Roman"/>
                      <w:color w:val="auto"/>
                      <w:kern w:val="2"/>
                      <w:sz w:val="18"/>
                      <w:szCs w:val="18"/>
                      <w:lang w:val="en-US" w:eastAsia="zh-CN" w:bidi="ar-SA"/>
                    </w:rPr>
                  </w:pPr>
                  <w:r>
                    <w:rPr>
                      <w:color w:val="auto"/>
                      <w:sz w:val="18"/>
                      <w:szCs w:val="18"/>
                    </w:rPr>
                    <w:t>铬酸钾</w:t>
                  </w:r>
                </w:p>
              </w:tc>
              <w:tc>
                <w:tcPr>
                  <w:tcW w:w="2508" w:type="pct"/>
                  <w:shd w:val="clear" w:color="auto" w:fill="auto"/>
                  <w:vAlign w:val="center"/>
                </w:tcPr>
                <w:p w14:paraId="2B4DF753">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黄色结晶性粉末。溶于水、不溶于乙醇。密度：2.732g/cm</w:t>
                  </w:r>
                  <w:r>
                    <w:rPr>
                      <w:color w:val="auto"/>
                      <w:sz w:val="18"/>
                      <w:szCs w:val="18"/>
                      <w:vertAlign w:val="superscript"/>
                    </w:rPr>
                    <w:t>3</w:t>
                  </w:r>
                  <w:r>
                    <w:rPr>
                      <w:color w:val="auto"/>
                      <w:sz w:val="18"/>
                      <w:szCs w:val="18"/>
                    </w:rPr>
                    <w:t>。熔点：971°C。</w:t>
                  </w:r>
                </w:p>
              </w:tc>
              <w:tc>
                <w:tcPr>
                  <w:tcW w:w="589" w:type="pct"/>
                  <w:shd w:val="clear" w:color="auto" w:fill="auto"/>
                  <w:vAlign w:val="center"/>
                </w:tcPr>
                <w:p w14:paraId="6915E90A">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089A2630">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r>
            <w:tr w14:paraId="180D65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4EAAE8EE">
                  <w:pPr>
                    <w:adjustRightInd w:val="0"/>
                    <w:snapToGrid w:val="0"/>
                    <w:jc w:val="center"/>
                    <w:rPr>
                      <w:color w:val="auto"/>
                      <w:sz w:val="18"/>
                      <w:szCs w:val="18"/>
                    </w:rPr>
                  </w:pPr>
                  <w:r>
                    <w:rPr>
                      <w:color w:val="auto"/>
                      <w:sz w:val="18"/>
                      <w:szCs w:val="18"/>
                    </w:rPr>
                    <w:t>19</w:t>
                  </w:r>
                </w:p>
              </w:tc>
              <w:tc>
                <w:tcPr>
                  <w:tcW w:w="706" w:type="pct"/>
                  <w:shd w:val="clear" w:color="auto" w:fill="auto"/>
                  <w:vAlign w:val="center"/>
                </w:tcPr>
                <w:p w14:paraId="0DB6C76F">
                  <w:pPr>
                    <w:jc w:val="center"/>
                    <w:rPr>
                      <w:rFonts w:ascii="Times New Roman" w:hAnsi="Times New Roman" w:eastAsia="宋体" w:cs="Times New Roman"/>
                      <w:color w:val="auto"/>
                      <w:kern w:val="2"/>
                      <w:sz w:val="18"/>
                      <w:szCs w:val="18"/>
                      <w:lang w:val="en-US" w:eastAsia="zh-CN" w:bidi="ar-SA"/>
                    </w:rPr>
                  </w:pPr>
                  <w:r>
                    <w:rPr>
                      <w:color w:val="auto"/>
                      <w:sz w:val="18"/>
                      <w:szCs w:val="18"/>
                    </w:rPr>
                    <w:t>碘化钾</w:t>
                  </w:r>
                </w:p>
              </w:tc>
              <w:tc>
                <w:tcPr>
                  <w:tcW w:w="2508" w:type="pct"/>
                  <w:shd w:val="clear" w:color="auto" w:fill="auto"/>
                  <w:vAlign w:val="center"/>
                </w:tcPr>
                <w:p w14:paraId="380DA00D">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无色或白色晶体，密度3.13g/cm</w:t>
                  </w:r>
                  <w:r>
                    <w:rPr>
                      <w:color w:val="auto"/>
                      <w:sz w:val="18"/>
                      <w:szCs w:val="18"/>
                      <w:vertAlign w:val="superscript"/>
                    </w:rPr>
                    <w:t>3</w:t>
                  </w:r>
                  <w:r>
                    <w:rPr>
                      <w:color w:val="auto"/>
                      <w:sz w:val="18"/>
                      <w:szCs w:val="18"/>
                    </w:rPr>
                    <w:t>，熔点680℃，沸点1345℃，易溶于水和乙醇。</w:t>
                  </w:r>
                </w:p>
              </w:tc>
              <w:tc>
                <w:tcPr>
                  <w:tcW w:w="589" w:type="pct"/>
                  <w:shd w:val="clear" w:color="auto" w:fill="auto"/>
                  <w:vAlign w:val="center"/>
                </w:tcPr>
                <w:p w14:paraId="7DC1EB6F">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137203ED">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r>
            <w:tr w14:paraId="604D54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5501873E">
                  <w:pPr>
                    <w:adjustRightInd w:val="0"/>
                    <w:snapToGrid w:val="0"/>
                    <w:jc w:val="center"/>
                    <w:rPr>
                      <w:color w:val="auto"/>
                      <w:sz w:val="18"/>
                      <w:szCs w:val="18"/>
                    </w:rPr>
                  </w:pPr>
                  <w:r>
                    <w:rPr>
                      <w:color w:val="auto"/>
                      <w:sz w:val="18"/>
                      <w:szCs w:val="18"/>
                    </w:rPr>
                    <w:t>20</w:t>
                  </w:r>
                </w:p>
              </w:tc>
              <w:tc>
                <w:tcPr>
                  <w:tcW w:w="706" w:type="pct"/>
                  <w:shd w:val="clear" w:color="auto" w:fill="auto"/>
                  <w:vAlign w:val="center"/>
                </w:tcPr>
                <w:p w14:paraId="36AE2B9E">
                  <w:pPr>
                    <w:jc w:val="center"/>
                    <w:rPr>
                      <w:rFonts w:ascii="Times New Roman" w:hAnsi="Times New Roman" w:eastAsia="宋体" w:cs="Times New Roman"/>
                      <w:color w:val="auto"/>
                      <w:kern w:val="2"/>
                      <w:sz w:val="18"/>
                      <w:szCs w:val="18"/>
                      <w:lang w:val="en-US" w:eastAsia="zh-CN" w:bidi="ar-SA"/>
                    </w:rPr>
                  </w:pPr>
                  <w:r>
                    <w:rPr>
                      <w:color w:val="auto"/>
                      <w:sz w:val="18"/>
                      <w:szCs w:val="18"/>
                    </w:rPr>
                    <w:t>碘酸钾</w:t>
                  </w:r>
                </w:p>
              </w:tc>
              <w:tc>
                <w:tcPr>
                  <w:tcW w:w="2508" w:type="pct"/>
                  <w:shd w:val="clear" w:color="auto" w:fill="auto"/>
                  <w:vAlign w:val="center"/>
                </w:tcPr>
                <w:p w14:paraId="52CC1AEC">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白色结晶性粉末。溶于水、稀硫酸，溶于碘化钾溶液，不溶于乙醇、液氨。熔点：560℃（分解）。密度：3.93g/cm</w:t>
                  </w:r>
                  <w:r>
                    <w:rPr>
                      <w:color w:val="auto"/>
                      <w:sz w:val="18"/>
                      <w:szCs w:val="18"/>
                      <w:vertAlign w:val="superscript"/>
                    </w:rPr>
                    <w:t>3</w:t>
                  </w:r>
                </w:p>
              </w:tc>
              <w:tc>
                <w:tcPr>
                  <w:tcW w:w="589" w:type="pct"/>
                  <w:shd w:val="clear" w:color="auto" w:fill="auto"/>
                  <w:vAlign w:val="center"/>
                </w:tcPr>
                <w:p w14:paraId="7B31B75B">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3D542647">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r>
            <w:tr w14:paraId="09641C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11A8C886">
                  <w:pPr>
                    <w:adjustRightInd w:val="0"/>
                    <w:snapToGrid w:val="0"/>
                    <w:jc w:val="center"/>
                    <w:rPr>
                      <w:color w:val="auto"/>
                      <w:sz w:val="18"/>
                      <w:szCs w:val="18"/>
                    </w:rPr>
                  </w:pPr>
                  <w:r>
                    <w:rPr>
                      <w:color w:val="auto"/>
                      <w:sz w:val="18"/>
                      <w:szCs w:val="18"/>
                    </w:rPr>
                    <w:t>21</w:t>
                  </w:r>
                </w:p>
              </w:tc>
              <w:tc>
                <w:tcPr>
                  <w:tcW w:w="706" w:type="pct"/>
                  <w:shd w:val="clear" w:color="auto" w:fill="auto"/>
                  <w:vAlign w:val="center"/>
                </w:tcPr>
                <w:p w14:paraId="13218464">
                  <w:pPr>
                    <w:jc w:val="center"/>
                    <w:rPr>
                      <w:rFonts w:ascii="Times New Roman" w:hAnsi="Times New Roman" w:eastAsia="宋体" w:cs="Times New Roman"/>
                      <w:color w:val="auto"/>
                      <w:kern w:val="2"/>
                      <w:sz w:val="18"/>
                      <w:szCs w:val="18"/>
                      <w:lang w:val="en-US" w:eastAsia="zh-CN" w:bidi="ar-SA"/>
                    </w:rPr>
                  </w:pPr>
                  <w:r>
                    <w:rPr>
                      <w:color w:val="auto"/>
                      <w:sz w:val="18"/>
                      <w:szCs w:val="18"/>
                    </w:rPr>
                    <w:t>碘酸氢钾</w:t>
                  </w:r>
                </w:p>
              </w:tc>
              <w:tc>
                <w:tcPr>
                  <w:tcW w:w="2508" w:type="pct"/>
                  <w:shd w:val="clear" w:color="auto" w:fill="auto"/>
                  <w:vAlign w:val="center"/>
                </w:tcPr>
                <w:p w14:paraId="07E09D4A">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白色结晶性粉末。微溶于冷水，溶于热水，不溶于乙醇。</w:t>
                  </w:r>
                </w:p>
              </w:tc>
              <w:tc>
                <w:tcPr>
                  <w:tcW w:w="589" w:type="pct"/>
                  <w:shd w:val="clear" w:color="auto" w:fill="auto"/>
                  <w:vAlign w:val="center"/>
                </w:tcPr>
                <w:p w14:paraId="4EFED2C2">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20E84321">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r>
            <w:tr w14:paraId="7AB822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60B8BAC6">
                  <w:pPr>
                    <w:adjustRightInd w:val="0"/>
                    <w:snapToGrid w:val="0"/>
                    <w:jc w:val="center"/>
                    <w:rPr>
                      <w:color w:val="auto"/>
                      <w:sz w:val="18"/>
                      <w:szCs w:val="18"/>
                    </w:rPr>
                  </w:pPr>
                  <w:r>
                    <w:rPr>
                      <w:color w:val="auto"/>
                      <w:sz w:val="18"/>
                      <w:szCs w:val="18"/>
                    </w:rPr>
                    <w:t>22</w:t>
                  </w:r>
                </w:p>
              </w:tc>
              <w:tc>
                <w:tcPr>
                  <w:tcW w:w="706" w:type="pct"/>
                  <w:shd w:val="clear" w:color="auto" w:fill="auto"/>
                  <w:vAlign w:val="center"/>
                </w:tcPr>
                <w:p w14:paraId="29E225DB">
                  <w:pPr>
                    <w:jc w:val="center"/>
                    <w:rPr>
                      <w:rFonts w:ascii="Times New Roman" w:hAnsi="Times New Roman" w:eastAsia="宋体" w:cs="Times New Roman"/>
                      <w:color w:val="auto"/>
                      <w:kern w:val="2"/>
                      <w:sz w:val="18"/>
                      <w:szCs w:val="18"/>
                      <w:lang w:val="en-US" w:eastAsia="zh-CN" w:bidi="ar-SA"/>
                    </w:rPr>
                  </w:pPr>
                  <w:r>
                    <w:rPr>
                      <w:color w:val="auto"/>
                      <w:sz w:val="18"/>
                      <w:szCs w:val="18"/>
                    </w:rPr>
                    <w:t>溴化钾</w:t>
                  </w:r>
                </w:p>
              </w:tc>
              <w:tc>
                <w:tcPr>
                  <w:tcW w:w="2508" w:type="pct"/>
                  <w:shd w:val="clear" w:color="auto" w:fill="auto"/>
                  <w:vAlign w:val="center"/>
                </w:tcPr>
                <w:p w14:paraId="63D319EC">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无色立方晶体。无臭，味咸而微苦。密度：2.75g/cm</w:t>
                  </w:r>
                  <w:r>
                    <w:rPr>
                      <w:color w:val="auto"/>
                      <w:sz w:val="18"/>
                      <w:szCs w:val="18"/>
                      <w:vertAlign w:val="superscript"/>
                    </w:rPr>
                    <w:t>3</w:t>
                  </w:r>
                  <w:r>
                    <w:rPr>
                      <w:color w:val="auto"/>
                      <w:sz w:val="18"/>
                      <w:szCs w:val="18"/>
                    </w:rPr>
                    <w:t>（固）。熔点：734℃（1007K）。沸点：1435℃（1708K），水中溶解度：53.5g/100ml（0℃）。溶于水和甘油，微溶于乙醇和乙醚。水溶液呈中性。</w:t>
                  </w:r>
                </w:p>
              </w:tc>
              <w:tc>
                <w:tcPr>
                  <w:tcW w:w="589" w:type="pct"/>
                  <w:shd w:val="clear" w:color="auto" w:fill="auto"/>
                  <w:vAlign w:val="center"/>
                </w:tcPr>
                <w:p w14:paraId="34966AFF">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09938092">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r>
            <w:tr w14:paraId="6DDE15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051FC4CC">
                  <w:pPr>
                    <w:adjustRightInd w:val="0"/>
                    <w:snapToGrid w:val="0"/>
                    <w:jc w:val="center"/>
                    <w:rPr>
                      <w:color w:val="auto"/>
                      <w:sz w:val="18"/>
                      <w:szCs w:val="18"/>
                    </w:rPr>
                  </w:pPr>
                  <w:r>
                    <w:rPr>
                      <w:color w:val="auto"/>
                      <w:sz w:val="18"/>
                      <w:szCs w:val="18"/>
                    </w:rPr>
                    <w:t>23</w:t>
                  </w:r>
                </w:p>
              </w:tc>
              <w:tc>
                <w:tcPr>
                  <w:tcW w:w="706" w:type="pct"/>
                  <w:shd w:val="clear" w:color="auto" w:fill="auto"/>
                  <w:vAlign w:val="center"/>
                </w:tcPr>
                <w:p w14:paraId="2ECD87AC">
                  <w:pPr>
                    <w:jc w:val="center"/>
                    <w:rPr>
                      <w:rFonts w:ascii="Times New Roman" w:hAnsi="Times New Roman" w:eastAsia="宋体" w:cs="Times New Roman"/>
                      <w:color w:val="auto"/>
                      <w:kern w:val="2"/>
                      <w:sz w:val="18"/>
                      <w:szCs w:val="18"/>
                      <w:lang w:val="en-US" w:eastAsia="zh-CN" w:bidi="ar-SA"/>
                    </w:rPr>
                  </w:pPr>
                  <w:r>
                    <w:rPr>
                      <w:color w:val="auto"/>
                      <w:sz w:val="18"/>
                      <w:szCs w:val="18"/>
                    </w:rPr>
                    <w:t>二氧化锰</w:t>
                  </w:r>
                </w:p>
              </w:tc>
              <w:tc>
                <w:tcPr>
                  <w:tcW w:w="2508" w:type="pct"/>
                  <w:shd w:val="clear" w:color="auto" w:fill="auto"/>
                  <w:vAlign w:val="center"/>
                </w:tcPr>
                <w:p w14:paraId="1DDAA8DA">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黑色无定形粉末或黑色斜方晶体。不溶于水，熔点：535℃，密度：5.03g/cm</w:t>
                  </w:r>
                  <w:r>
                    <w:rPr>
                      <w:color w:val="auto"/>
                      <w:sz w:val="18"/>
                      <w:szCs w:val="18"/>
                      <w:vertAlign w:val="superscript"/>
                    </w:rPr>
                    <w:t>3</w:t>
                  </w:r>
                </w:p>
              </w:tc>
              <w:tc>
                <w:tcPr>
                  <w:tcW w:w="589" w:type="pct"/>
                  <w:shd w:val="clear" w:color="auto" w:fill="auto"/>
                  <w:vAlign w:val="center"/>
                </w:tcPr>
                <w:p w14:paraId="688C8517">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71DAB1A6">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r>
            <w:tr w14:paraId="207212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7BECCF5B">
                  <w:pPr>
                    <w:adjustRightInd w:val="0"/>
                    <w:snapToGrid w:val="0"/>
                    <w:jc w:val="center"/>
                    <w:rPr>
                      <w:color w:val="auto"/>
                      <w:sz w:val="18"/>
                      <w:szCs w:val="18"/>
                    </w:rPr>
                  </w:pPr>
                  <w:r>
                    <w:rPr>
                      <w:color w:val="auto"/>
                      <w:sz w:val="18"/>
                      <w:szCs w:val="18"/>
                    </w:rPr>
                    <w:t>24</w:t>
                  </w:r>
                </w:p>
              </w:tc>
              <w:tc>
                <w:tcPr>
                  <w:tcW w:w="706" w:type="pct"/>
                  <w:shd w:val="clear" w:color="auto" w:fill="auto"/>
                  <w:vAlign w:val="center"/>
                </w:tcPr>
                <w:p w14:paraId="46DBC4E1">
                  <w:pPr>
                    <w:jc w:val="center"/>
                    <w:rPr>
                      <w:rFonts w:ascii="Times New Roman" w:hAnsi="Times New Roman" w:eastAsia="宋体" w:cs="Times New Roman"/>
                      <w:color w:val="auto"/>
                      <w:kern w:val="2"/>
                      <w:sz w:val="18"/>
                      <w:szCs w:val="18"/>
                      <w:lang w:val="en-US" w:eastAsia="zh-CN" w:bidi="ar-SA"/>
                    </w:rPr>
                  </w:pPr>
                  <w:r>
                    <w:rPr>
                      <w:color w:val="auto"/>
                      <w:sz w:val="18"/>
                      <w:szCs w:val="18"/>
                    </w:rPr>
                    <w:t>氯化钙</w:t>
                  </w:r>
                </w:p>
              </w:tc>
              <w:tc>
                <w:tcPr>
                  <w:tcW w:w="2508" w:type="pct"/>
                  <w:shd w:val="clear" w:color="auto" w:fill="auto"/>
                  <w:vAlign w:val="center"/>
                </w:tcPr>
                <w:p w14:paraId="781CB816">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无色立方结晶体，白色或灰白色，有粒状、蜂窝块状、圆球状、不规则颗粒状、粉末状。微毒、无臭、味微苦。暴露于空气中极易潮解。易溶于水。氯化钙水溶液呈中性。易溶于多种极性、质子性溶剂。</w:t>
                  </w:r>
                </w:p>
              </w:tc>
              <w:tc>
                <w:tcPr>
                  <w:tcW w:w="589" w:type="pct"/>
                  <w:shd w:val="clear" w:color="auto" w:fill="auto"/>
                  <w:vAlign w:val="center"/>
                </w:tcPr>
                <w:p w14:paraId="00CF27B8">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26337DE9">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LD</w:t>
                  </w:r>
                  <w:r>
                    <w:rPr>
                      <w:color w:val="auto"/>
                      <w:sz w:val="18"/>
                      <w:szCs w:val="18"/>
                      <w:vertAlign w:val="subscript"/>
                    </w:rPr>
                    <w:t>50</w:t>
                  </w:r>
                  <w:r>
                    <w:rPr>
                      <w:color w:val="auto"/>
                      <w:sz w:val="18"/>
                      <w:szCs w:val="18"/>
                    </w:rPr>
                    <w:t>：42mg/kg（小鼠静脉注射）</w:t>
                  </w:r>
                </w:p>
              </w:tc>
            </w:tr>
            <w:tr w14:paraId="111818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53459964">
                  <w:pPr>
                    <w:adjustRightInd w:val="0"/>
                    <w:snapToGrid w:val="0"/>
                    <w:jc w:val="center"/>
                    <w:rPr>
                      <w:color w:val="auto"/>
                      <w:sz w:val="18"/>
                      <w:szCs w:val="18"/>
                    </w:rPr>
                  </w:pPr>
                  <w:r>
                    <w:rPr>
                      <w:color w:val="auto"/>
                      <w:sz w:val="18"/>
                      <w:szCs w:val="18"/>
                    </w:rPr>
                    <w:t>25</w:t>
                  </w:r>
                </w:p>
              </w:tc>
              <w:tc>
                <w:tcPr>
                  <w:tcW w:w="706" w:type="pct"/>
                  <w:shd w:val="clear" w:color="auto" w:fill="auto"/>
                  <w:vAlign w:val="center"/>
                </w:tcPr>
                <w:p w14:paraId="301A606B">
                  <w:pPr>
                    <w:jc w:val="center"/>
                    <w:rPr>
                      <w:rFonts w:ascii="Times New Roman" w:hAnsi="Times New Roman" w:eastAsia="宋体" w:cs="Times New Roman"/>
                      <w:color w:val="auto"/>
                      <w:kern w:val="2"/>
                      <w:sz w:val="18"/>
                      <w:szCs w:val="18"/>
                      <w:lang w:val="en-US" w:eastAsia="zh-CN" w:bidi="ar-SA"/>
                    </w:rPr>
                  </w:pPr>
                  <w:r>
                    <w:rPr>
                      <w:color w:val="auto"/>
                      <w:sz w:val="18"/>
                      <w:szCs w:val="18"/>
                    </w:rPr>
                    <w:t>氯化钴</w:t>
                  </w:r>
                </w:p>
              </w:tc>
              <w:tc>
                <w:tcPr>
                  <w:tcW w:w="2508" w:type="pct"/>
                  <w:shd w:val="clear" w:color="auto" w:fill="auto"/>
                  <w:vAlign w:val="center"/>
                </w:tcPr>
                <w:p w14:paraId="7EF1A4CF">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蓝色结晶性粉末。溶于水及乙醇、丙酮等有机溶剂。密度：3.35g/cm</w:t>
                  </w:r>
                  <w:r>
                    <w:rPr>
                      <w:color w:val="auto"/>
                      <w:sz w:val="18"/>
                      <w:szCs w:val="18"/>
                      <w:vertAlign w:val="superscript"/>
                    </w:rPr>
                    <w:t>3</w:t>
                  </w:r>
                  <w:r>
                    <w:rPr>
                      <w:color w:val="auto"/>
                      <w:sz w:val="18"/>
                      <w:szCs w:val="18"/>
                    </w:rPr>
                    <w:t>。熔点：735℃。沸点：1049℃。蒸汽压：33900mmHg at 25℃。</w:t>
                  </w:r>
                </w:p>
              </w:tc>
              <w:tc>
                <w:tcPr>
                  <w:tcW w:w="589" w:type="pct"/>
                  <w:shd w:val="clear" w:color="auto" w:fill="auto"/>
                  <w:vAlign w:val="center"/>
                </w:tcPr>
                <w:p w14:paraId="174CA565">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7271C178">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LD</w:t>
                  </w:r>
                  <w:r>
                    <w:rPr>
                      <w:color w:val="auto"/>
                      <w:sz w:val="18"/>
                      <w:szCs w:val="18"/>
                      <w:vertAlign w:val="subscript"/>
                    </w:rPr>
                    <w:t>50</w:t>
                  </w:r>
                  <w:r>
                    <w:rPr>
                      <w:color w:val="auto"/>
                      <w:sz w:val="18"/>
                      <w:szCs w:val="18"/>
                    </w:rPr>
                    <w:t>：80mg/kg（大鼠经口）</w:t>
                  </w:r>
                </w:p>
              </w:tc>
            </w:tr>
            <w:tr w14:paraId="1A60F8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64623D18">
                  <w:pPr>
                    <w:adjustRightInd w:val="0"/>
                    <w:snapToGrid w:val="0"/>
                    <w:jc w:val="center"/>
                    <w:rPr>
                      <w:color w:val="auto"/>
                      <w:sz w:val="18"/>
                      <w:szCs w:val="18"/>
                    </w:rPr>
                  </w:pPr>
                  <w:r>
                    <w:rPr>
                      <w:color w:val="auto"/>
                      <w:sz w:val="18"/>
                      <w:szCs w:val="18"/>
                    </w:rPr>
                    <w:t>26</w:t>
                  </w:r>
                </w:p>
              </w:tc>
              <w:tc>
                <w:tcPr>
                  <w:tcW w:w="706" w:type="pct"/>
                  <w:shd w:val="clear" w:color="auto" w:fill="auto"/>
                  <w:vAlign w:val="center"/>
                </w:tcPr>
                <w:p w14:paraId="27CEA7C6">
                  <w:pPr>
                    <w:jc w:val="center"/>
                    <w:rPr>
                      <w:rFonts w:ascii="Times New Roman" w:hAnsi="Times New Roman" w:eastAsia="宋体" w:cs="Times New Roman"/>
                      <w:color w:val="auto"/>
                      <w:kern w:val="2"/>
                      <w:sz w:val="18"/>
                      <w:szCs w:val="18"/>
                      <w:lang w:val="en-US" w:eastAsia="zh-CN" w:bidi="ar-SA"/>
                    </w:rPr>
                  </w:pPr>
                  <w:r>
                    <w:rPr>
                      <w:color w:val="auto"/>
                      <w:sz w:val="18"/>
                      <w:szCs w:val="18"/>
                    </w:rPr>
                    <w:t>氯化铁</w:t>
                  </w:r>
                </w:p>
              </w:tc>
              <w:tc>
                <w:tcPr>
                  <w:tcW w:w="2508" w:type="pct"/>
                  <w:shd w:val="clear" w:color="auto" w:fill="auto"/>
                  <w:vAlign w:val="center"/>
                </w:tcPr>
                <w:p w14:paraId="3E07198B">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氯化铁的外观为黑棕色结晶（亦有薄片状），易溶于水、甲醇、乙醇、丙酮、乙醚，溶于液体二氧化硫、三溴化磷、三氯氧磷、乙胺、苯胺，微溶于二硫化碳，不溶于甘油。密度2.8g/cm</w:t>
                  </w:r>
                  <w:r>
                    <w:rPr>
                      <w:color w:val="auto"/>
                      <w:sz w:val="18"/>
                      <w:szCs w:val="18"/>
                      <w:vertAlign w:val="superscript"/>
                    </w:rPr>
                    <w:t>3</w:t>
                  </w:r>
                  <w:r>
                    <w:rPr>
                      <w:color w:val="auto"/>
                      <w:sz w:val="18"/>
                      <w:szCs w:val="18"/>
                    </w:rPr>
                    <w:t>。熔点304°C。沸点316°C。</w:t>
                  </w:r>
                </w:p>
              </w:tc>
              <w:tc>
                <w:tcPr>
                  <w:tcW w:w="589" w:type="pct"/>
                  <w:shd w:val="clear" w:color="auto" w:fill="auto"/>
                  <w:vAlign w:val="center"/>
                </w:tcPr>
                <w:p w14:paraId="316BAF55">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0B320E73">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LD</w:t>
                  </w:r>
                  <w:r>
                    <w:rPr>
                      <w:color w:val="auto"/>
                      <w:sz w:val="18"/>
                      <w:szCs w:val="18"/>
                      <w:vertAlign w:val="subscript"/>
                    </w:rPr>
                    <w:t>50</w:t>
                  </w:r>
                  <w:r>
                    <w:rPr>
                      <w:color w:val="auto"/>
                      <w:sz w:val="18"/>
                      <w:szCs w:val="18"/>
                    </w:rPr>
                    <w:t>：1872mg/kg（大鼠经口）</w:t>
                  </w:r>
                </w:p>
              </w:tc>
            </w:tr>
            <w:tr w14:paraId="59A381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152D9625">
                  <w:pPr>
                    <w:adjustRightInd w:val="0"/>
                    <w:snapToGrid w:val="0"/>
                    <w:jc w:val="center"/>
                    <w:rPr>
                      <w:color w:val="auto"/>
                      <w:sz w:val="18"/>
                      <w:szCs w:val="18"/>
                    </w:rPr>
                  </w:pPr>
                  <w:r>
                    <w:rPr>
                      <w:color w:val="auto"/>
                      <w:sz w:val="18"/>
                      <w:szCs w:val="18"/>
                    </w:rPr>
                    <w:t>27</w:t>
                  </w:r>
                </w:p>
              </w:tc>
              <w:tc>
                <w:tcPr>
                  <w:tcW w:w="706" w:type="pct"/>
                  <w:shd w:val="clear" w:color="auto" w:fill="auto"/>
                  <w:vAlign w:val="center"/>
                </w:tcPr>
                <w:p w14:paraId="10E5C264">
                  <w:pPr>
                    <w:jc w:val="center"/>
                    <w:rPr>
                      <w:rFonts w:ascii="Times New Roman" w:hAnsi="Times New Roman" w:eastAsia="宋体" w:cs="Times New Roman"/>
                      <w:color w:val="auto"/>
                      <w:kern w:val="2"/>
                      <w:sz w:val="18"/>
                      <w:szCs w:val="18"/>
                      <w:lang w:val="en-US" w:eastAsia="zh-CN" w:bidi="ar-SA"/>
                    </w:rPr>
                  </w:pPr>
                  <w:r>
                    <w:rPr>
                      <w:color w:val="auto"/>
                      <w:sz w:val="18"/>
                      <w:szCs w:val="18"/>
                    </w:rPr>
                    <w:t>氯化亚铁</w:t>
                  </w:r>
                </w:p>
              </w:tc>
              <w:tc>
                <w:tcPr>
                  <w:tcW w:w="2508" w:type="pct"/>
                  <w:shd w:val="clear" w:color="auto" w:fill="auto"/>
                  <w:vAlign w:val="center"/>
                </w:tcPr>
                <w:p w14:paraId="595F2B9A">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灰绿色或蓝绿色单斜结晶或结晶性粉末。易吸湿。在空气中易被氧化成碱式氯化高铁，约在105～115℃时失去2分子结晶水。溶于水和乙醇，微溶于丙酮不溶于乙醚相对密度1.93。熔点74℃(无水)。</w:t>
                  </w:r>
                </w:p>
              </w:tc>
              <w:tc>
                <w:tcPr>
                  <w:tcW w:w="589" w:type="pct"/>
                  <w:shd w:val="clear" w:color="auto" w:fill="auto"/>
                  <w:vAlign w:val="center"/>
                </w:tcPr>
                <w:p w14:paraId="33189268">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50B562FE">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LD</w:t>
                  </w:r>
                  <w:r>
                    <w:rPr>
                      <w:color w:val="auto"/>
                      <w:sz w:val="18"/>
                      <w:szCs w:val="18"/>
                      <w:vertAlign w:val="subscript"/>
                    </w:rPr>
                    <w:t>50</w:t>
                  </w:r>
                  <w:r>
                    <w:rPr>
                      <w:color w:val="auto"/>
                      <w:sz w:val="18"/>
                      <w:szCs w:val="18"/>
                    </w:rPr>
                    <w:t>：59mg/kg（</w:t>
                  </w:r>
                  <w:r>
                    <w:rPr>
                      <w:rFonts w:eastAsia="Helvetica"/>
                      <w:color w:val="auto"/>
                      <w:sz w:val="18"/>
                      <w:szCs w:val="18"/>
                      <w:shd w:val="clear" w:color="auto" w:fill="FFFFFF"/>
                    </w:rPr>
                    <w:t>小鼠，腹腔</w:t>
                  </w:r>
                  <w:r>
                    <w:rPr>
                      <w:color w:val="auto"/>
                      <w:sz w:val="18"/>
                      <w:szCs w:val="18"/>
                    </w:rPr>
                    <w:t>）；LD</w:t>
                  </w:r>
                  <w:r>
                    <w:rPr>
                      <w:color w:val="auto"/>
                      <w:sz w:val="18"/>
                      <w:szCs w:val="18"/>
                      <w:vertAlign w:val="subscript"/>
                    </w:rPr>
                    <w:t>50</w:t>
                  </w:r>
                  <w:r>
                    <w:rPr>
                      <w:color w:val="auto"/>
                      <w:sz w:val="18"/>
                      <w:szCs w:val="18"/>
                    </w:rPr>
                    <w:t xml:space="preserve"> （口服- 大鼠） 450 mg/ kg</w:t>
                  </w:r>
                </w:p>
              </w:tc>
            </w:tr>
            <w:tr w14:paraId="283C44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70AB82BB">
                  <w:pPr>
                    <w:adjustRightInd w:val="0"/>
                    <w:snapToGrid w:val="0"/>
                    <w:jc w:val="center"/>
                    <w:rPr>
                      <w:color w:val="auto"/>
                      <w:sz w:val="18"/>
                      <w:szCs w:val="18"/>
                    </w:rPr>
                  </w:pPr>
                  <w:r>
                    <w:rPr>
                      <w:color w:val="auto"/>
                      <w:sz w:val="18"/>
                      <w:szCs w:val="18"/>
                    </w:rPr>
                    <w:t>28</w:t>
                  </w:r>
                </w:p>
              </w:tc>
              <w:tc>
                <w:tcPr>
                  <w:tcW w:w="706" w:type="pct"/>
                  <w:shd w:val="clear" w:color="auto" w:fill="auto"/>
                  <w:vAlign w:val="center"/>
                </w:tcPr>
                <w:p w14:paraId="7EC33677">
                  <w:pPr>
                    <w:jc w:val="center"/>
                    <w:rPr>
                      <w:rFonts w:ascii="Times New Roman" w:hAnsi="Times New Roman" w:eastAsia="宋体" w:cs="Times New Roman"/>
                      <w:color w:val="auto"/>
                      <w:kern w:val="2"/>
                      <w:sz w:val="18"/>
                      <w:szCs w:val="18"/>
                      <w:lang w:val="en-US" w:eastAsia="zh-CN" w:bidi="ar-SA"/>
                    </w:rPr>
                  </w:pPr>
                  <w:r>
                    <w:rPr>
                      <w:color w:val="auto"/>
                      <w:sz w:val="18"/>
                      <w:szCs w:val="18"/>
                    </w:rPr>
                    <w:t>氯化钾</w:t>
                  </w:r>
                </w:p>
              </w:tc>
              <w:tc>
                <w:tcPr>
                  <w:tcW w:w="2508" w:type="pct"/>
                  <w:shd w:val="clear" w:color="auto" w:fill="auto"/>
                  <w:vAlign w:val="center"/>
                </w:tcPr>
                <w:p w14:paraId="220D8139">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白色晶体，味极咸，无臭无毒性。易溶于水和甘油，微溶于醇，不溶于醚、丙酮和盐酸。有吸湿性，易结块。水溶解性：342g/L</w:t>
                  </w:r>
                  <w:r>
                    <w:rPr>
                      <w:rFonts w:hint="eastAsia"/>
                      <w:color w:val="auto"/>
                      <w:sz w:val="18"/>
                      <w:szCs w:val="18"/>
                    </w:rPr>
                    <w:t>（</w:t>
                  </w:r>
                  <w:r>
                    <w:rPr>
                      <w:color w:val="auto"/>
                      <w:sz w:val="18"/>
                      <w:szCs w:val="18"/>
                    </w:rPr>
                    <w:t>20 ºC</w:t>
                  </w:r>
                  <w:r>
                    <w:rPr>
                      <w:rFonts w:hint="eastAsia"/>
                      <w:color w:val="auto"/>
                      <w:sz w:val="18"/>
                      <w:szCs w:val="18"/>
                    </w:rPr>
                    <w:t>）</w:t>
                  </w:r>
                  <w:r>
                    <w:rPr>
                      <w:color w:val="auto"/>
                      <w:sz w:val="18"/>
                      <w:szCs w:val="18"/>
                    </w:rPr>
                    <w:t>，稳定性：稳定。与强氧化剂、强酸不相容。防潮。吸湿性。储存条件：2-8ºC。</w:t>
                  </w:r>
                </w:p>
              </w:tc>
              <w:tc>
                <w:tcPr>
                  <w:tcW w:w="589" w:type="pct"/>
                  <w:shd w:val="clear" w:color="auto" w:fill="auto"/>
                  <w:vAlign w:val="center"/>
                </w:tcPr>
                <w:p w14:paraId="7B232346">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0E0D1DC8">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LD</w:t>
                  </w:r>
                  <w:r>
                    <w:rPr>
                      <w:color w:val="auto"/>
                      <w:sz w:val="18"/>
                      <w:szCs w:val="18"/>
                      <w:vertAlign w:val="subscript"/>
                    </w:rPr>
                    <w:t>50</w:t>
                  </w:r>
                  <w:r>
                    <w:rPr>
                      <w:color w:val="auto"/>
                      <w:sz w:val="18"/>
                      <w:szCs w:val="18"/>
                    </w:rPr>
                    <w:t>：2600mg/kg</w:t>
                  </w:r>
                  <w:r>
                    <w:rPr>
                      <w:rFonts w:hint="eastAsia"/>
                      <w:color w:val="auto"/>
                      <w:sz w:val="18"/>
                      <w:szCs w:val="18"/>
                    </w:rPr>
                    <w:t>（</w:t>
                  </w:r>
                  <w:r>
                    <w:rPr>
                      <w:color w:val="auto"/>
                      <w:sz w:val="18"/>
                      <w:szCs w:val="18"/>
                    </w:rPr>
                    <w:t>大鼠，经口</w:t>
                  </w:r>
                  <w:r>
                    <w:rPr>
                      <w:rFonts w:hint="eastAsia"/>
                      <w:color w:val="auto"/>
                      <w:sz w:val="18"/>
                      <w:szCs w:val="18"/>
                    </w:rPr>
                    <w:t>）</w:t>
                  </w:r>
                </w:p>
              </w:tc>
            </w:tr>
            <w:tr w14:paraId="5FBFF7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2B0E1129">
                  <w:pPr>
                    <w:adjustRightInd w:val="0"/>
                    <w:snapToGrid w:val="0"/>
                    <w:jc w:val="center"/>
                    <w:rPr>
                      <w:color w:val="auto"/>
                      <w:sz w:val="18"/>
                      <w:szCs w:val="18"/>
                    </w:rPr>
                  </w:pPr>
                  <w:r>
                    <w:rPr>
                      <w:color w:val="auto"/>
                      <w:sz w:val="18"/>
                      <w:szCs w:val="18"/>
                    </w:rPr>
                    <w:t>29</w:t>
                  </w:r>
                </w:p>
              </w:tc>
              <w:tc>
                <w:tcPr>
                  <w:tcW w:w="706" w:type="pct"/>
                  <w:shd w:val="clear" w:color="auto" w:fill="auto"/>
                  <w:vAlign w:val="center"/>
                </w:tcPr>
                <w:p w14:paraId="55B518B3">
                  <w:pPr>
                    <w:jc w:val="center"/>
                    <w:rPr>
                      <w:rFonts w:ascii="Times New Roman" w:hAnsi="Times New Roman" w:eastAsia="宋体" w:cs="Times New Roman"/>
                      <w:color w:val="auto"/>
                      <w:kern w:val="2"/>
                      <w:sz w:val="18"/>
                      <w:szCs w:val="18"/>
                      <w:lang w:val="en-US" w:eastAsia="zh-CN" w:bidi="ar-SA"/>
                    </w:rPr>
                  </w:pPr>
                  <w:r>
                    <w:rPr>
                      <w:color w:val="auto"/>
                      <w:sz w:val="18"/>
                      <w:szCs w:val="18"/>
                    </w:rPr>
                    <w:t>氯化铵</w:t>
                  </w:r>
                </w:p>
              </w:tc>
              <w:tc>
                <w:tcPr>
                  <w:tcW w:w="2508" w:type="pct"/>
                  <w:shd w:val="clear" w:color="auto" w:fill="auto"/>
                  <w:vAlign w:val="center"/>
                </w:tcPr>
                <w:p w14:paraId="1F817DD2">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白色结晶固体，熔点：337.8℃，沸点 520℃，密度：1.527g/cm</w:t>
                  </w:r>
                  <w:r>
                    <w:rPr>
                      <w:color w:val="auto"/>
                      <w:sz w:val="18"/>
                      <w:szCs w:val="18"/>
                      <w:vertAlign w:val="superscript"/>
                    </w:rPr>
                    <w:t>3</w:t>
                  </w:r>
                  <w:r>
                    <w:rPr>
                      <w:color w:val="auto"/>
                      <w:sz w:val="18"/>
                      <w:szCs w:val="18"/>
                    </w:rPr>
                    <w:t>，是一种强电解质，溶于水、醇、甘油，不溶于丙酮、乙醚、乙酸乙酯。</w:t>
                  </w:r>
                </w:p>
              </w:tc>
              <w:tc>
                <w:tcPr>
                  <w:tcW w:w="589" w:type="pct"/>
                  <w:shd w:val="clear" w:color="auto" w:fill="auto"/>
                  <w:vAlign w:val="center"/>
                </w:tcPr>
                <w:p w14:paraId="45C49F41">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231E62C5">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口服-大鼠 LD</w:t>
                  </w:r>
                  <w:r>
                    <w:rPr>
                      <w:color w:val="auto"/>
                      <w:sz w:val="18"/>
                      <w:szCs w:val="18"/>
                      <w:vertAlign w:val="subscript"/>
                    </w:rPr>
                    <w:t>50</w:t>
                  </w:r>
                  <w:r>
                    <w:rPr>
                      <w:color w:val="auto"/>
                      <w:sz w:val="18"/>
                      <w:szCs w:val="18"/>
                    </w:rPr>
                    <w:t>：1650 mg/kg；口服-小鼠LD</w:t>
                  </w:r>
                  <w:r>
                    <w:rPr>
                      <w:color w:val="auto"/>
                      <w:sz w:val="18"/>
                      <w:szCs w:val="18"/>
                      <w:vertAlign w:val="subscript"/>
                    </w:rPr>
                    <w:t>50</w:t>
                  </w:r>
                  <w:r>
                    <w:rPr>
                      <w:color w:val="auto"/>
                      <w:sz w:val="18"/>
                      <w:szCs w:val="18"/>
                    </w:rPr>
                    <w:t>：1300 mg/kg</w:t>
                  </w:r>
                </w:p>
              </w:tc>
            </w:tr>
            <w:tr w14:paraId="73235F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62851FD0">
                  <w:pPr>
                    <w:adjustRightInd w:val="0"/>
                    <w:snapToGrid w:val="0"/>
                    <w:jc w:val="center"/>
                    <w:rPr>
                      <w:color w:val="auto"/>
                      <w:sz w:val="18"/>
                      <w:szCs w:val="18"/>
                    </w:rPr>
                  </w:pPr>
                  <w:r>
                    <w:rPr>
                      <w:color w:val="auto"/>
                      <w:sz w:val="18"/>
                      <w:szCs w:val="18"/>
                    </w:rPr>
                    <w:t>30</w:t>
                  </w:r>
                </w:p>
              </w:tc>
              <w:tc>
                <w:tcPr>
                  <w:tcW w:w="706" w:type="pct"/>
                  <w:shd w:val="clear" w:color="auto" w:fill="auto"/>
                  <w:vAlign w:val="center"/>
                </w:tcPr>
                <w:p w14:paraId="28226660">
                  <w:pPr>
                    <w:jc w:val="center"/>
                    <w:rPr>
                      <w:rFonts w:ascii="Times New Roman" w:hAnsi="Times New Roman" w:eastAsia="宋体" w:cs="Times New Roman"/>
                      <w:color w:val="auto"/>
                      <w:kern w:val="2"/>
                      <w:sz w:val="18"/>
                      <w:szCs w:val="18"/>
                      <w:lang w:val="en-US" w:eastAsia="zh-CN" w:bidi="ar-SA"/>
                    </w:rPr>
                  </w:pPr>
                  <w:r>
                    <w:rPr>
                      <w:color w:val="auto"/>
                      <w:sz w:val="18"/>
                      <w:szCs w:val="18"/>
                    </w:rPr>
                    <w:t>氯化镁</w:t>
                  </w:r>
                </w:p>
              </w:tc>
              <w:tc>
                <w:tcPr>
                  <w:tcW w:w="2508" w:type="pct"/>
                  <w:shd w:val="clear" w:color="auto" w:fill="auto"/>
                  <w:vAlign w:val="center"/>
                </w:tcPr>
                <w:p w14:paraId="4ABE355C">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无色片状晶体，属六方晶系。密度：2.323g/cm</w:t>
                  </w:r>
                  <w:r>
                    <w:rPr>
                      <w:color w:val="auto"/>
                      <w:sz w:val="18"/>
                      <w:szCs w:val="18"/>
                      <w:vertAlign w:val="superscript"/>
                    </w:rPr>
                    <w:t>3</w:t>
                  </w:r>
                  <w:r>
                    <w:rPr>
                      <w:color w:val="auto"/>
                      <w:sz w:val="18"/>
                      <w:szCs w:val="18"/>
                    </w:rPr>
                    <w:t>。熔点：714℃。沸点：1412℃。微溶于丙酮，溶于水、乙醇、甲醇、吡啶。</w:t>
                  </w:r>
                </w:p>
              </w:tc>
              <w:tc>
                <w:tcPr>
                  <w:tcW w:w="589" w:type="pct"/>
                  <w:shd w:val="clear" w:color="auto" w:fill="auto"/>
                  <w:vAlign w:val="center"/>
                </w:tcPr>
                <w:p w14:paraId="7E11E502">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0F8B6EB9">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shd w:val="clear" w:color="auto" w:fill="FFFFFF"/>
                    </w:rPr>
                    <w:t>LD</w:t>
                  </w:r>
                  <w:r>
                    <w:rPr>
                      <w:color w:val="auto"/>
                      <w:sz w:val="18"/>
                      <w:szCs w:val="18"/>
                      <w:shd w:val="clear" w:color="auto" w:fill="FFFFFF"/>
                      <w:vertAlign w:val="subscript"/>
                    </w:rPr>
                    <w:t>50</w:t>
                  </w:r>
                  <w:r>
                    <w:rPr>
                      <w:color w:val="auto"/>
                      <w:sz w:val="18"/>
                      <w:szCs w:val="18"/>
                      <w:shd w:val="clear" w:color="auto" w:fill="FFFFFF"/>
                    </w:rPr>
                    <w:t>：2800 mg/kg(大鼠经口)。</w:t>
                  </w:r>
                </w:p>
              </w:tc>
            </w:tr>
            <w:tr w14:paraId="259E57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2F0F2AF0">
                  <w:pPr>
                    <w:adjustRightInd w:val="0"/>
                    <w:snapToGrid w:val="0"/>
                    <w:jc w:val="center"/>
                    <w:rPr>
                      <w:color w:val="auto"/>
                      <w:sz w:val="18"/>
                      <w:szCs w:val="18"/>
                    </w:rPr>
                  </w:pPr>
                  <w:r>
                    <w:rPr>
                      <w:color w:val="auto"/>
                      <w:sz w:val="18"/>
                      <w:szCs w:val="18"/>
                    </w:rPr>
                    <w:t>31</w:t>
                  </w:r>
                </w:p>
              </w:tc>
              <w:tc>
                <w:tcPr>
                  <w:tcW w:w="706" w:type="pct"/>
                  <w:shd w:val="clear" w:color="auto" w:fill="auto"/>
                  <w:vAlign w:val="center"/>
                </w:tcPr>
                <w:p w14:paraId="73EF083C">
                  <w:pPr>
                    <w:jc w:val="center"/>
                    <w:rPr>
                      <w:rFonts w:ascii="Times New Roman" w:hAnsi="Times New Roman" w:eastAsia="宋体" w:cs="Times New Roman"/>
                      <w:color w:val="auto"/>
                      <w:kern w:val="2"/>
                      <w:sz w:val="18"/>
                      <w:szCs w:val="18"/>
                      <w:lang w:val="en-US" w:eastAsia="zh-CN" w:bidi="ar-SA"/>
                    </w:rPr>
                  </w:pPr>
                  <w:r>
                    <w:rPr>
                      <w:color w:val="auto"/>
                      <w:sz w:val="18"/>
                      <w:szCs w:val="18"/>
                    </w:rPr>
                    <w:t>氯化镍(</w:t>
                  </w:r>
                  <w:r>
                    <w:rPr>
                      <w:rFonts w:hint="eastAsia" w:ascii="微软雅黑" w:hAnsi="微软雅黑" w:eastAsia="微软雅黑" w:cs="微软雅黑"/>
                      <w:bCs/>
                      <w:color w:val="auto"/>
                    </w:rPr>
                    <w:t>Ⅱ</w:t>
                  </w:r>
                  <w:r>
                    <w:rPr>
                      <w:color w:val="auto"/>
                      <w:sz w:val="18"/>
                      <w:szCs w:val="18"/>
                    </w:rPr>
                    <w:t>)</w:t>
                  </w:r>
                </w:p>
              </w:tc>
              <w:tc>
                <w:tcPr>
                  <w:tcW w:w="2508" w:type="pct"/>
                  <w:shd w:val="clear" w:color="auto" w:fill="auto"/>
                  <w:vAlign w:val="center"/>
                </w:tcPr>
                <w:p w14:paraId="341BD7D7">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淡黄色粉末或鳞片状晶体。熔点：1001°C。沸点973°C。密度3.55g/cm</w:t>
                  </w:r>
                  <w:r>
                    <w:rPr>
                      <w:color w:val="auto"/>
                      <w:sz w:val="18"/>
                      <w:szCs w:val="18"/>
                      <w:vertAlign w:val="superscript"/>
                    </w:rPr>
                    <w:t>3</w:t>
                  </w:r>
                  <w:r>
                    <w:rPr>
                      <w:color w:val="auto"/>
                      <w:sz w:val="18"/>
                      <w:szCs w:val="18"/>
                    </w:rPr>
                    <w:t>。易溶于水，也溶于乙醇和氨水。稳定性：经升华过的产品比较稳定，缓慢吸收水分。粉末状产品易潮解，在空气中迅速变绿。</w:t>
                  </w:r>
                </w:p>
              </w:tc>
              <w:tc>
                <w:tcPr>
                  <w:tcW w:w="589" w:type="pct"/>
                  <w:shd w:val="clear" w:color="auto" w:fill="auto"/>
                  <w:vAlign w:val="center"/>
                </w:tcPr>
                <w:p w14:paraId="2B341844">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0893B549">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LD</w:t>
                  </w:r>
                  <w:r>
                    <w:rPr>
                      <w:color w:val="auto"/>
                      <w:sz w:val="18"/>
                      <w:szCs w:val="18"/>
                      <w:vertAlign w:val="subscript"/>
                    </w:rPr>
                    <w:t>50</w:t>
                  </w:r>
                  <w:r>
                    <w:rPr>
                      <w:color w:val="auto"/>
                      <w:sz w:val="18"/>
                      <w:szCs w:val="18"/>
                    </w:rPr>
                    <w:t>：369mg/kg（大鼠经口）</w:t>
                  </w:r>
                </w:p>
              </w:tc>
            </w:tr>
            <w:tr w14:paraId="49C178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467EB45D">
                  <w:pPr>
                    <w:adjustRightInd w:val="0"/>
                    <w:snapToGrid w:val="0"/>
                    <w:jc w:val="center"/>
                    <w:rPr>
                      <w:color w:val="auto"/>
                      <w:sz w:val="18"/>
                      <w:szCs w:val="18"/>
                    </w:rPr>
                  </w:pPr>
                  <w:r>
                    <w:rPr>
                      <w:color w:val="auto"/>
                      <w:sz w:val="18"/>
                      <w:szCs w:val="18"/>
                    </w:rPr>
                    <w:t>32</w:t>
                  </w:r>
                </w:p>
              </w:tc>
              <w:tc>
                <w:tcPr>
                  <w:tcW w:w="706" w:type="pct"/>
                  <w:shd w:val="clear" w:color="auto" w:fill="auto"/>
                  <w:vAlign w:val="center"/>
                </w:tcPr>
                <w:p w14:paraId="05DA2C6E">
                  <w:pPr>
                    <w:jc w:val="center"/>
                    <w:rPr>
                      <w:rFonts w:ascii="Times New Roman" w:hAnsi="Times New Roman" w:eastAsia="宋体" w:cs="Times New Roman"/>
                      <w:color w:val="auto"/>
                      <w:kern w:val="2"/>
                      <w:sz w:val="18"/>
                      <w:szCs w:val="18"/>
                      <w:lang w:val="en-US" w:eastAsia="zh-CN" w:bidi="ar-SA"/>
                    </w:rPr>
                  </w:pPr>
                  <w:r>
                    <w:rPr>
                      <w:color w:val="auto"/>
                      <w:sz w:val="18"/>
                      <w:szCs w:val="18"/>
                    </w:rPr>
                    <w:t>氯化亚锡</w:t>
                  </w:r>
                </w:p>
              </w:tc>
              <w:tc>
                <w:tcPr>
                  <w:tcW w:w="2508" w:type="pct"/>
                  <w:shd w:val="clear" w:color="auto" w:fill="auto"/>
                  <w:vAlign w:val="center"/>
                </w:tcPr>
                <w:p w14:paraId="1DE726DE">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白色结晶性粉末。溶解性：溶于醇，易溶于浓盐酸，可溶于水、丙酮、乙醚，不溶于二甲苯。密度：3.95g/cm</w:t>
                  </w:r>
                  <w:r>
                    <w:rPr>
                      <w:color w:val="auto"/>
                      <w:sz w:val="18"/>
                      <w:szCs w:val="18"/>
                      <w:vertAlign w:val="superscript"/>
                    </w:rPr>
                    <w:t>3</w:t>
                  </w:r>
                  <w:r>
                    <w:rPr>
                      <w:color w:val="auto"/>
                      <w:sz w:val="18"/>
                      <w:szCs w:val="18"/>
                    </w:rPr>
                    <w:t>。熔点：247℃。沸点：623℃（分解）</w:t>
                  </w:r>
                </w:p>
              </w:tc>
              <w:tc>
                <w:tcPr>
                  <w:tcW w:w="589" w:type="pct"/>
                  <w:shd w:val="clear" w:color="auto" w:fill="auto"/>
                  <w:vAlign w:val="center"/>
                </w:tcPr>
                <w:p w14:paraId="47CAE140">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4D301C7B">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LD</w:t>
                  </w:r>
                  <w:r>
                    <w:rPr>
                      <w:color w:val="auto"/>
                      <w:sz w:val="18"/>
                      <w:szCs w:val="18"/>
                      <w:vertAlign w:val="subscript"/>
                    </w:rPr>
                    <w:t>50</w:t>
                  </w:r>
                  <w:r>
                    <w:rPr>
                      <w:color w:val="auto"/>
                      <w:sz w:val="18"/>
                      <w:szCs w:val="18"/>
                    </w:rPr>
                    <w:t>：700mg/kg（大鼠经口）</w:t>
                  </w:r>
                </w:p>
              </w:tc>
            </w:tr>
            <w:tr w14:paraId="603951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1E3583A1">
                  <w:pPr>
                    <w:adjustRightInd w:val="0"/>
                    <w:snapToGrid w:val="0"/>
                    <w:jc w:val="center"/>
                    <w:rPr>
                      <w:color w:val="auto"/>
                      <w:sz w:val="18"/>
                      <w:szCs w:val="18"/>
                    </w:rPr>
                  </w:pPr>
                  <w:r>
                    <w:rPr>
                      <w:color w:val="auto"/>
                      <w:sz w:val="18"/>
                      <w:szCs w:val="18"/>
                    </w:rPr>
                    <w:t>33</w:t>
                  </w:r>
                </w:p>
              </w:tc>
              <w:tc>
                <w:tcPr>
                  <w:tcW w:w="706" w:type="pct"/>
                  <w:shd w:val="clear" w:color="auto" w:fill="auto"/>
                  <w:vAlign w:val="center"/>
                </w:tcPr>
                <w:p w14:paraId="06077A67">
                  <w:pPr>
                    <w:jc w:val="center"/>
                    <w:rPr>
                      <w:rFonts w:ascii="Times New Roman" w:hAnsi="Times New Roman" w:eastAsia="宋体" w:cs="Times New Roman"/>
                      <w:color w:val="auto"/>
                      <w:kern w:val="2"/>
                      <w:sz w:val="18"/>
                      <w:szCs w:val="18"/>
                      <w:lang w:val="en-US" w:eastAsia="zh-CN" w:bidi="ar-SA"/>
                    </w:rPr>
                  </w:pPr>
                  <w:r>
                    <w:rPr>
                      <w:color w:val="auto"/>
                      <w:sz w:val="18"/>
                      <w:szCs w:val="18"/>
                    </w:rPr>
                    <w:t>氯化铜</w:t>
                  </w:r>
                </w:p>
              </w:tc>
              <w:tc>
                <w:tcPr>
                  <w:tcW w:w="2508" w:type="pct"/>
                  <w:shd w:val="clear" w:color="auto" w:fill="auto"/>
                  <w:vAlign w:val="center"/>
                </w:tcPr>
                <w:p w14:paraId="67EF7CC2">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黄棕色粉末。易溶于水、乙醇、丙酮，溶于氨水，稍溶于丙酮和乙酸乙酯，微溶于乙醚。熔点：620℃。沸点：993℃。密度：3.386g/cm</w:t>
                  </w:r>
                  <w:r>
                    <w:rPr>
                      <w:color w:val="auto"/>
                      <w:sz w:val="18"/>
                      <w:szCs w:val="18"/>
                      <w:vertAlign w:val="superscript"/>
                    </w:rPr>
                    <w:t>3</w:t>
                  </w:r>
                  <w:r>
                    <w:rPr>
                      <w:color w:val="auto"/>
                      <w:sz w:val="18"/>
                      <w:szCs w:val="18"/>
                    </w:rPr>
                    <w:t>。</w:t>
                  </w:r>
                </w:p>
              </w:tc>
              <w:tc>
                <w:tcPr>
                  <w:tcW w:w="589" w:type="pct"/>
                  <w:shd w:val="clear" w:color="auto" w:fill="auto"/>
                  <w:vAlign w:val="center"/>
                </w:tcPr>
                <w:p w14:paraId="69921948">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24E0D432">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shd w:val="clear" w:color="auto" w:fill="FFFFFF"/>
                    </w:rPr>
                    <w:t>大鼠经口LD</w:t>
                  </w:r>
                  <w:r>
                    <w:rPr>
                      <w:color w:val="auto"/>
                      <w:sz w:val="18"/>
                      <w:szCs w:val="18"/>
                      <w:shd w:val="clear" w:color="auto" w:fill="FFFFFF"/>
                      <w:vertAlign w:val="subscript"/>
                    </w:rPr>
                    <w:t>50</w:t>
                  </w:r>
                  <w:r>
                    <w:rPr>
                      <w:color w:val="auto"/>
                      <w:sz w:val="18"/>
                      <w:szCs w:val="18"/>
                      <w:shd w:val="clear" w:color="auto" w:fill="FFFFFF"/>
                    </w:rPr>
                    <w:t>：584mg/kg</w:t>
                  </w:r>
                </w:p>
              </w:tc>
            </w:tr>
            <w:tr w14:paraId="7F303E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11F33667">
                  <w:pPr>
                    <w:adjustRightInd w:val="0"/>
                    <w:snapToGrid w:val="0"/>
                    <w:jc w:val="center"/>
                    <w:rPr>
                      <w:color w:val="auto"/>
                      <w:sz w:val="18"/>
                      <w:szCs w:val="18"/>
                    </w:rPr>
                  </w:pPr>
                  <w:r>
                    <w:rPr>
                      <w:color w:val="auto"/>
                      <w:sz w:val="18"/>
                      <w:szCs w:val="18"/>
                    </w:rPr>
                    <w:t>34</w:t>
                  </w:r>
                </w:p>
              </w:tc>
              <w:tc>
                <w:tcPr>
                  <w:tcW w:w="706" w:type="pct"/>
                  <w:shd w:val="clear" w:color="auto" w:fill="auto"/>
                  <w:vAlign w:val="center"/>
                </w:tcPr>
                <w:p w14:paraId="3A7ACA2F">
                  <w:pPr>
                    <w:jc w:val="center"/>
                    <w:rPr>
                      <w:rFonts w:ascii="Times New Roman" w:hAnsi="Times New Roman" w:eastAsia="宋体" w:cs="Times New Roman"/>
                      <w:color w:val="auto"/>
                      <w:kern w:val="2"/>
                      <w:sz w:val="18"/>
                      <w:szCs w:val="18"/>
                      <w:lang w:val="en-US" w:eastAsia="zh-CN" w:bidi="ar-SA"/>
                    </w:rPr>
                  </w:pPr>
                  <w:r>
                    <w:rPr>
                      <w:color w:val="auto"/>
                      <w:sz w:val="18"/>
                      <w:szCs w:val="18"/>
                    </w:rPr>
                    <w:t>氯化锌</w:t>
                  </w:r>
                </w:p>
              </w:tc>
              <w:tc>
                <w:tcPr>
                  <w:tcW w:w="2508" w:type="pct"/>
                  <w:shd w:val="clear" w:color="auto" w:fill="auto"/>
                  <w:vAlign w:val="center"/>
                </w:tcPr>
                <w:p w14:paraId="13AB52D4">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外观为白色粒状结晶或结晶粉末，属六方晶系，密度2.91g/cm</w:t>
                  </w:r>
                  <w:r>
                    <w:rPr>
                      <w:color w:val="auto"/>
                      <w:sz w:val="18"/>
                      <w:szCs w:val="18"/>
                      <w:vertAlign w:val="superscript"/>
                    </w:rPr>
                    <w:t>3</w:t>
                  </w:r>
                  <w:r>
                    <w:rPr>
                      <w:color w:val="auto"/>
                      <w:sz w:val="18"/>
                      <w:szCs w:val="18"/>
                    </w:rPr>
                    <w:t>，沸点732℃，熔点290℃。其潮解性强，易溶于水、乙醇、甘油、丙酮、乙醚等含氧有机溶剂和吡啶、苯胺等含氮溶剂。</w:t>
                  </w:r>
                </w:p>
              </w:tc>
              <w:tc>
                <w:tcPr>
                  <w:tcW w:w="589" w:type="pct"/>
                  <w:shd w:val="clear" w:color="auto" w:fill="auto"/>
                  <w:vAlign w:val="center"/>
                </w:tcPr>
                <w:p w14:paraId="2E955C1E">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32FBC138">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LD</w:t>
                  </w:r>
                  <w:r>
                    <w:rPr>
                      <w:color w:val="auto"/>
                      <w:sz w:val="18"/>
                      <w:szCs w:val="18"/>
                      <w:vertAlign w:val="subscript"/>
                    </w:rPr>
                    <w:t>50</w:t>
                  </w:r>
                  <w:r>
                    <w:rPr>
                      <w:color w:val="auto"/>
                      <w:sz w:val="18"/>
                      <w:szCs w:val="18"/>
                    </w:rPr>
                    <w:t>：350mg/kg（大鼠经口）</w:t>
                  </w:r>
                </w:p>
              </w:tc>
            </w:tr>
            <w:tr w14:paraId="14C164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78D71D67">
                  <w:pPr>
                    <w:adjustRightInd w:val="0"/>
                    <w:snapToGrid w:val="0"/>
                    <w:jc w:val="center"/>
                    <w:rPr>
                      <w:color w:val="auto"/>
                      <w:sz w:val="18"/>
                      <w:szCs w:val="18"/>
                    </w:rPr>
                  </w:pPr>
                  <w:r>
                    <w:rPr>
                      <w:color w:val="auto"/>
                      <w:sz w:val="18"/>
                      <w:szCs w:val="18"/>
                    </w:rPr>
                    <w:t>35</w:t>
                  </w:r>
                </w:p>
              </w:tc>
              <w:tc>
                <w:tcPr>
                  <w:tcW w:w="706" w:type="pct"/>
                  <w:shd w:val="clear" w:color="auto" w:fill="auto"/>
                  <w:vAlign w:val="center"/>
                </w:tcPr>
                <w:p w14:paraId="6F9001E9">
                  <w:pPr>
                    <w:jc w:val="center"/>
                    <w:rPr>
                      <w:rFonts w:ascii="Times New Roman" w:hAnsi="Times New Roman" w:eastAsia="宋体" w:cs="Times New Roman"/>
                      <w:color w:val="auto"/>
                      <w:kern w:val="2"/>
                      <w:sz w:val="18"/>
                      <w:szCs w:val="18"/>
                      <w:lang w:val="en-US" w:eastAsia="zh-CN" w:bidi="ar-SA"/>
                    </w:rPr>
                  </w:pPr>
                  <w:r>
                    <w:rPr>
                      <w:color w:val="auto"/>
                      <w:sz w:val="18"/>
                      <w:szCs w:val="18"/>
                    </w:rPr>
                    <w:t>硫酸镍</w:t>
                  </w:r>
                </w:p>
              </w:tc>
              <w:tc>
                <w:tcPr>
                  <w:tcW w:w="2508" w:type="pct"/>
                  <w:shd w:val="clear" w:color="auto" w:fill="auto"/>
                  <w:vAlign w:val="center"/>
                </w:tcPr>
                <w:p w14:paraId="02A62D7A">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绿黄色结晶。可溶于水，不溶于乙醇和乙醚。密度：3.68g/cm</w:t>
                  </w:r>
                  <w:r>
                    <w:rPr>
                      <w:color w:val="auto"/>
                      <w:sz w:val="18"/>
                      <w:szCs w:val="18"/>
                      <w:vertAlign w:val="superscript"/>
                    </w:rPr>
                    <w:t>3</w:t>
                  </w:r>
                  <w:r>
                    <w:rPr>
                      <w:color w:val="auto"/>
                      <w:sz w:val="18"/>
                      <w:szCs w:val="18"/>
                    </w:rPr>
                    <w:t>。沸点：840℃（分解）。</w:t>
                  </w:r>
                </w:p>
              </w:tc>
              <w:tc>
                <w:tcPr>
                  <w:tcW w:w="589" w:type="pct"/>
                  <w:shd w:val="clear" w:color="auto" w:fill="auto"/>
                  <w:vAlign w:val="center"/>
                </w:tcPr>
                <w:p w14:paraId="3C2B4F1A">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6486719C">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LD</w:t>
                  </w:r>
                  <w:r>
                    <w:rPr>
                      <w:color w:val="auto"/>
                      <w:sz w:val="18"/>
                      <w:szCs w:val="18"/>
                      <w:vertAlign w:val="subscript"/>
                    </w:rPr>
                    <w:t>50</w:t>
                  </w:r>
                  <w:r>
                    <w:rPr>
                      <w:color w:val="auto"/>
                      <w:sz w:val="18"/>
                      <w:szCs w:val="18"/>
                    </w:rPr>
                    <w:t>：275mg/kg（大鼠经口</w:t>
                  </w:r>
                  <w:r>
                    <w:rPr>
                      <w:rFonts w:hint="eastAsia"/>
                      <w:color w:val="auto"/>
                      <w:sz w:val="18"/>
                      <w:szCs w:val="18"/>
                    </w:rPr>
                    <w:t>）</w:t>
                  </w:r>
                </w:p>
              </w:tc>
            </w:tr>
            <w:tr w14:paraId="62116F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5A33EC78">
                  <w:pPr>
                    <w:adjustRightInd w:val="0"/>
                    <w:snapToGrid w:val="0"/>
                    <w:jc w:val="center"/>
                    <w:rPr>
                      <w:color w:val="auto"/>
                      <w:sz w:val="18"/>
                      <w:szCs w:val="18"/>
                    </w:rPr>
                  </w:pPr>
                  <w:r>
                    <w:rPr>
                      <w:color w:val="auto"/>
                      <w:sz w:val="18"/>
                      <w:szCs w:val="18"/>
                    </w:rPr>
                    <w:t>36</w:t>
                  </w:r>
                </w:p>
              </w:tc>
              <w:tc>
                <w:tcPr>
                  <w:tcW w:w="706" w:type="pct"/>
                  <w:shd w:val="clear" w:color="auto" w:fill="auto"/>
                  <w:vAlign w:val="center"/>
                </w:tcPr>
                <w:p w14:paraId="1503A9A3">
                  <w:pPr>
                    <w:jc w:val="center"/>
                    <w:rPr>
                      <w:rFonts w:ascii="Times New Roman" w:hAnsi="Times New Roman" w:eastAsia="宋体" w:cs="Times New Roman"/>
                      <w:color w:val="auto"/>
                      <w:kern w:val="2"/>
                      <w:sz w:val="18"/>
                      <w:szCs w:val="18"/>
                      <w:lang w:val="en-US" w:eastAsia="zh-CN" w:bidi="ar-SA"/>
                    </w:rPr>
                  </w:pPr>
                  <w:r>
                    <w:rPr>
                      <w:color w:val="auto"/>
                      <w:sz w:val="18"/>
                      <w:szCs w:val="18"/>
                    </w:rPr>
                    <w:t>硫酸铅</w:t>
                  </w:r>
                </w:p>
              </w:tc>
              <w:tc>
                <w:tcPr>
                  <w:tcW w:w="2508" w:type="pct"/>
                  <w:shd w:val="clear" w:color="auto" w:fill="auto"/>
                  <w:vAlign w:val="center"/>
                </w:tcPr>
                <w:p w14:paraId="488F9739">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白色结晶性粉末。难溶于水，溶于铵盐，微溶于热水、浓硫酸，不溶于酸。密度：6.2g/cm</w:t>
                  </w:r>
                  <w:r>
                    <w:rPr>
                      <w:color w:val="auto"/>
                      <w:sz w:val="18"/>
                      <w:szCs w:val="18"/>
                      <w:vertAlign w:val="superscript"/>
                    </w:rPr>
                    <w:t>3</w:t>
                  </w:r>
                  <w:r>
                    <w:rPr>
                      <w:color w:val="auto"/>
                      <w:sz w:val="18"/>
                      <w:szCs w:val="18"/>
                    </w:rPr>
                    <w:t>。熔点：1170℃。</w:t>
                  </w:r>
                </w:p>
              </w:tc>
              <w:tc>
                <w:tcPr>
                  <w:tcW w:w="589" w:type="pct"/>
                  <w:shd w:val="clear" w:color="auto" w:fill="auto"/>
                  <w:vAlign w:val="center"/>
                </w:tcPr>
                <w:p w14:paraId="47A94AB6">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44A3FC43">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r>
            <w:tr w14:paraId="751E05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391" w:type="pct"/>
                  <w:vAlign w:val="center"/>
                </w:tcPr>
                <w:p w14:paraId="51EF878C">
                  <w:pPr>
                    <w:adjustRightInd w:val="0"/>
                    <w:snapToGrid w:val="0"/>
                    <w:jc w:val="center"/>
                    <w:rPr>
                      <w:color w:val="auto"/>
                      <w:sz w:val="18"/>
                      <w:szCs w:val="18"/>
                    </w:rPr>
                  </w:pPr>
                  <w:r>
                    <w:rPr>
                      <w:color w:val="auto"/>
                      <w:sz w:val="18"/>
                      <w:szCs w:val="18"/>
                    </w:rPr>
                    <w:t>37</w:t>
                  </w:r>
                </w:p>
              </w:tc>
              <w:tc>
                <w:tcPr>
                  <w:tcW w:w="706" w:type="pct"/>
                  <w:shd w:val="clear" w:color="auto" w:fill="auto"/>
                  <w:vAlign w:val="center"/>
                </w:tcPr>
                <w:p w14:paraId="6D2FDDF9">
                  <w:pPr>
                    <w:jc w:val="center"/>
                    <w:rPr>
                      <w:rFonts w:ascii="Times New Roman" w:hAnsi="Times New Roman" w:eastAsia="宋体" w:cs="Times New Roman"/>
                      <w:color w:val="auto"/>
                      <w:kern w:val="2"/>
                      <w:sz w:val="18"/>
                      <w:szCs w:val="18"/>
                      <w:lang w:val="en-US" w:eastAsia="zh-CN" w:bidi="ar-SA"/>
                    </w:rPr>
                  </w:pPr>
                  <w:r>
                    <w:rPr>
                      <w:color w:val="auto"/>
                      <w:sz w:val="18"/>
                      <w:szCs w:val="18"/>
                    </w:rPr>
                    <w:t>硫酸锰</w:t>
                  </w:r>
                </w:p>
              </w:tc>
              <w:tc>
                <w:tcPr>
                  <w:tcW w:w="2508" w:type="pct"/>
                  <w:shd w:val="clear" w:color="auto" w:fill="auto"/>
                  <w:vAlign w:val="center"/>
                </w:tcPr>
                <w:p w14:paraId="60638AAC">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白色至粉红色结晶性粉末。熔点：700℃。密度：3.25g/cm</w:t>
                  </w:r>
                  <w:r>
                    <w:rPr>
                      <w:color w:val="auto"/>
                      <w:sz w:val="18"/>
                      <w:szCs w:val="18"/>
                      <w:vertAlign w:val="superscript"/>
                    </w:rPr>
                    <w:t>3</w:t>
                  </w:r>
                  <w:r>
                    <w:rPr>
                      <w:color w:val="auto"/>
                      <w:sz w:val="18"/>
                      <w:szCs w:val="18"/>
                    </w:rPr>
                    <w:t>。</w:t>
                  </w:r>
                </w:p>
              </w:tc>
              <w:tc>
                <w:tcPr>
                  <w:tcW w:w="589" w:type="pct"/>
                  <w:shd w:val="clear" w:color="auto" w:fill="auto"/>
                  <w:vAlign w:val="center"/>
                </w:tcPr>
                <w:p w14:paraId="65CBD401">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57911D4D">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LD</w:t>
                  </w:r>
                  <w:r>
                    <w:rPr>
                      <w:color w:val="auto"/>
                      <w:sz w:val="18"/>
                      <w:szCs w:val="18"/>
                      <w:vertAlign w:val="subscript"/>
                    </w:rPr>
                    <w:t>50</w:t>
                  </w:r>
                  <w:r>
                    <w:rPr>
                      <w:color w:val="auto"/>
                      <w:sz w:val="18"/>
                      <w:szCs w:val="18"/>
                    </w:rPr>
                    <w:t>：2150mg/kg（大鼠经口</w:t>
                  </w:r>
                  <w:r>
                    <w:rPr>
                      <w:rFonts w:hint="eastAsia"/>
                      <w:color w:val="auto"/>
                      <w:sz w:val="18"/>
                      <w:szCs w:val="18"/>
                    </w:rPr>
                    <w:t>）</w:t>
                  </w:r>
                </w:p>
              </w:tc>
            </w:tr>
            <w:tr w14:paraId="7F6EFF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1BBBCF14">
                  <w:pPr>
                    <w:adjustRightInd w:val="0"/>
                    <w:snapToGrid w:val="0"/>
                    <w:jc w:val="center"/>
                    <w:rPr>
                      <w:color w:val="auto"/>
                      <w:sz w:val="18"/>
                      <w:szCs w:val="18"/>
                    </w:rPr>
                  </w:pPr>
                  <w:r>
                    <w:rPr>
                      <w:color w:val="auto"/>
                      <w:sz w:val="18"/>
                      <w:szCs w:val="18"/>
                    </w:rPr>
                    <w:t>38</w:t>
                  </w:r>
                </w:p>
              </w:tc>
              <w:tc>
                <w:tcPr>
                  <w:tcW w:w="706" w:type="pct"/>
                  <w:shd w:val="clear" w:color="auto" w:fill="auto"/>
                  <w:vAlign w:val="center"/>
                </w:tcPr>
                <w:p w14:paraId="0F03E48C">
                  <w:pPr>
                    <w:jc w:val="center"/>
                    <w:rPr>
                      <w:rFonts w:ascii="Times New Roman" w:hAnsi="Times New Roman" w:eastAsia="宋体" w:cs="Times New Roman"/>
                      <w:color w:val="auto"/>
                      <w:kern w:val="2"/>
                      <w:sz w:val="18"/>
                      <w:szCs w:val="18"/>
                      <w:lang w:val="en-US" w:eastAsia="zh-CN" w:bidi="ar-SA"/>
                    </w:rPr>
                  </w:pPr>
                  <w:r>
                    <w:rPr>
                      <w:color w:val="auto"/>
                      <w:sz w:val="18"/>
                      <w:szCs w:val="18"/>
                    </w:rPr>
                    <w:t>硫酸镁</w:t>
                  </w:r>
                </w:p>
              </w:tc>
              <w:tc>
                <w:tcPr>
                  <w:tcW w:w="2508" w:type="pct"/>
                  <w:shd w:val="clear" w:color="auto" w:fill="auto"/>
                  <w:vAlign w:val="center"/>
                </w:tcPr>
                <w:p w14:paraId="3ADC96CE">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白色晶体或白色粉末，密度2.66 g/cm</w:t>
                  </w:r>
                  <w:r>
                    <w:rPr>
                      <w:color w:val="auto"/>
                      <w:sz w:val="18"/>
                      <w:szCs w:val="18"/>
                      <w:vertAlign w:val="superscript"/>
                    </w:rPr>
                    <w:t>3</w:t>
                  </w:r>
                  <w:r>
                    <w:rPr>
                      <w:color w:val="auto"/>
                      <w:sz w:val="18"/>
                      <w:szCs w:val="18"/>
                    </w:rPr>
                    <w:t>，熔点1124 ℃。易溶于水，溶于甘油、乙醇，微溶于乙醚，不溶于丙酮，易吸潮。气味无味，口味咸、苦。熔点1124 ℃。</w:t>
                  </w:r>
                </w:p>
              </w:tc>
              <w:tc>
                <w:tcPr>
                  <w:tcW w:w="589" w:type="pct"/>
                  <w:shd w:val="clear" w:color="auto" w:fill="auto"/>
                  <w:vAlign w:val="center"/>
                </w:tcPr>
                <w:p w14:paraId="3B922511">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70A4DAE9">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小鼠皮下注射 LD</w:t>
                  </w:r>
                  <w:r>
                    <w:rPr>
                      <w:color w:val="auto"/>
                      <w:sz w:val="18"/>
                      <w:szCs w:val="18"/>
                      <w:vertAlign w:val="subscript"/>
                    </w:rPr>
                    <w:t>50</w:t>
                  </w:r>
                  <w:r>
                    <w:rPr>
                      <w:color w:val="auto"/>
                      <w:sz w:val="18"/>
                      <w:szCs w:val="18"/>
                    </w:rPr>
                    <w:t>： 645 mg/kg；小鼠腹腔注射LD</w:t>
                  </w:r>
                  <w:r>
                    <w:rPr>
                      <w:color w:val="auto"/>
                      <w:sz w:val="18"/>
                      <w:szCs w:val="18"/>
                      <w:vertAlign w:val="subscript"/>
                    </w:rPr>
                    <w:t>50</w:t>
                  </w:r>
                  <w:r>
                    <w:rPr>
                      <w:color w:val="auto"/>
                      <w:sz w:val="18"/>
                      <w:szCs w:val="18"/>
                    </w:rPr>
                    <w:t>：670-733 mg/kg</w:t>
                  </w:r>
                </w:p>
              </w:tc>
            </w:tr>
            <w:tr w14:paraId="726C89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6048D57A">
                  <w:pPr>
                    <w:adjustRightInd w:val="0"/>
                    <w:snapToGrid w:val="0"/>
                    <w:jc w:val="center"/>
                    <w:rPr>
                      <w:color w:val="auto"/>
                      <w:sz w:val="18"/>
                      <w:szCs w:val="18"/>
                    </w:rPr>
                  </w:pPr>
                  <w:r>
                    <w:rPr>
                      <w:color w:val="auto"/>
                      <w:sz w:val="18"/>
                      <w:szCs w:val="18"/>
                    </w:rPr>
                    <w:t>39</w:t>
                  </w:r>
                </w:p>
              </w:tc>
              <w:tc>
                <w:tcPr>
                  <w:tcW w:w="706" w:type="pct"/>
                  <w:shd w:val="clear" w:color="auto" w:fill="auto"/>
                  <w:vAlign w:val="center"/>
                </w:tcPr>
                <w:p w14:paraId="65329909">
                  <w:pPr>
                    <w:jc w:val="center"/>
                    <w:rPr>
                      <w:rFonts w:ascii="Times New Roman" w:hAnsi="Times New Roman" w:eastAsia="宋体" w:cs="Times New Roman"/>
                      <w:color w:val="auto"/>
                      <w:kern w:val="2"/>
                      <w:sz w:val="18"/>
                      <w:szCs w:val="18"/>
                      <w:lang w:val="en-US" w:eastAsia="zh-CN" w:bidi="ar-SA"/>
                    </w:rPr>
                  </w:pPr>
                  <w:r>
                    <w:rPr>
                      <w:color w:val="auto"/>
                      <w:sz w:val="18"/>
                      <w:szCs w:val="18"/>
                    </w:rPr>
                    <w:t>硫酸铈</w:t>
                  </w:r>
                </w:p>
              </w:tc>
              <w:tc>
                <w:tcPr>
                  <w:tcW w:w="2508" w:type="pct"/>
                  <w:shd w:val="clear" w:color="auto" w:fill="auto"/>
                  <w:vAlign w:val="center"/>
                </w:tcPr>
                <w:p w14:paraId="6125E7CD">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无色至绿色斜方</w:t>
                  </w:r>
                  <w:r>
                    <w:rPr>
                      <w:color w:val="auto"/>
                    </w:rPr>
                    <w:fldChar w:fldCharType="begin"/>
                  </w:r>
                  <w:r>
                    <w:rPr>
                      <w:color w:val="auto"/>
                    </w:rPr>
                    <w:instrText xml:space="preserve"> HYPERLINK "https://baike.baidu.com/item/%E6%99%B6%E4%BD%93/944670?fromModule=lemma_inlink" \t "https://baike.baidu.com/item/_blank" </w:instrText>
                  </w:r>
                  <w:r>
                    <w:rPr>
                      <w:color w:val="auto"/>
                    </w:rPr>
                    <w:fldChar w:fldCharType="separate"/>
                  </w:r>
                  <w:r>
                    <w:rPr>
                      <w:color w:val="auto"/>
                      <w:sz w:val="18"/>
                      <w:szCs w:val="18"/>
                    </w:rPr>
                    <w:t>晶体</w:t>
                  </w:r>
                  <w:r>
                    <w:rPr>
                      <w:color w:val="auto"/>
                      <w:sz w:val="18"/>
                      <w:szCs w:val="18"/>
                    </w:rPr>
                    <w:fldChar w:fldCharType="end"/>
                  </w:r>
                  <w:r>
                    <w:rPr>
                      <w:color w:val="auto"/>
                      <w:sz w:val="18"/>
                      <w:szCs w:val="18"/>
                    </w:rPr>
                    <w:t>。溶于水和酸。溶于冷水，微溶于热水。</w:t>
                  </w:r>
                  <w:r>
                    <w:rPr>
                      <w:rFonts w:eastAsia="Helvetica"/>
                      <w:color w:val="auto"/>
                      <w:sz w:val="18"/>
                      <w:szCs w:val="18"/>
                      <w:shd w:val="clear" w:color="auto" w:fill="FFFFFF"/>
                    </w:rPr>
                    <w:t>溶于水和酸。</w:t>
                  </w:r>
                  <w:r>
                    <w:rPr>
                      <w:color w:val="auto"/>
                      <w:sz w:val="18"/>
                      <w:szCs w:val="18"/>
                    </w:rPr>
                    <w:t>密度2.886 kg/m</w:t>
                  </w:r>
                  <w:r>
                    <w:rPr>
                      <w:color w:val="auto"/>
                      <w:sz w:val="18"/>
                      <w:szCs w:val="18"/>
                      <w:vertAlign w:val="superscript"/>
                    </w:rPr>
                    <w:t>3</w:t>
                  </w:r>
                </w:p>
              </w:tc>
              <w:tc>
                <w:tcPr>
                  <w:tcW w:w="589" w:type="pct"/>
                  <w:shd w:val="clear" w:color="auto" w:fill="auto"/>
                  <w:vAlign w:val="center"/>
                </w:tcPr>
                <w:p w14:paraId="063A9525">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10784E9D">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r>
            <w:tr w14:paraId="440641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48F3CEA4">
                  <w:pPr>
                    <w:adjustRightInd w:val="0"/>
                    <w:snapToGrid w:val="0"/>
                    <w:jc w:val="center"/>
                    <w:rPr>
                      <w:color w:val="auto"/>
                      <w:sz w:val="18"/>
                      <w:szCs w:val="18"/>
                    </w:rPr>
                  </w:pPr>
                  <w:r>
                    <w:rPr>
                      <w:color w:val="auto"/>
                      <w:sz w:val="18"/>
                      <w:szCs w:val="18"/>
                    </w:rPr>
                    <w:t>40</w:t>
                  </w:r>
                </w:p>
              </w:tc>
              <w:tc>
                <w:tcPr>
                  <w:tcW w:w="706" w:type="pct"/>
                  <w:shd w:val="clear" w:color="auto" w:fill="auto"/>
                  <w:vAlign w:val="center"/>
                </w:tcPr>
                <w:p w14:paraId="4C4B5480">
                  <w:pPr>
                    <w:jc w:val="center"/>
                    <w:rPr>
                      <w:rFonts w:ascii="Times New Roman" w:hAnsi="Times New Roman" w:eastAsia="宋体" w:cs="Times New Roman"/>
                      <w:color w:val="auto"/>
                      <w:kern w:val="2"/>
                      <w:sz w:val="18"/>
                      <w:szCs w:val="18"/>
                      <w:lang w:val="en-US" w:eastAsia="zh-CN" w:bidi="ar-SA"/>
                    </w:rPr>
                  </w:pPr>
                  <w:r>
                    <w:rPr>
                      <w:color w:val="auto"/>
                      <w:sz w:val="18"/>
                      <w:szCs w:val="18"/>
                    </w:rPr>
                    <w:t>硝酸铬</w:t>
                  </w:r>
                </w:p>
              </w:tc>
              <w:tc>
                <w:tcPr>
                  <w:tcW w:w="2508" w:type="pct"/>
                  <w:shd w:val="clear" w:color="auto" w:fill="auto"/>
                  <w:vAlign w:val="center"/>
                </w:tcPr>
                <w:p w14:paraId="00F59410">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硝酸铬是铬与硝酸反应生成的盐类，常温下为红色固体。主要用于制造含铬催化剂、玻璃、陶瓷釉彩，也可用作印染织物的媒染剂、缓蚀剂。</w:t>
                  </w:r>
                </w:p>
              </w:tc>
              <w:tc>
                <w:tcPr>
                  <w:tcW w:w="589" w:type="pct"/>
                  <w:shd w:val="clear" w:color="auto" w:fill="auto"/>
                  <w:vAlign w:val="center"/>
                </w:tcPr>
                <w:p w14:paraId="683DC9F4">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257992ED">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LD</w:t>
                  </w:r>
                  <w:r>
                    <w:rPr>
                      <w:color w:val="auto"/>
                      <w:sz w:val="18"/>
                      <w:szCs w:val="18"/>
                      <w:vertAlign w:val="subscript"/>
                    </w:rPr>
                    <w:t>50</w:t>
                  </w:r>
                  <w:r>
                    <w:rPr>
                      <w:color w:val="auto"/>
                      <w:sz w:val="18"/>
                      <w:szCs w:val="18"/>
                    </w:rPr>
                    <w:t>：3250mg/kg（大鼠经口）</w:t>
                  </w:r>
                </w:p>
              </w:tc>
            </w:tr>
            <w:tr w14:paraId="162AAB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3F1155F2">
                  <w:pPr>
                    <w:adjustRightInd w:val="0"/>
                    <w:snapToGrid w:val="0"/>
                    <w:jc w:val="center"/>
                    <w:rPr>
                      <w:color w:val="auto"/>
                      <w:sz w:val="18"/>
                      <w:szCs w:val="18"/>
                    </w:rPr>
                  </w:pPr>
                  <w:r>
                    <w:rPr>
                      <w:color w:val="auto"/>
                      <w:sz w:val="18"/>
                      <w:szCs w:val="18"/>
                    </w:rPr>
                    <w:t>41</w:t>
                  </w:r>
                </w:p>
              </w:tc>
              <w:tc>
                <w:tcPr>
                  <w:tcW w:w="706" w:type="pct"/>
                  <w:shd w:val="clear" w:color="auto" w:fill="auto"/>
                  <w:vAlign w:val="center"/>
                </w:tcPr>
                <w:p w14:paraId="171AFA2F">
                  <w:pPr>
                    <w:jc w:val="center"/>
                    <w:rPr>
                      <w:rFonts w:ascii="Times New Roman" w:hAnsi="Times New Roman" w:eastAsia="宋体" w:cs="Times New Roman"/>
                      <w:color w:val="auto"/>
                      <w:kern w:val="2"/>
                      <w:sz w:val="18"/>
                      <w:szCs w:val="18"/>
                      <w:lang w:val="en-US" w:eastAsia="zh-CN" w:bidi="ar-SA"/>
                    </w:rPr>
                  </w:pPr>
                  <w:r>
                    <w:rPr>
                      <w:color w:val="auto"/>
                      <w:sz w:val="18"/>
                      <w:szCs w:val="18"/>
                    </w:rPr>
                    <w:t xml:space="preserve"> 硝酸钴</w:t>
                  </w:r>
                </w:p>
              </w:tc>
              <w:tc>
                <w:tcPr>
                  <w:tcW w:w="2508" w:type="pct"/>
                  <w:shd w:val="clear" w:color="auto" w:fill="auto"/>
                  <w:vAlign w:val="center"/>
                </w:tcPr>
                <w:p w14:paraId="00FCABAE">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红色结晶性粉末，可溶于水、酸。熔点100-105°C。密度：2.49g/cm</w:t>
                  </w:r>
                  <w:r>
                    <w:rPr>
                      <w:color w:val="auto"/>
                      <w:sz w:val="18"/>
                      <w:szCs w:val="18"/>
                      <w:vertAlign w:val="superscript"/>
                    </w:rPr>
                    <w:t>3</w:t>
                  </w:r>
                </w:p>
              </w:tc>
              <w:tc>
                <w:tcPr>
                  <w:tcW w:w="589" w:type="pct"/>
                  <w:shd w:val="clear" w:color="auto" w:fill="auto"/>
                  <w:vAlign w:val="center"/>
                </w:tcPr>
                <w:p w14:paraId="7852D413">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1C9EE101">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LD</w:t>
                  </w:r>
                  <w:r>
                    <w:rPr>
                      <w:color w:val="auto"/>
                      <w:sz w:val="18"/>
                      <w:szCs w:val="18"/>
                      <w:vertAlign w:val="subscript"/>
                    </w:rPr>
                    <w:t>50</w:t>
                  </w:r>
                  <w:r>
                    <w:rPr>
                      <w:color w:val="auto"/>
                      <w:sz w:val="18"/>
                      <w:szCs w:val="18"/>
                    </w:rPr>
                    <w:t>：434mg/kg（大鼠经口）</w:t>
                  </w:r>
                </w:p>
              </w:tc>
            </w:tr>
            <w:tr w14:paraId="5008B7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7DFD2457">
                  <w:pPr>
                    <w:adjustRightInd w:val="0"/>
                    <w:snapToGrid w:val="0"/>
                    <w:jc w:val="center"/>
                    <w:rPr>
                      <w:color w:val="auto"/>
                      <w:sz w:val="18"/>
                      <w:szCs w:val="18"/>
                    </w:rPr>
                  </w:pPr>
                  <w:r>
                    <w:rPr>
                      <w:color w:val="auto"/>
                      <w:sz w:val="18"/>
                      <w:szCs w:val="18"/>
                    </w:rPr>
                    <w:t>42</w:t>
                  </w:r>
                </w:p>
              </w:tc>
              <w:tc>
                <w:tcPr>
                  <w:tcW w:w="706" w:type="pct"/>
                  <w:shd w:val="clear" w:color="auto" w:fill="auto"/>
                  <w:vAlign w:val="center"/>
                </w:tcPr>
                <w:p w14:paraId="73680CB9">
                  <w:pPr>
                    <w:jc w:val="center"/>
                    <w:rPr>
                      <w:rFonts w:ascii="Times New Roman" w:hAnsi="Times New Roman" w:eastAsia="宋体" w:cs="Times New Roman"/>
                      <w:color w:val="auto"/>
                      <w:kern w:val="2"/>
                      <w:sz w:val="18"/>
                      <w:szCs w:val="18"/>
                      <w:lang w:val="en-US" w:eastAsia="zh-CN" w:bidi="ar-SA"/>
                    </w:rPr>
                  </w:pPr>
                  <w:r>
                    <w:rPr>
                      <w:color w:val="auto"/>
                      <w:sz w:val="18"/>
                      <w:szCs w:val="18"/>
                    </w:rPr>
                    <w:t>硝酸汞</w:t>
                  </w:r>
                </w:p>
              </w:tc>
              <w:tc>
                <w:tcPr>
                  <w:tcW w:w="2508" w:type="pct"/>
                  <w:shd w:val="clear" w:color="auto" w:fill="auto"/>
                  <w:vAlign w:val="center"/>
                </w:tcPr>
                <w:p w14:paraId="79BCFD6E">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白色结晶性粉末。易溶于水，不溶于乙醇，溶于硝酸。密度：4.39g/cm</w:t>
                  </w:r>
                  <w:r>
                    <w:rPr>
                      <w:color w:val="auto"/>
                      <w:sz w:val="18"/>
                      <w:szCs w:val="18"/>
                      <w:vertAlign w:val="superscript"/>
                    </w:rPr>
                    <w:t>3</w:t>
                  </w:r>
                  <w:r>
                    <w:rPr>
                      <w:color w:val="auto"/>
                      <w:sz w:val="18"/>
                      <w:szCs w:val="18"/>
                    </w:rPr>
                    <w:t>。熔点：79℃。沸点：180℃（分解）</w:t>
                  </w:r>
                </w:p>
              </w:tc>
              <w:tc>
                <w:tcPr>
                  <w:tcW w:w="589" w:type="pct"/>
                  <w:shd w:val="clear" w:color="auto" w:fill="auto"/>
                  <w:vAlign w:val="center"/>
                </w:tcPr>
                <w:p w14:paraId="62535846">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326E6440">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LD</w:t>
                  </w:r>
                  <w:r>
                    <w:rPr>
                      <w:color w:val="auto"/>
                      <w:sz w:val="18"/>
                      <w:szCs w:val="18"/>
                      <w:vertAlign w:val="subscript"/>
                    </w:rPr>
                    <w:t>50</w:t>
                  </w:r>
                  <w:r>
                    <w:rPr>
                      <w:color w:val="auto"/>
                      <w:sz w:val="18"/>
                      <w:szCs w:val="18"/>
                    </w:rPr>
                    <w:t>：26mg/kg（大鼠经口）；75mg/kg（大鼠经皮）。</w:t>
                  </w:r>
                </w:p>
              </w:tc>
            </w:tr>
            <w:tr w14:paraId="501DDB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79758C6F">
                  <w:pPr>
                    <w:adjustRightInd w:val="0"/>
                    <w:snapToGrid w:val="0"/>
                    <w:jc w:val="center"/>
                    <w:rPr>
                      <w:color w:val="auto"/>
                      <w:sz w:val="18"/>
                      <w:szCs w:val="18"/>
                    </w:rPr>
                  </w:pPr>
                  <w:r>
                    <w:rPr>
                      <w:color w:val="auto"/>
                      <w:sz w:val="18"/>
                      <w:szCs w:val="18"/>
                    </w:rPr>
                    <w:t>43</w:t>
                  </w:r>
                </w:p>
              </w:tc>
              <w:tc>
                <w:tcPr>
                  <w:tcW w:w="706" w:type="pct"/>
                  <w:shd w:val="clear" w:color="auto" w:fill="auto"/>
                  <w:vAlign w:val="center"/>
                </w:tcPr>
                <w:p w14:paraId="2D9968B9">
                  <w:pPr>
                    <w:jc w:val="center"/>
                    <w:rPr>
                      <w:rFonts w:ascii="Times New Roman" w:hAnsi="Times New Roman" w:eastAsia="宋体" w:cs="Times New Roman"/>
                      <w:color w:val="auto"/>
                      <w:kern w:val="2"/>
                      <w:sz w:val="18"/>
                      <w:szCs w:val="18"/>
                      <w:lang w:val="en-US" w:eastAsia="zh-CN" w:bidi="ar-SA"/>
                    </w:rPr>
                  </w:pPr>
                  <w:r>
                    <w:rPr>
                      <w:color w:val="auto"/>
                      <w:sz w:val="18"/>
                      <w:szCs w:val="18"/>
                    </w:rPr>
                    <w:t>硝酸铅</w:t>
                  </w:r>
                </w:p>
              </w:tc>
              <w:tc>
                <w:tcPr>
                  <w:tcW w:w="2508" w:type="pct"/>
                  <w:shd w:val="clear" w:color="auto" w:fill="auto"/>
                  <w:vAlign w:val="center"/>
                </w:tcPr>
                <w:p w14:paraId="71535859">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白色立方或单斜晶体，硬而发亮。易溶于水，液氨，溶于乙醇。密度4.53 g/cm</w:t>
                  </w:r>
                  <w:r>
                    <w:rPr>
                      <w:color w:val="auto"/>
                      <w:sz w:val="18"/>
                      <w:szCs w:val="18"/>
                      <w:vertAlign w:val="superscript"/>
                    </w:rPr>
                    <w:t>3</w:t>
                  </w:r>
                  <w:r>
                    <w:rPr>
                      <w:color w:val="auto"/>
                      <w:sz w:val="18"/>
                      <w:szCs w:val="18"/>
                    </w:rPr>
                    <w:t>。熔点470 ℃（分解）。蒸汽压：49.8mmHg at 25°C</w:t>
                  </w:r>
                </w:p>
              </w:tc>
              <w:tc>
                <w:tcPr>
                  <w:tcW w:w="589" w:type="pct"/>
                  <w:shd w:val="clear" w:color="auto" w:fill="auto"/>
                  <w:vAlign w:val="center"/>
                </w:tcPr>
                <w:p w14:paraId="257131B0">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028C0163">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LD</w:t>
                  </w:r>
                  <w:r>
                    <w:rPr>
                      <w:color w:val="auto"/>
                      <w:sz w:val="18"/>
                      <w:szCs w:val="18"/>
                      <w:vertAlign w:val="subscript"/>
                    </w:rPr>
                    <w:t>50</w:t>
                  </w:r>
                  <w:r>
                    <w:rPr>
                      <w:color w:val="auto"/>
                      <w:sz w:val="18"/>
                      <w:szCs w:val="18"/>
                    </w:rPr>
                    <w:t>：93mg/kg（大鼠静脉）；74mg/kg（小鼠腹腔）</w:t>
                  </w:r>
                </w:p>
              </w:tc>
            </w:tr>
            <w:tr w14:paraId="5E7DC8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247201FF">
                  <w:pPr>
                    <w:adjustRightInd w:val="0"/>
                    <w:snapToGrid w:val="0"/>
                    <w:jc w:val="center"/>
                    <w:rPr>
                      <w:color w:val="auto"/>
                      <w:sz w:val="18"/>
                      <w:szCs w:val="18"/>
                    </w:rPr>
                  </w:pPr>
                  <w:r>
                    <w:rPr>
                      <w:color w:val="auto"/>
                      <w:sz w:val="18"/>
                      <w:szCs w:val="18"/>
                    </w:rPr>
                    <w:t>44</w:t>
                  </w:r>
                </w:p>
              </w:tc>
              <w:tc>
                <w:tcPr>
                  <w:tcW w:w="706" w:type="pct"/>
                  <w:shd w:val="clear" w:color="auto" w:fill="auto"/>
                  <w:vAlign w:val="center"/>
                </w:tcPr>
                <w:p w14:paraId="44C35DE4">
                  <w:pPr>
                    <w:jc w:val="center"/>
                    <w:rPr>
                      <w:rFonts w:ascii="Times New Roman" w:hAnsi="Times New Roman" w:eastAsia="宋体" w:cs="Times New Roman"/>
                      <w:color w:val="auto"/>
                      <w:kern w:val="2"/>
                      <w:sz w:val="18"/>
                      <w:szCs w:val="18"/>
                      <w:lang w:val="en-US" w:eastAsia="zh-CN" w:bidi="ar-SA"/>
                    </w:rPr>
                  </w:pPr>
                  <w:r>
                    <w:rPr>
                      <w:color w:val="auto"/>
                      <w:sz w:val="18"/>
                      <w:szCs w:val="18"/>
                    </w:rPr>
                    <w:t>醋酸铅</w:t>
                  </w:r>
                </w:p>
              </w:tc>
              <w:tc>
                <w:tcPr>
                  <w:tcW w:w="2508" w:type="pct"/>
                  <w:shd w:val="clear" w:color="auto" w:fill="auto"/>
                  <w:vAlign w:val="center"/>
                </w:tcPr>
                <w:p w14:paraId="15F5CDE5">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白色固体，易溶于水，溶于甘油，难溶于乙醇。熔点280°C。</w:t>
                  </w:r>
                </w:p>
              </w:tc>
              <w:tc>
                <w:tcPr>
                  <w:tcW w:w="589" w:type="pct"/>
                  <w:shd w:val="clear" w:color="auto" w:fill="auto"/>
                  <w:vAlign w:val="center"/>
                </w:tcPr>
                <w:p w14:paraId="11E88A68">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211284CF">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LD</w:t>
                  </w:r>
                  <w:r>
                    <w:rPr>
                      <w:color w:val="auto"/>
                      <w:sz w:val="18"/>
                      <w:szCs w:val="18"/>
                      <w:vertAlign w:val="subscript"/>
                    </w:rPr>
                    <w:t>50</w:t>
                  </w:r>
                  <w:r>
                    <w:rPr>
                      <w:color w:val="auto"/>
                      <w:sz w:val="18"/>
                      <w:szCs w:val="18"/>
                    </w:rPr>
                    <w:t>：150mg/kg（大鼠腹腔）</w:t>
                  </w:r>
                </w:p>
              </w:tc>
            </w:tr>
            <w:tr w14:paraId="6E6DAE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1A838A6A">
                  <w:pPr>
                    <w:adjustRightInd w:val="0"/>
                    <w:snapToGrid w:val="0"/>
                    <w:jc w:val="center"/>
                    <w:rPr>
                      <w:color w:val="auto"/>
                      <w:sz w:val="18"/>
                      <w:szCs w:val="18"/>
                    </w:rPr>
                  </w:pPr>
                  <w:r>
                    <w:rPr>
                      <w:color w:val="auto"/>
                      <w:sz w:val="18"/>
                      <w:szCs w:val="18"/>
                    </w:rPr>
                    <w:t>45</w:t>
                  </w:r>
                </w:p>
              </w:tc>
              <w:tc>
                <w:tcPr>
                  <w:tcW w:w="706" w:type="pct"/>
                  <w:shd w:val="clear" w:color="auto" w:fill="auto"/>
                  <w:vAlign w:val="center"/>
                </w:tcPr>
                <w:p w14:paraId="4361B908">
                  <w:pPr>
                    <w:jc w:val="center"/>
                    <w:rPr>
                      <w:rFonts w:ascii="Times New Roman" w:hAnsi="Times New Roman" w:eastAsia="宋体" w:cs="Times New Roman"/>
                      <w:color w:val="auto"/>
                      <w:kern w:val="2"/>
                      <w:sz w:val="18"/>
                      <w:szCs w:val="18"/>
                      <w:lang w:val="en-US" w:eastAsia="zh-CN" w:bidi="ar-SA"/>
                    </w:rPr>
                  </w:pPr>
                  <w:r>
                    <w:rPr>
                      <w:color w:val="auto"/>
                      <w:sz w:val="18"/>
                      <w:szCs w:val="18"/>
                    </w:rPr>
                    <w:t>磷酸四丁铵</w:t>
                  </w:r>
                </w:p>
              </w:tc>
              <w:tc>
                <w:tcPr>
                  <w:tcW w:w="2508" w:type="pct"/>
                  <w:shd w:val="clear" w:color="auto" w:fill="auto"/>
                  <w:vAlign w:val="center"/>
                </w:tcPr>
                <w:p w14:paraId="17044E69">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白色粉末状固体。熔点：151-154°C。溶于水、醇、三氯甲烷。</w:t>
                  </w:r>
                </w:p>
              </w:tc>
              <w:tc>
                <w:tcPr>
                  <w:tcW w:w="589" w:type="pct"/>
                  <w:shd w:val="clear" w:color="auto" w:fill="auto"/>
                  <w:vAlign w:val="center"/>
                </w:tcPr>
                <w:p w14:paraId="1B40D834">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21B3165D">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r>
            <w:tr w14:paraId="2FE5DC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391" w:type="pct"/>
                  <w:vAlign w:val="center"/>
                </w:tcPr>
                <w:p w14:paraId="00D001FF">
                  <w:pPr>
                    <w:adjustRightInd w:val="0"/>
                    <w:snapToGrid w:val="0"/>
                    <w:jc w:val="center"/>
                    <w:rPr>
                      <w:color w:val="auto"/>
                      <w:sz w:val="18"/>
                      <w:szCs w:val="18"/>
                    </w:rPr>
                  </w:pPr>
                  <w:r>
                    <w:rPr>
                      <w:color w:val="auto"/>
                      <w:sz w:val="18"/>
                      <w:szCs w:val="18"/>
                    </w:rPr>
                    <w:t>46</w:t>
                  </w:r>
                </w:p>
              </w:tc>
              <w:tc>
                <w:tcPr>
                  <w:tcW w:w="706" w:type="pct"/>
                  <w:shd w:val="clear" w:color="auto" w:fill="auto"/>
                  <w:vAlign w:val="center"/>
                </w:tcPr>
                <w:p w14:paraId="46E94204">
                  <w:pPr>
                    <w:jc w:val="center"/>
                    <w:rPr>
                      <w:rFonts w:ascii="Times New Roman" w:hAnsi="Times New Roman" w:eastAsia="宋体" w:cs="Times New Roman"/>
                      <w:color w:val="auto"/>
                      <w:kern w:val="2"/>
                      <w:sz w:val="18"/>
                      <w:szCs w:val="18"/>
                      <w:lang w:val="en-US" w:eastAsia="zh-CN" w:bidi="ar-SA"/>
                    </w:rPr>
                  </w:pPr>
                  <w:r>
                    <w:rPr>
                      <w:color w:val="auto"/>
                      <w:sz w:val="18"/>
                      <w:szCs w:val="18"/>
                    </w:rPr>
                    <w:t>硫氰酸钾</w:t>
                  </w:r>
                </w:p>
              </w:tc>
              <w:tc>
                <w:tcPr>
                  <w:tcW w:w="2508" w:type="pct"/>
                  <w:shd w:val="clear" w:color="auto" w:fill="auto"/>
                  <w:vAlign w:val="center"/>
                </w:tcPr>
                <w:p w14:paraId="7D967E00">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无色至白色单斜晶系结晶。易溶于水，并因大量吸热而降温。也溶于酒精和丙酮。密度：1.886g/cm</w:t>
                  </w:r>
                  <w:r>
                    <w:rPr>
                      <w:color w:val="auto"/>
                      <w:sz w:val="18"/>
                      <w:szCs w:val="18"/>
                      <w:vertAlign w:val="superscript"/>
                    </w:rPr>
                    <w:t>3</w:t>
                  </w:r>
                  <w:r>
                    <w:rPr>
                      <w:color w:val="auto"/>
                      <w:sz w:val="18"/>
                      <w:szCs w:val="18"/>
                    </w:rPr>
                    <w:t>。熔点173°C。沸点500°C</w:t>
                  </w:r>
                </w:p>
              </w:tc>
              <w:tc>
                <w:tcPr>
                  <w:tcW w:w="589" w:type="pct"/>
                  <w:shd w:val="clear" w:color="auto" w:fill="auto"/>
                  <w:vAlign w:val="center"/>
                </w:tcPr>
                <w:p w14:paraId="116CB68C">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12A3C5BF">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LD</w:t>
                  </w:r>
                  <w:r>
                    <w:rPr>
                      <w:color w:val="auto"/>
                      <w:sz w:val="18"/>
                      <w:szCs w:val="18"/>
                      <w:vertAlign w:val="subscript"/>
                    </w:rPr>
                    <w:t>50</w:t>
                  </w:r>
                  <w:r>
                    <w:rPr>
                      <w:color w:val="auto"/>
                      <w:sz w:val="18"/>
                      <w:szCs w:val="18"/>
                    </w:rPr>
                    <w:t>：854mg/kg（大鼠经口</w:t>
                  </w:r>
                  <w:r>
                    <w:rPr>
                      <w:rFonts w:hint="eastAsia"/>
                      <w:color w:val="auto"/>
                      <w:sz w:val="18"/>
                      <w:szCs w:val="18"/>
                    </w:rPr>
                    <w:t>）</w:t>
                  </w:r>
                </w:p>
              </w:tc>
            </w:tr>
            <w:tr w14:paraId="7F5173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20411405">
                  <w:pPr>
                    <w:adjustRightInd w:val="0"/>
                    <w:snapToGrid w:val="0"/>
                    <w:jc w:val="center"/>
                    <w:rPr>
                      <w:color w:val="auto"/>
                      <w:sz w:val="18"/>
                      <w:szCs w:val="18"/>
                    </w:rPr>
                  </w:pPr>
                  <w:r>
                    <w:rPr>
                      <w:color w:val="auto"/>
                      <w:sz w:val="18"/>
                      <w:szCs w:val="18"/>
                    </w:rPr>
                    <w:t>47</w:t>
                  </w:r>
                </w:p>
              </w:tc>
              <w:tc>
                <w:tcPr>
                  <w:tcW w:w="706" w:type="pct"/>
                  <w:shd w:val="clear" w:color="auto" w:fill="auto"/>
                  <w:vAlign w:val="center"/>
                </w:tcPr>
                <w:p w14:paraId="7BA9D76F">
                  <w:pPr>
                    <w:jc w:val="center"/>
                    <w:rPr>
                      <w:rFonts w:ascii="Times New Roman" w:hAnsi="Times New Roman" w:eastAsia="宋体" w:cs="Times New Roman"/>
                      <w:color w:val="auto"/>
                      <w:kern w:val="2"/>
                      <w:sz w:val="18"/>
                      <w:szCs w:val="18"/>
                      <w:lang w:val="en-US" w:eastAsia="zh-CN" w:bidi="ar-SA"/>
                    </w:rPr>
                  </w:pPr>
                  <w:r>
                    <w:rPr>
                      <w:color w:val="auto"/>
                      <w:sz w:val="18"/>
                      <w:szCs w:val="18"/>
                    </w:rPr>
                    <w:t>盐酸</w:t>
                  </w:r>
                </w:p>
              </w:tc>
              <w:tc>
                <w:tcPr>
                  <w:tcW w:w="2508" w:type="pct"/>
                  <w:shd w:val="clear" w:color="auto" w:fill="auto"/>
                  <w:vAlign w:val="center"/>
                </w:tcPr>
                <w:p w14:paraId="3DBAB270">
                  <w:pPr>
                    <w:widowControl/>
                    <w:jc w:val="left"/>
                    <w:rPr>
                      <w:rFonts w:ascii="Times New Roman" w:hAnsi="Times New Roman" w:eastAsia="宋体" w:cs="Times New Roman"/>
                      <w:color w:val="auto"/>
                      <w:kern w:val="2"/>
                      <w:sz w:val="18"/>
                      <w:szCs w:val="18"/>
                      <w:lang w:val="en-US" w:eastAsia="zh-CN" w:bidi="ar-SA"/>
                    </w:rPr>
                  </w:pPr>
                  <w:r>
                    <w:rPr>
                      <w:color w:val="auto"/>
                      <w:kern w:val="0"/>
                      <w:sz w:val="18"/>
                      <w:szCs w:val="18"/>
                      <w:lang w:bidi="ar"/>
                    </w:rPr>
                    <w:t xml:space="preserve">熔点-27.32℃（38%溶液），沸点 48℃（38%溶液），氯化氢的水溶液，又名氢氯酸，属于一元无机强酸，工业用途广泛。盐酸的性状为无色透明的液体，有强烈的刺鼻气味，具有较高的腐蚀性。浓盐酸（质量分数约为 37%）具有极强的挥发性。 </w:t>
                  </w:r>
                </w:p>
              </w:tc>
              <w:tc>
                <w:tcPr>
                  <w:tcW w:w="589" w:type="pct"/>
                  <w:shd w:val="clear" w:color="auto" w:fill="auto"/>
                  <w:vAlign w:val="center"/>
                </w:tcPr>
                <w:p w14:paraId="3E5C48EE">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7566AEEB">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r>
            <w:tr w14:paraId="3B8021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72BA2894">
                  <w:pPr>
                    <w:adjustRightInd w:val="0"/>
                    <w:snapToGrid w:val="0"/>
                    <w:jc w:val="center"/>
                    <w:rPr>
                      <w:color w:val="auto"/>
                      <w:sz w:val="18"/>
                      <w:szCs w:val="18"/>
                    </w:rPr>
                  </w:pPr>
                  <w:r>
                    <w:rPr>
                      <w:color w:val="auto"/>
                      <w:sz w:val="18"/>
                      <w:szCs w:val="18"/>
                    </w:rPr>
                    <w:t>48</w:t>
                  </w:r>
                </w:p>
              </w:tc>
              <w:tc>
                <w:tcPr>
                  <w:tcW w:w="706" w:type="pct"/>
                  <w:shd w:val="clear" w:color="auto" w:fill="auto"/>
                  <w:vAlign w:val="center"/>
                </w:tcPr>
                <w:p w14:paraId="6AB39825">
                  <w:pPr>
                    <w:jc w:val="center"/>
                    <w:rPr>
                      <w:rFonts w:ascii="Times New Roman" w:hAnsi="Times New Roman" w:eastAsia="宋体" w:cs="Times New Roman"/>
                      <w:color w:val="auto"/>
                      <w:kern w:val="2"/>
                      <w:sz w:val="18"/>
                      <w:szCs w:val="18"/>
                      <w:lang w:val="en-US" w:eastAsia="zh-CN" w:bidi="ar-SA"/>
                    </w:rPr>
                  </w:pPr>
                  <w:r>
                    <w:rPr>
                      <w:color w:val="auto"/>
                      <w:sz w:val="18"/>
                      <w:szCs w:val="18"/>
                    </w:rPr>
                    <w:t>硫酸</w:t>
                  </w:r>
                </w:p>
              </w:tc>
              <w:tc>
                <w:tcPr>
                  <w:tcW w:w="2508" w:type="pct"/>
                  <w:shd w:val="clear" w:color="auto" w:fill="auto"/>
                  <w:vAlign w:val="center"/>
                </w:tcPr>
                <w:p w14:paraId="06E0B051">
                  <w:pPr>
                    <w:widowControl/>
                    <w:jc w:val="left"/>
                    <w:rPr>
                      <w:rFonts w:ascii="Times New Roman" w:hAnsi="Times New Roman" w:eastAsia="宋体" w:cs="Times New Roman"/>
                      <w:color w:val="auto"/>
                      <w:kern w:val="2"/>
                      <w:sz w:val="18"/>
                      <w:szCs w:val="18"/>
                      <w:lang w:val="en-US" w:eastAsia="zh-CN" w:bidi="ar-SA"/>
                    </w:rPr>
                  </w:pPr>
                  <w:r>
                    <w:rPr>
                      <w:color w:val="auto"/>
                      <w:kern w:val="0"/>
                      <w:sz w:val="18"/>
                      <w:szCs w:val="18"/>
                      <w:lang w:bidi="ar"/>
                    </w:rPr>
                    <w:t>透明无色无臭液体，密度 1.83 g/cm</w:t>
                  </w:r>
                  <w:r>
                    <w:rPr>
                      <w:color w:val="auto"/>
                      <w:kern w:val="0"/>
                      <w:sz w:val="18"/>
                      <w:szCs w:val="18"/>
                      <w:vertAlign w:val="superscript"/>
                      <w:lang w:bidi="ar"/>
                    </w:rPr>
                    <w:t>3</w:t>
                  </w:r>
                  <w:r>
                    <w:rPr>
                      <w:color w:val="auto"/>
                      <w:kern w:val="0"/>
                      <w:sz w:val="18"/>
                      <w:szCs w:val="18"/>
                      <w:lang w:bidi="ar"/>
                    </w:rPr>
                    <w:t>，熔点10</w:t>
                  </w:r>
                  <w:r>
                    <w:rPr>
                      <w:rFonts w:hint="eastAsia"/>
                      <w:color w:val="auto"/>
                      <w:kern w:val="0"/>
                      <w:sz w:val="18"/>
                      <w:szCs w:val="18"/>
                      <w:lang w:bidi="ar"/>
                    </w:rPr>
                    <w:t>-</w:t>
                  </w:r>
                  <w:r>
                    <w:rPr>
                      <w:color w:val="auto"/>
                      <w:kern w:val="0"/>
                      <w:sz w:val="18"/>
                      <w:szCs w:val="18"/>
                      <w:lang w:bidi="ar"/>
                    </w:rPr>
                    <w:t xml:space="preserve">10.49℃，沸点 338℃，与水、乙醇混溶。 </w:t>
                  </w:r>
                </w:p>
              </w:tc>
              <w:tc>
                <w:tcPr>
                  <w:tcW w:w="589" w:type="pct"/>
                  <w:shd w:val="clear" w:color="auto" w:fill="auto"/>
                  <w:vAlign w:val="center"/>
                </w:tcPr>
                <w:p w14:paraId="74D8C3FA">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163EF860">
                  <w:pPr>
                    <w:widowControl/>
                    <w:jc w:val="center"/>
                    <w:rPr>
                      <w:color w:val="auto"/>
                      <w:sz w:val="18"/>
                      <w:szCs w:val="18"/>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w:t>
                  </w:r>
                </w:p>
                <w:p w14:paraId="56184AEB">
                  <w:pPr>
                    <w:widowControl/>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2140mg/kg</w:t>
                  </w:r>
                  <w:r>
                    <w:rPr>
                      <w:rFonts w:hint="eastAsia"/>
                      <w:color w:val="auto"/>
                      <w:kern w:val="0"/>
                      <w:sz w:val="18"/>
                      <w:szCs w:val="18"/>
                      <w:lang w:bidi="ar"/>
                    </w:rPr>
                    <w:t>（</w:t>
                  </w:r>
                  <w:r>
                    <w:rPr>
                      <w:color w:val="auto"/>
                      <w:kern w:val="0"/>
                      <w:sz w:val="18"/>
                      <w:szCs w:val="18"/>
                      <w:lang w:bidi="ar"/>
                    </w:rPr>
                    <w:t>大鼠经口</w:t>
                  </w:r>
                  <w:r>
                    <w:rPr>
                      <w:rFonts w:hint="eastAsia"/>
                      <w:color w:val="auto"/>
                      <w:kern w:val="0"/>
                      <w:sz w:val="18"/>
                      <w:szCs w:val="18"/>
                      <w:lang w:bidi="ar"/>
                    </w:rPr>
                    <w:t>）</w:t>
                  </w:r>
                </w:p>
              </w:tc>
            </w:tr>
            <w:tr w14:paraId="366F81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3D953E13">
                  <w:pPr>
                    <w:adjustRightInd w:val="0"/>
                    <w:snapToGrid w:val="0"/>
                    <w:jc w:val="center"/>
                    <w:rPr>
                      <w:color w:val="auto"/>
                      <w:sz w:val="18"/>
                      <w:szCs w:val="18"/>
                    </w:rPr>
                  </w:pPr>
                  <w:r>
                    <w:rPr>
                      <w:color w:val="auto"/>
                      <w:sz w:val="18"/>
                      <w:szCs w:val="18"/>
                    </w:rPr>
                    <w:t>49</w:t>
                  </w:r>
                </w:p>
              </w:tc>
              <w:tc>
                <w:tcPr>
                  <w:tcW w:w="706" w:type="pct"/>
                  <w:shd w:val="clear" w:color="auto" w:fill="auto"/>
                  <w:vAlign w:val="center"/>
                </w:tcPr>
                <w:p w14:paraId="217B3CCA">
                  <w:pPr>
                    <w:jc w:val="center"/>
                    <w:rPr>
                      <w:rFonts w:ascii="Times New Roman" w:hAnsi="Times New Roman" w:eastAsia="宋体" w:cs="Times New Roman"/>
                      <w:color w:val="auto"/>
                      <w:kern w:val="2"/>
                      <w:sz w:val="18"/>
                      <w:szCs w:val="18"/>
                      <w:lang w:val="en-US" w:eastAsia="zh-CN" w:bidi="ar-SA"/>
                    </w:rPr>
                  </w:pPr>
                  <w:r>
                    <w:rPr>
                      <w:color w:val="auto"/>
                      <w:sz w:val="18"/>
                      <w:szCs w:val="18"/>
                    </w:rPr>
                    <w:t>硝酸</w:t>
                  </w:r>
                </w:p>
              </w:tc>
              <w:tc>
                <w:tcPr>
                  <w:tcW w:w="2508" w:type="pct"/>
                  <w:shd w:val="clear" w:color="auto" w:fill="auto"/>
                  <w:vAlign w:val="center"/>
                </w:tcPr>
                <w:p w14:paraId="0FD7DBB7">
                  <w:pPr>
                    <w:widowControl/>
                    <w:jc w:val="left"/>
                    <w:rPr>
                      <w:rFonts w:ascii="Times New Roman" w:hAnsi="Times New Roman" w:eastAsia="宋体" w:cs="Times New Roman"/>
                      <w:color w:val="auto"/>
                      <w:kern w:val="2"/>
                      <w:sz w:val="18"/>
                      <w:szCs w:val="18"/>
                      <w:lang w:val="en-US" w:eastAsia="zh-CN" w:bidi="ar-SA"/>
                    </w:rPr>
                  </w:pPr>
                  <w:r>
                    <w:rPr>
                      <w:color w:val="auto"/>
                      <w:kern w:val="0"/>
                      <w:sz w:val="18"/>
                      <w:szCs w:val="18"/>
                      <w:lang w:bidi="ar"/>
                    </w:rPr>
                    <w:t>熔点-42℃，沸点83℃，密度 1.</w:t>
                  </w:r>
                  <w:r>
                    <w:rPr>
                      <w:rFonts w:hint="eastAsia"/>
                      <w:color w:val="auto"/>
                      <w:kern w:val="0"/>
                      <w:sz w:val="18"/>
                      <w:szCs w:val="18"/>
                      <w:lang w:bidi="ar"/>
                    </w:rPr>
                    <w:t>5</w:t>
                  </w:r>
                  <w:r>
                    <w:rPr>
                      <w:color w:val="auto"/>
                      <w:kern w:val="0"/>
                      <w:sz w:val="18"/>
                      <w:szCs w:val="18"/>
                      <w:lang w:bidi="ar"/>
                    </w:rPr>
                    <w:t>g/cm</w:t>
                  </w:r>
                  <w:r>
                    <w:rPr>
                      <w:color w:val="auto"/>
                      <w:kern w:val="0"/>
                      <w:sz w:val="18"/>
                      <w:szCs w:val="18"/>
                      <w:vertAlign w:val="superscript"/>
                      <w:lang w:bidi="ar"/>
                    </w:rPr>
                    <w:t>3</w:t>
                  </w:r>
                  <w:r>
                    <w:rPr>
                      <w:color w:val="auto"/>
                      <w:kern w:val="0"/>
                      <w:sz w:val="18"/>
                      <w:szCs w:val="18"/>
                      <w:lang w:bidi="ar"/>
                    </w:rPr>
                    <w:t>，是一种具有强氧化性、腐蚀性的强酸，属于一元无机强酸，是一种重要的化工原料。在工业上可用于制化肥、农药、炸药、染料、盐类等</w:t>
                  </w:r>
                  <w:r>
                    <w:rPr>
                      <w:rFonts w:hint="eastAsia"/>
                      <w:color w:val="auto"/>
                      <w:kern w:val="0"/>
                      <w:sz w:val="18"/>
                      <w:szCs w:val="18"/>
                      <w:lang w:bidi="ar"/>
                    </w:rPr>
                    <w:t>。</w:t>
                  </w:r>
                </w:p>
              </w:tc>
              <w:tc>
                <w:tcPr>
                  <w:tcW w:w="589" w:type="pct"/>
                  <w:shd w:val="clear" w:color="auto" w:fill="auto"/>
                  <w:vAlign w:val="center"/>
                </w:tcPr>
                <w:p w14:paraId="6714B626">
                  <w:pPr>
                    <w:adjustRightInd w:val="0"/>
                    <w:snapToGrid w:val="0"/>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助燃</w:t>
                  </w:r>
                </w:p>
              </w:tc>
              <w:tc>
                <w:tcPr>
                  <w:tcW w:w="803" w:type="pct"/>
                  <w:shd w:val="clear" w:color="auto" w:fill="auto"/>
                  <w:vAlign w:val="center"/>
                </w:tcPr>
                <w:p w14:paraId="209CB243">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LC</w:t>
                  </w:r>
                  <w:r>
                    <w:rPr>
                      <w:color w:val="auto"/>
                      <w:sz w:val="18"/>
                      <w:szCs w:val="18"/>
                      <w:vertAlign w:val="subscript"/>
                    </w:rPr>
                    <w:t>50</w:t>
                  </w:r>
                  <w:r>
                    <w:rPr>
                      <w:rFonts w:hint="eastAsia"/>
                      <w:color w:val="auto"/>
                      <w:sz w:val="18"/>
                      <w:szCs w:val="18"/>
                    </w:rPr>
                    <w:t>：</w:t>
                  </w:r>
                  <w:r>
                    <w:rPr>
                      <w:color w:val="auto"/>
                      <w:sz w:val="18"/>
                      <w:szCs w:val="18"/>
                    </w:rPr>
                    <w:t>130mg/m</w:t>
                  </w:r>
                  <w:r>
                    <w:rPr>
                      <w:color w:val="auto"/>
                      <w:sz w:val="18"/>
                      <w:szCs w:val="18"/>
                      <w:vertAlign w:val="superscript"/>
                    </w:rPr>
                    <w:t>3</w:t>
                  </w:r>
                  <w:r>
                    <w:rPr>
                      <w:rFonts w:hint="eastAsia"/>
                      <w:color w:val="auto"/>
                      <w:sz w:val="18"/>
                      <w:szCs w:val="18"/>
                    </w:rPr>
                    <w:t>（</w:t>
                  </w:r>
                  <w:r>
                    <w:rPr>
                      <w:color w:val="auto"/>
                      <w:sz w:val="18"/>
                      <w:szCs w:val="18"/>
                    </w:rPr>
                    <w:t>大鼠吸入，4h</w:t>
                  </w:r>
                  <w:r>
                    <w:rPr>
                      <w:rFonts w:hint="eastAsia"/>
                      <w:color w:val="auto"/>
                      <w:sz w:val="18"/>
                      <w:szCs w:val="18"/>
                    </w:rPr>
                    <w:t>）</w:t>
                  </w:r>
                </w:p>
              </w:tc>
            </w:tr>
            <w:tr w14:paraId="0D6DBF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6ED121D9">
                  <w:pPr>
                    <w:adjustRightInd w:val="0"/>
                    <w:snapToGrid w:val="0"/>
                    <w:jc w:val="center"/>
                    <w:rPr>
                      <w:color w:val="auto"/>
                      <w:sz w:val="18"/>
                      <w:szCs w:val="18"/>
                    </w:rPr>
                  </w:pPr>
                  <w:r>
                    <w:rPr>
                      <w:color w:val="auto"/>
                      <w:sz w:val="18"/>
                      <w:szCs w:val="18"/>
                    </w:rPr>
                    <w:t>50</w:t>
                  </w:r>
                </w:p>
              </w:tc>
              <w:tc>
                <w:tcPr>
                  <w:tcW w:w="706" w:type="pct"/>
                  <w:shd w:val="clear" w:color="auto" w:fill="auto"/>
                  <w:vAlign w:val="center"/>
                </w:tcPr>
                <w:p w14:paraId="680C7B24">
                  <w:pPr>
                    <w:jc w:val="center"/>
                    <w:rPr>
                      <w:rFonts w:ascii="Times New Roman" w:hAnsi="Times New Roman" w:eastAsia="宋体" w:cs="Times New Roman"/>
                      <w:color w:val="auto"/>
                      <w:kern w:val="2"/>
                      <w:sz w:val="18"/>
                      <w:szCs w:val="18"/>
                      <w:lang w:val="en-US" w:eastAsia="zh-CN" w:bidi="ar-SA"/>
                    </w:rPr>
                  </w:pPr>
                  <w:r>
                    <w:rPr>
                      <w:color w:val="auto"/>
                      <w:sz w:val="18"/>
                      <w:szCs w:val="18"/>
                    </w:rPr>
                    <w:t>磷酸</w:t>
                  </w:r>
                </w:p>
              </w:tc>
              <w:tc>
                <w:tcPr>
                  <w:tcW w:w="2508" w:type="pct"/>
                  <w:shd w:val="clear" w:color="auto" w:fill="auto"/>
                  <w:vAlign w:val="center"/>
                </w:tcPr>
                <w:p w14:paraId="3D971C00">
                  <w:pPr>
                    <w:widowControl/>
                    <w:jc w:val="left"/>
                    <w:rPr>
                      <w:color w:val="auto"/>
                      <w:sz w:val="18"/>
                      <w:szCs w:val="18"/>
                    </w:rPr>
                  </w:pPr>
                  <w:r>
                    <w:rPr>
                      <w:color w:val="auto"/>
                      <w:sz w:val="18"/>
                      <w:szCs w:val="18"/>
                    </w:rPr>
                    <w:t>分子量：98，纯磷酸为无色结晶，无臭，具有酸味。熔点</w:t>
                  </w:r>
                  <w:r>
                    <w:rPr>
                      <w:rFonts w:hint="eastAsia"/>
                      <w:color w:val="auto"/>
                      <w:sz w:val="18"/>
                      <w:szCs w:val="18"/>
                    </w:rPr>
                    <w:t>：</w:t>
                  </w:r>
                  <w:r>
                    <w:rPr>
                      <w:color w:val="auto"/>
                      <w:sz w:val="18"/>
                      <w:szCs w:val="18"/>
                    </w:rPr>
                    <w:t>42.4℃；沸点：260℃，与水混溶，可混溶于乙醇。相对密度(水=1)1.87。相对密度</w:t>
                  </w:r>
                  <w:r>
                    <w:rPr>
                      <w:rFonts w:hint="eastAsia"/>
                      <w:color w:val="auto"/>
                      <w:sz w:val="18"/>
                      <w:szCs w:val="18"/>
                    </w:rPr>
                    <w:t>（</w:t>
                  </w:r>
                  <w:r>
                    <w:rPr>
                      <w:color w:val="auto"/>
                      <w:sz w:val="18"/>
                      <w:szCs w:val="18"/>
                    </w:rPr>
                    <w:t xml:space="preserve">空 </w:t>
                  </w:r>
                </w:p>
                <w:p w14:paraId="10A4269C">
                  <w:pPr>
                    <w:widowControl/>
                    <w:jc w:val="left"/>
                    <w:rPr>
                      <w:rFonts w:ascii="Times New Roman" w:hAnsi="Times New Roman" w:eastAsia="宋体" w:cs="Times New Roman"/>
                      <w:color w:val="auto"/>
                      <w:kern w:val="2"/>
                      <w:sz w:val="18"/>
                      <w:szCs w:val="18"/>
                      <w:lang w:val="en-US" w:eastAsia="zh-CN" w:bidi="ar-SA"/>
                    </w:rPr>
                  </w:pPr>
                  <w:r>
                    <w:rPr>
                      <w:color w:val="auto"/>
                      <w:sz w:val="18"/>
                      <w:szCs w:val="18"/>
                    </w:rPr>
                    <w:t>气=1</w:t>
                  </w:r>
                  <w:r>
                    <w:rPr>
                      <w:rFonts w:hint="eastAsia"/>
                      <w:color w:val="auto"/>
                      <w:sz w:val="18"/>
                      <w:szCs w:val="18"/>
                    </w:rPr>
                    <w:t>）</w:t>
                  </w:r>
                  <w:r>
                    <w:rPr>
                      <w:color w:val="auto"/>
                      <w:sz w:val="18"/>
                      <w:szCs w:val="18"/>
                    </w:rPr>
                    <w:t>3.38。</w:t>
                  </w:r>
                </w:p>
              </w:tc>
              <w:tc>
                <w:tcPr>
                  <w:tcW w:w="589" w:type="pct"/>
                  <w:shd w:val="clear" w:color="auto" w:fill="auto"/>
                  <w:vAlign w:val="center"/>
                </w:tcPr>
                <w:p w14:paraId="54131CDE">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2773B000">
                  <w:pPr>
                    <w:widowControl/>
                    <w:jc w:val="center"/>
                    <w:rPr>
                      <w:color w:val="auto"/>
                      <w:sz w:val="18"/>
                      <w:szCs w:val="18"/>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w:t>
                  </w:r>
                </w:p>
                <w:p w14:paraId="4EFE5526">
                  <w:pPr>
                    <w:widowControl/>
                    <w:jc w:val="center"/>
                    <w:rPr>
                      <w:color w:val="auto"/>
                      <w:sz w:val="18"/>
                      <w:szCs w:val="18"/>
                    </w:rPr>
                  </w:pPr>
                  <w:r>
                    <w:rPr>
                      <w:color w:val="auto"/>
                      <w:kern w:val="0"/>
                      <w:sz w:val="18"/>
                      <w:szCs w:val="18"/>
                      <w:lang w:bidi="ar"/>
                    </w:rPr>
                    <w:t>1530mg/kg</w:t>
                  </w:r>
                </w:p>
                <w:p w14:paraId="497A6B00">
                  <w:pPr>
                    <w:widowControl/>
                    <w:jc w:val="center"/>
                    <w:rPr>
                      <w:color w:val="auto"/>
                      <w:sz w:val="18"/>
                      <w:szCs w:val="18"/>
                    </w:rPr>
                  </w:pPr>
                  <w:r>
                    <w:rPr>
                      <w:color w:val="auto"/>
                      <w:kern w:val="0"/>
                      <w:sz w:val="18"/>
                      <w:szCs w:val="18"/>
                      <w:lang w:bidi="ar"/>
                    </w:rPr>
                    <w:t>（大鼠经口）</w:t>
                  </w:r>
                </w:p>
                <w:p w14:paraId="48D5135F">
                  <w:pPr>
                    <w:adjustRightInd w:val="0"/>
                    <w:snapToGrid w:val="0"/>
                    <w:jc w:val="center"/>
                    <w:rPr>
                      <w:rFonts w:ascii="Times New Roman" w:hAnsi="Times New Roman" w:eastAsia="宋体" w:cs="Times New Roman"/>
                      <w:color w:val="auto"/>
                      <w:kern w:val="2"/>
                      <w:sz w:val="18"/>
                      <w:szCs w:val="18"/>
                      <w:lang w:val="en-US" w:eastAsia="zh-CN" w:bidi="ar-SA"/>
                    </w:rPr>
                  </w:pPr>
                </w:p>
              </w:tc>
            </w:tr>
            <w:tr w14:paraId="76A4D9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391" w:type="pct"/>
                  <w:vAlign w:val="center"/>
                </w:tcPr>
                <w:p w14:paraId="46513FD2">
                  <w:pPr>
                    <w:adjustRightInd w:val="0"/>
                    <w:snapToGrid w:val="0"/>
                    <w:jc w:val="center"/>
                    <w:rPr>
                      <w:color w:val="auto"/>
                      <w:sz w:val="18"/>
                      <w:szCs w:val="18"/>
                    </w:rPr>
                  </w:pPr>
                  <w:r>
                    <w:rPr>
                      <w:color w:val="auto"/>
                      <w:sz w:val="18"/>
                      <w:szCs w:val="18"/>
                    </w:rPr>
                    <w:t>51</w:t>
                  </w:r>
                </w:p>
              </w:tc>
              <w:tc>
                <w:tcPr>
                  <w:tcW w:w="706" w:type="pct"/>
                  <w:shd w:val="clear" w:color="auto" w:fill="auto"/>
                  <w:vAlign w:val="center"/>
                </w:tcPr>
                <w:p w14:paraId="360A3A60">
                  <w:pPr>
                    <w:jc w:val="center"/>
                    <w:rPr>
                      <w:rFonts w:ascii="Times New Roman" w:hAnsi="Times New Roman" w:eastAsia="宋体" w:cs="Times New Roman"/>
                      <w:color w:val="auto"/>
                      <w:kern w:val="2"/>
                      <w:sz w:val="18"/>
                      <w:szCs w:val="18"/>
                      <w:lang w:val="en-US" w:eastAsia="zh-CN" w:bidi="ar-SA"/>
                    </w:rPr>
                  </w:pPr>
                  <w:r>
                    <w:rPr>
                      <w:color w:val="auto"/>
                      <w:sz w:val="18"/>
                      <w:szCs w:val="18"/>
                    </w:rPr>
                    <w:t>氢氧化钠</w:t>
                  </w:r>
                </w:p>
              </w:tc>
              <w:tc>
                <w:tcPr>
                  <w:tcW w:w="2508" w:type="pct"/>
                  <w:shd w:val="clear" w:color="auto" w:fill="auto"/>
                  <w:vAlign w:val="center"/>
                </w:tcPr>
                <w:p w14:paraId="18ED227D">
                  <w:pPr>
                    <w:widowControl/>
                    <w:jc w:val="left"/>
                    <w:rPr>
                      <w:color w:val="auto"/>
                      <w:kern w:val="0"/>
                      <w:sz w:val="18"/>
                      <w:szCs w:val="18"/>
                      <w:lang w:bidi="ar"/>
                    </w:rPr>
                  </w:pPr>
                  <w:r>
                    <w:rPr>
                      <w:color w:val="auto"/>
                      <w:kern w:val="0"/>
                      <w:sz w:val="18"/>
                      <w:szCs w:val="18"/>
                      <w:lang w:bidi="ar"/>
                    </w:rPr>
                    <w:t>无色透明的晶体。密度：2.130g/cm</w:t>
                  </w:r>
                  <w:r>
                    <w:rPr>
                      <w:color w:val="auto"/>
                      <w:kern w:val="0"/>
                      <w:sz w:val="18"/>
                      <w:szCs w:val="18"/>
                      <w:vertAlign w:val="superscript"/>
                      <w:lang w:bidi="ar"/>
                    </w:rPr>
                    <w:t>3</w:t>
                  </w:r>
                  <w:r>
                    <w:rPr>
                      <w:color w:val="auto"/>
                      <w:kern w:val="0"/>
                      <w:sz w:val="18"/>
                      <w:szCs w:val="18"/>
                      <w:lang w:bidi="ar"/>
                    </w:rPr>
                    <w:t xml:space="preserve">。熔点： </w:t>
                  </w:r>
                </w:p>
                <w:p w14:paraId="432163FD">
                  <w:pPr>
                    <w:widowControl/>
                    <w:jc w:val="left"/>
                    <w:rPr>
                      <w:rFonts w:ascii="Times New Roman" w:hAnsi="Times New Roman" w:eastAsia="宋体" w:cs="Times New Roman"/>
                      <w:b/>
                      <w:bCs/>
                      <w:color w:val="auto"/>
                      <w:kern w:val="2"/>
                      <w:sz w:val="18"/>
                      <w:szCs w:val="18"/>
                      <w:lang w:val="en-US" w:eastAsia="zh-CN" w:bidi="ar-SA"/>
                    </w:rPr>
                  </w:pPr>
                  <w:r>
                    <w:rPr>
                      <w:color w:val="auto"/>
                      <w:kern w:val="0"/>
                      <w:sz w:val="18"/>
                      <w:szCs w:val="18"/>
                      <w:lang w:bidi="ar"/>
                    </w:rPr>
                    <w:t>318.4℃。沸点：1390℃。极易溶于水，溶解时放出大量的热。易溶于乙醇、甘油。</w:t>
                  </w:r>
                </w:p>
              </w:tc>
              <w:tc>
                <w:tcPr>
                  <w:tcW w:w="589" w:type="pct"/>
                  <w:shd w:val="clear" w:color="auto" w:fill="auto"/>
                  <w:vAlign w:val="center"/>
                </w:tcPr>
                <w:p w14:paraId="3CF19522">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1AF2FB71">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r>
            <w:tr w14:paraId="1D8B3A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2D37AC02">
                  <w:pPr>
                    <w:adjustRightInd w:val="0"/>
                    <w:snapToGrid w:val="0"/>
                    <w:jc w:val="center"/>
                    <w:rPr>
                      <w:color w:val="auto"/>
                      <w:sz w:val="18"/>
                      <w:szCs w:val="18"/>
                    </w:rPr>
                  </w:pPr>
                  <w:r>
                    <w:rPr>
                      <w:color w:val="auto"/>
                      <w:sz w:val="18"/>
                      <w:szCs w:val="18"/>
                    </w:rPr>
                    <w:t>52</w:t>
                  </w:r>
                </w:p>
              </w:tc>
              <w:tc>
                <w:tcPr>
                  <w:tcW w:w="706" w:type="pct"/>
                  <w:shd w:val="clear" w:color="auto" w:fill="auto"/>
                  <w:vAlign w:val="center"/>
                </w:tcPr>
                <w:p w14:paraId="4BCE9348">
                  <w:pPr>
                    <w:jc w:val="center"/>
                    <w:rPr>
                      <w:rFonts w:ascii="Times New Roman" w:hAnsi="Times New Roman" w:eastAsia="宋体" w:cs="Times New Roman"/>
                      <w:color w:val="auto"/>
                      <w:kern w:val="2"/>
                      <w:sz w:val="18"/>
                      <w:szCs w:val="18"/>
                      <w:lang w:val="en-US" w:eastAsia="zh-CN" w:bidi="ar-SA"/>
                    </w:rPr>
                  </w:pPr>
                  <w:r>
                    <w:rPr>
                      <w:color w:val="auto"/>
                      <w:sz w:val="18"/>
                      <w:szCs w:val="18"/>
                    </w:rPr>
                    <w:t>氢氧化钾</w:t>
                  </w:r>
                </w:p>
              </w:tc>
              <w:tc>
                <w:tcPr>
                  <w:tcW w:w="2508" w:type="pct"/>
                  <w:shd w:val="clear" w:color="auto" w:fill="auto"/>
                  <w:vAlign w:val="center"/>
                </w:tcPr>
                <w:p w14:paraId="2829DC07">
                  <w:pPr>
                    <w:widowControl/>
                    <w:jc w:val="left"/>
                    <w:rPr>
                      <w:rFonts w:ascii="Times New Roman" w:hAnsi="Times New Roman" w:eastAsia="宋体" w:cs="Times New Roman"/>
                      <w:color w:val="auto"/>
                      <w:kern w:val="2"/>
                      <w:sz w:val="18"/>
                      <w:szCs w:val="18"/>
                      <w:lang w:val="en-US" w:eastAsia="zh-CN" w:bidi="ar-SA"/>
                    </w:rPr>
                  </w:pPr>
                  <w:r>
                    <w:rPr>
                      <w:color w:val="auto"/>
                      <w:kern w:val="0"/>
                      <w:sz w:val="18"/>
                      <w:szCs w:val="18"/>
                      <w:lang w:bidi="ar"/>
                    </w:rPr>
                    <w:t>白色结晶性粉末，熔点 3</w:t>
                  </w:r>
                  <w:r>
                    <w:rPr>
                      <w:rFonts w:hint="eastAsia"/>
                      <w:color w:val="auto"/>
                      <w:kern w:val="0"/>
                      <w:sz w:val="18"/>
                      <w:szCs w:val="18"/>
                      <w:lang w:bidi="ar"/>
                    </w:rPr>
                    <w:t>61</w:t>
                  </w:r>
                  <w:r>
                    <w:rPr>
                      <w:color w:val="auto"/>
                      <w:kern w:val="0"/>
                      <w:sz w:val="18"/>
                      <w:szCs w:val="18"/>
                      <w:lang w:bidi="ar"/>
                    </w:rPr>
                    <w:t>℃，沸点132</w:t>
                  </w:r>
                  <w:r>
                    <w:rPr>
                      <w:rFonts w:hint="eastAsia"/>
                      <w:color w:val="auto"/>
                      <w:kern w:val="0"/>
                      <w:sz w:val="18"/>
                      <w:szCs w:val="18"/>
                      <w:lang w:bidi="ar"/>
                    </w:rPr>
                    <w:t>0</w:t>
                  </w:r>
                  <w:r>
                    <w:rPr>
                      <w:color w:val="auto"/>
                      <w:kern w:val="0"/>
                      <w:sz w:val="18"/>
                      <w:szCs w:val="18"/>
                      <w:lang w:bidi="ar"/>
                    </w:rPr>
                    <w:t>℃</w:t>
                  </w:r>
                  <w:r>
                    <w:rPr>
                      <w:rFonts w:hint="eastAsia"/>
                      <w:color w:val="auto"/>
                      <w:kern w:val="0"/>
                      <w:sz w:val="18"/>
                      <w:szCs w:val="18"/>
                      <w:lang w:bidi="ar"/>
                    </w:rPr>
                    <w:t>，</w:t>
                  </w:r>
                  <w:r>
                    <w:rPr>
                      <w:color w:val="auto"/>
                      <w:kern w:val="0"/>
                      <w:sz w:val="18"/>
                      <w:szCs w:val="18"/>
                      <w:lang w:bidi="ar"/>
                    </w:rPr>
                    <w:t xml:space="preserve">相对密度 </w:t>
                  </w:r>
                  <w:r>
                    <w:rPr>
                      <w:rFonts w:hint="eastAsia"/>
                      <w:color w:val="auto"/>
                      <w:kern w:val="0"/>
                      <w:sz w:val="18"/>
                      <w:szCs w:val="18"/>
                      <w:lang w:bidi="ar"/>
                    </w:rPr>
                    <w:t>1.45</w:t>
                  </w:r>
                  <w:r>
                    <w:rPr>
                      <w:color w:val="auto"/>
                      <w:kern w:val="0"/>
                      <w:sz w:val="18"/>
                      <w:szCs w:val="18"/>
                      <w:lang w:bidi="ar"/>
                    </w:rPr>
                    <w:t>g/cm</w:t>
                  </w:r>
                  <w:r>
                    <w:rPr>
                      <w:color w:val="auto"/>
                      <w:kern w:val="0"/>
                      <w:sz w:val="18"/>
                      <w:szCs w:val="18"/>
                      <w:vertAlign w:val="superscript"/>
                      <w:lang w:bidi="ar"/>
                    </w:rPr>
                    <w:t>3</w:t>
                  </w:r>
                  <w:r>
                    <w:rPr>
                      <w:color w:val="auto"/>
                      <w:kern w:val="0"/>
                      <w:sz w:val="18"/>
                      <w:szCs w:val="18"/>
                      <w:lang w:bidi="ar"/>
                    </w:rPr>
                    <w:t>，蒸汽压 1mmHg（719℃）。易溶于水，溶于乙醇，微溶于醚。</w:t>
                  </w:r>
                </w:p>
              </w:tc>
              <w:tc>
                <w:tcPr>
                  <w:tcW w:w="589" w:type="pct"/>
                  <w:shd w:val="clear" w:color="auto" w:fill="auto"/>
                  <w:vAlign w:val="center"/>
                </w:tcPr>
                <w:p w14:paraId="68EAC711">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02A4BAB0">
                  <w:pPr>
                    <w:widowControl/>
                    <w:jc w:val="center"/>
                    <w:rPr>
                      <w:color w:val="auto"/>
                      <w:sz w:val="18"/>
                      <w:szCs w:val="18"/>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w:t>
                  </w:r>
                </w:p>
                <w:p w14:paraId="3C4CD34A">
                  <w:pPr>
                    <w:widowControl/>
                    <w:jc w:val="center"/>
                    <w:rPr>
                      <w:color w:val="auto"/>
                      <w:sz w:val="18"/>
                      <w:szCs w:val="18"/>
                    </w:rPr>
                  </w:pPr>
                  <w:r>
                    <w:rPr>
                      <w:color w:val="auto"/>
                      <w:kern w:val="0"/>
                      <w:sz w:val="18"/>
                      <w:szCs w:val="18"/>
                      <w:lang w:bidi="ar"/>
                    </w:rPr>
                    <w:t>273mg/kg</w:t>
                  </w:r>
                </w:p>
                <w:p w14:paraId="6FBBE794">
                  <w:pPr>
                    <w:adjustRightInd w:val="0"/>
                    <w:snapToGrid w:val="0"/>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（大鼠经口</w:t>
                  </w:r>
                  <w:r>
                    <w:rPr>
                      <w:rFonts w:hint="eastAsia"/>
                      <w:color w:val="auto"/>
                      <w:kern w:val="0"/>
                      <w:sz w:val="18"/>
                      <w:szCs w:val="18"/>
                      <w:lang w:bidi="ar"/>
                    </w:rPr>
                    <w:t>）</w:t>
                  </w:r>
                </w:p>
              </w:tc>
            </w:tr>
            <w:tr w14:paraId="66BF8E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015DDC7F">
                  <w:pPr>
                    <w:adjustRightInd w:val="0"/>
                    <w:snapToGrid w:val="0"/>
                    <w:jc w:val="center"/>
                    <w:rPr>
                      <w:color w:val="auto"/>
                      <w:sz w:val="18"/>
                      <w:szCs w:val="18"/>
                    </w:rPr>
                  </w:pPr>
                  <w:r>
                    <w:rPr>
                      <w:color w:val="auto"/>
                      <w:sz w:val="18"/>
                      <w:szCs w:val="18"/>
                    </w:rPr>
                    <w:t>53</w:t>
                  </w:r>
                </w:p>
              </w:tc>
              <w:tc>
                <w:tcPr>
                  <w:tcW w:w="706" w:type="pct"/>
                  <w:shd w:val="clear" w:color="auto" w:fill="auto"/>
                  <w:vAlign w:val="center"/>
                </w:tcPr>
                <w:p w14:paraId="08E0AE0F">
                  <w:pPr>
                    <w:jc w:val="center"/>
                    <w:rPr>
                      <w:rFonts w:ascii="Times New Roman" w:hAnsi="Times New Roman" w:eastAsia="宋体" w:cs="Times New Roman"/>
                      <w:color w:val="auto"/>
                      <w:kern w:val="2"/>
                      <w:sz w:val="18"/>
                      <w:szCs w:val="18"/>
                      <w:lang w:val="en-US" w:eastAsia="zh-CN" w:bidi="ar-SA"/>
                    </w:rPr>
                  </w:pPr>
                  <w:r>
                    <w:rPr>
                      <w:color w:val="auto"/>
                      <w:sz w:val="18"/>
                      <w:szCs w:val="18"/>
                    </w:rPr>
                    <w:t>碳酸氢钠</w:t>
                  </w:r>
                </w:p>
              </w:tc>
              <w:tc>
                <w:tcPr>
                  <w:tcW w:w="2508" w:type="pct"/>
                  <w:shd w:val="clear" w:color="auto" w:fill="auto"/>
                  <w:vAlign w:val="center"/>
                </w:tcPr>
                <w:p w14:paraId="54C1AE3E">
                  <w:pPr>
                    <w:widowControl/>
                    <w:jc w:val="left"/>
                    <w:rPr>
                      <w:rFonts w:ascii="Times New Roman" w:hAnsi="Times New Roman" w:eastAsia="宋体" w:cs="Times New Roman"/>
                      <w:color w:val="auto"/>
                      <w:kern w:val="2"/>
                      <w:sz w:val="18"/>
                      <w:szCs w:val="18"/>
                      <w:lang w:val="en-US" w:eastAsia="zh-CN" w:bidi="ar-SA"/>
                    </w:rPr>
                  </w:pPr>
                  <w:r>
                    <w:rPr>
                      <w:color w:val="auto"/>
                      <w:kern w:val="0"/>
                      <w:sz w:val="18"/>
                      <w:szCs w:val="18"/>
                      <w:lang w:bidi="ar"/>
                    </w:rPr>
                    <w:t>白色粉末或单斜晶结晶性粉末，无臭、味微咸而性凉，易溶于水及甘油，微溶于乙醇。在水中溶解度为7.8 g（18 ℃）、16.0 g（60 ℃），密度2.20 g/cm</w:t>
                  </w:r>
                  <w:r>
                    <w:rPr>
                      <w:color w:val="auto"/>
                      <w:kern w:val="0"/>
                      <w:sz w:val="18"/>
                      <w:szCs w:val="18"/>
                      <w:vertAlign w:val="superscript"/>
                      <w:lang w:bidi="ar"/>
                    </w:rPr>
                    <w:t>3</w:t>
                  </w:r>
                  <w:r>
                    <w:rPr>
                      <w:color w:val="auto"/>
                      <w:kern w:val="0"/>
                      <w:sz w:val="18"/>
                      <w:szCs w:val="18"/>
                      <w:lang w:bidi="ar"/>
                    </w:rPr>
                    <w:t>，比重为2.208，折射率约为1.5</w:t>
                  </w:r>
                  <w:r>
                    <w:rPr>
                      <w:rFonts w:hint="eastAsia"/>
                      <w:color w:val="auto"/>
                      <w:kern w:val="0"/>
                      <w:sz w:val="18"/>
                      <w:szCs w:val="18"/>
                      <w:lang w:bidi="ar"/>
                    </w:rPr>
                    <w:t>。</w:t>
                  </w:r>
                </w:p>
              </w:tc>
              <w:tc>
                <w:tcPr>
                  <w:tcW w:w="589" w:type="pct"/>
                  <w:shd w:val="clear" w:color="auto" w:fill="auto"/>
                  <w:vAlign w:val="center"/>
                </w:tcPr>
                <w:p w14:paraId="25465741">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499E8F4D">
                  <w:pPr>
                    <w:widowControl/>
                    <w:jc w:val="center"/>
                    <w:rPr>
                      <w:color w:val="auto"/>
                      <w:sz w:val="18"/>
                      <w:szCs w:val="18"/>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w:t>
                  </w:r>
                </w:p>
                <w:p w14:paraId="7EC1E255">
                  <w:pPr>
                    <w:widowControl/>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4420mg/kg</w:t>
                  </w:r>
                  <w:r>
                    <w:rPr>
                      <w:rFonts w:hint="eastAsia"/>
                      <w:color w:val="auto"/>
                      <w:kern w:val="0"/>
                      <w:sz w:val="18"/>
                      <w:szCs w:val="18"/>
                      <w:lang w:bidi="ar"/>
                    </w:rPr>
                    <w:t>（</w:t>
                  </w:r>
                  <w:r>
                    <w:rPr>
                      <w:color w:val="auto"/>
                      <w:kern w:val="0"/>
                      <w:sz w:val="18"/>
                      <w:szCs w:val="18"/>
                      <w:lang w:bidi="ar"/>
                    </w:rPr>
                    <w:t>大鼠经口</w:t>
                  </w:r>
                  <w:r>
                    <w:rPr>
                      <w:rFonts w:hint="eastAsia"/>
                      <w:color w:val="auto"/>
                      <w:kern w:val="0"/>
                      <w:sz w:val="18"/>
                      <w:szCs w:val="18"/>
                      <w:lang w:bidi="ar"/>
                    </w:rPr>
                    <w:t>）</w:t>
                  </w:r>
                </w:p>
              </w:tc>
            </w:tr>
            <w:tr w14:paraId="63BBCD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391" w:type="pct"/>
                  <w:vAlign w:val="center"/>
                </w:tcPr>
                <w:p w14:paraId="5DCA720E">
                  <w:pPr>
                    <w:adjustRightInd w:val="0"/>
                    <w:snapToGrid w:val="0"/>
                    <w:jc w:val="center"/>
                    <w:rPr>
                      <w:color w:val="auto"/>
                      <w:sz w:val="18"/>
                      <w:szCs w:val="18"/>
                    </w:rPr>
                  </w:pPr>
                  <w:r>
                    <w:rPr>
                      <w:color w:val="auto"/>
                      <w:sz w:val="18"/>
                      <w:szCs w:val="18"/>
                    </w:rPr>
                    <w:t>54</w:t>
                  </w:r>
                </w:p>
              </w:tc>
              <w:tc>
                <w:tcPr>
                  <w:tcW w:w="706" w:type="pct"/>
                  <w:shd w:val="clear" w:color="auto" w:fill="auto"/>
                  <w:vAlign w:val="center"/>
                </w:tcPr>
                <w:p w14:paraId="3A866DB6">
                  <w:pPr>
                    <w:jc w:val="center"/>
                    <w:rPr>
                      <w:rFonts w:ascii="Times New Roman" w:hAnsi="Times New Roman" w:eastAsia="宋体" w:cs="Times New Roman"/>
                      <w:color w:val="auto"/>
                      <w:kern w:val="2"/>
                      <w:sz w:val="18"/>
                      <w:szCs w:val="18"/>
                      <w:lang w:val="en-US" w:eastAsia="zh-CN" w:bidi="ar-SA"/>
                    </w:rPr>
                  </w:pPr>
                  <w:r>
                    <w:rPr>
                      <w:color w:val="auto"/>
                      <w:sz w:val="18"/>
                      <w:szCs w:val="18"/>
                    </w:rPr>
                    <w:t>碳酸钠</w:t>
                  </w:r>
                </w:p>
              </w:tc>
              <w:tc>
                <w:tcPr>
                  <w:tcW w:w="2508" w:type="pct"/>
                  <w:shd w:val="clear" w:color="auto" w:fill="auto"/>
                  <w:vAlign w:val="center"/>
                </w:tcPr>
                <w:p w14:paraId="522BA4CD">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白色无气味的粉末或颗粒，易溶于水，溶于甘油，微溶于</w:t>
                  </w:r>
                  <w:r>
                    <w:rPr>
                      <w:color w:val="auto"/>
                    </w:rPr>
                    <w:fldChar w:fldCharType="begin"/>
                  </w:r>
                  <w:r>
                    <w:rPr>
                      <w:color w:val="auto"/>
                    </w:rPr>
                    <w:instrText xml:space="preserve"> HYPERLINK "https://baike.baidu.com/item/%E6%97%A0%E6%B0%B4%E4%B9%99%E9%86%87/949504?fromModule=lemma_inlink" \t "https://baike.baidu.com/item/_blank" </w:instrText>
                  </w:r>
                  <w:r>
                    <w:rPr>
                      <w:color w:val="auto"/>
                    </w:rPr>
                    <w:fldChar w:fldCharType="separate"/>
                  </w:r>
                  <w:r>
                    <w:rPr>
                      <w:color w:val="auto"/>
                      <w:sz w:val="18"/>
                      <w:szCs w:val="18"/>
                    </w:rPr>
                    <w:t>无水乙醇</w:t>
                  </w:r>
                  <w:r>
                    <w:rPr>
                      <w:color w:val="auto"/>
                      <w:sz w:val="18"/>
                      <w:szCs w:val="18"/>
                    </w:rPr>
                    <w:fldChar w:fldCharType="end"/>
                  </w:r>
                  <w:r>
                    <w:rPr>
                      <w:color w:val="auto"/>
                      <w:sz w:val="18"/>
                      <w:szCs w:val="18"/>
                    </w:rPr>
                    <w:t>，难溶于</w:t>
                  </w:r>
                  <w:r>
                    <w:rPr>
                      <w:color w:val="auto"/>
                    </w:rPr>
                    <w:fldChar w:fldCharType="begin"/>
                  </w:r>
                  <w:r>
                    <w:rPr>
                      <w:color w:val="auto"/>
                    </w:rPr>
                    <w:instrText xml:space="preserve"> HYPERLINK "https://baike.baidu.com/item/%E4%B8%99%E9%86%87/54522155?fromModule=lemma_inlink" \t "https://baike.baidu.com/item/_blank" </w:instrText>
                  </w:r>
                  <w:r>
                    <w:rPr>
                      <w:color w:val="auto"/>
                    </w:rPr>
                    <w:fldChar w:fldCharType="separate"/>
                  </w:r>
                  <w:r>
                    <w:rPr>
                      <w:color w:val="auto"/>
                      <w:sz w:val="18"/>
                      <w:szCs w:val="18"/>
                    </w:rPr>
                    <w:t>丙醇</w:t>
                  </w:r>
                  <w:r>
                    <w:rPr>
                      <w:color w:val="auto"/>
                      <w:sz w:val="18"/>
                      <w:szCs w:val="18"/>
                    </w:rPr>
                    <w:fldChar w:fldCharType="end"/>
                  </w:r>
                  <w:r>
                    <w:rPr>
                      <w:color w:val="auto"/>
                      <w:sz w:val="18"/>
                      <w:szCs w:val="18"/>
                    </w:rPr>
                    <w:t>。熔点851°C，沸点1600°C，密度2.532 g/cm</w:t>
                  </w:r>
                  <w:r>
                    <w:rPr>
                      <w:rFonts w:hint="eastAsia"/>
                      <w:color w:val="auto"/>
                      <w:sz w:val="18"/>
                      <w:szCs w:val="18"/>
                      <w:vertAlign w:val="superscript"/>
                    </w:rPr>
                    <w:t>3</w:t>
                  </w:r>
                  <w:r>
                    <w:rPr>
                      <w:color w:val="auto"/>
                      <w:sz w:val="18"/>
                      <w:szCs w:val="18"/>
                    </w:rPr>
                    <w:t>。</w:t>
                  </w:r>
                </w:p>
              </w:tc>
              <w:tc>
                <w:tcPr>
                  <w:tcW w:w="589" w:type="pct"/>
                  <w:shd w:val="clear" w:color="auto" w:fill="auto"/>
                  <w:vAlign w:val="center"/>
                </w:tcPr>
                <w:p w14:paraId="6F5E2376">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3F7372F6">
                  <w:pPr>
                    <w:widowControl/>
                    <w:jc w:val="center"/>
                    <w:rPr>
                      <w:color w:val="auto"/>
                      <w:sz w:val="18"/>
                      <w:szCs w:val="18"/>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w:t>
                  </w:r>
                </w:p>
                <w:p w14:paraId="1C6FA3D4">
                  <w:pPr>
                    <w:widowControl/>
                    <w:jc w:val="center"/>
                    <w:rPr>
                      <w:color w:val="auto"/>
                      <w:sz w:val="18"/>
                      <w:szCs w:val="18"/>
                    </w:rPr>
                  </w:pPr>
                  <w:r>
                    <w:rPr>
                      <w:color w:val="auto"/>
                      <w:kern w:val="0"/>
                      <w:sz w:val="18"/>
                      <w:szCs w:val="18"/>
                      <w:lang w:bidi="ar"/>
                    </w:rPr>
                    <w:t>4090mg/kg</w:t>
                  </w:r>
                </w:p>
                <w:p w14:paraId="06F22457">
                  <w:pPr>
                    <w:adjustRightInd w:val="0"/>
                    <w:snapToGrid w:val="0"/>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（大鼠经口）</w:t>
                  </w:r>
                </w:p>
              </w:tc>
            </w:tr>
            <w:tr w14:paraId="73DE5B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36DA3EA0">
                  <w:pPr>
                    <w:adjustRightInd w:val="0"/>
                    <w:snapToGrid w:val="0"/>
                    <w:jc w:val="center"/>
                    <w:rPr>
                      <w:color w:val="auto"/>
                      <w:sz w:val="18"/>
                      <w:szCs w:val="18"/>
                    </w:rPr>
                  </w:pPr>
                  <w:r>
                    <w:rPr>
                      <w:color w:val="auto"/>
                      <w:sz w:val="18"/>
                      <w:szCs w:val="18"/>
                    </w:rPr>
                    <w:t>55</w:t>
                  </w:r>
                </w:p>
              </w:tc>
              <w:tc>
                <w:tcPr>
                  <w:tcW w:w="706" w:type="pct"/>
                  <w:shd w:val="clear" w:color="auto" w:fill="auto"/>
                  <w:vAlign w:val="center"/>
                </w:tcPr>
                <w:p w14:paraId="6DA14030">
                  <w:pPr>
                    <w:jc w:val="center"/>
                    <w:rPr>
                      <w:rFonts w:ascii="Times New Roman" w:hAnsi="Times New Roman" w:eastAsia="宋体" w:cs="Times New Roman"/>
                      <w:color w:val="auto"/>
                      <w:kern w:val="2"/>
                      <w:sz w:val="18"/>
                      <w:szCs w:val="18"/>
                      <w:lang w:val="en-US" w:eastAsia="zh-CN" w:bidi="ar-SA"/>
                    </w:rPr>
                  </w:pPr>
                  <w:r>
                    <w:rPr>
                      <w:color w:val="auto"/>
                      <w:sz w:val="18"/>
                      <w:szCs w:val="18"/>
                    </w:rPr>
                    <w:t>磷酸二氢钾</w:t>
                  </w:r>
                </w:p>
              </w:tc>
              <w:tc>
                <w:tcPr>
                  <w:tcW w:w="2508" w:type="pct"/>
                  <w:shd w:val="clear" w:color="auto" w:fill="auto"/>
                  <w:vAlign w:val="center"/>
                </w:tcPr>
                <w:p w14:paraId="5E2856E4">
                  <w:pPr>
                    <w:widowControl/>
                    <w:jc w:val="left"/>
                    <w:rPr>
                      <w:rFonts w:ascii="Times New Roman" w:hAnsi="Times New Roman" w:eastAsia="宋体" w:cs="Times New Roman"/>
                      <w:color w:val="auto"/>
                      <w:kern w:val="2"/>
                      <w:sz w:val="18"/>
                      <w:szCs w:val="18"/>
                      <w:lang w:val="en-US" w:eastAsia="zh-CN" w:bidi="ar-SA"/>
                    </w:rPr>
                  </w:pPr>
                  <w:r>
                    <w:rPr>
                      <w:color w:val="auto"/>
                      <w:kern w:val="0"/>
                      <w:sz w:val="18"/>
                      <w:szCs w:val="18"/>
                      <w:lang w:bidi="ar"/>
                    </w:rPr>
                    <w:t>白色结晶性粉末。相对密度2.338</w:t>
                  </w:r>
                  <w:r>
                    <w:rPr>
                      <w:color w:val="auto"/>
                      <w:sz w:val="18"/>
                      <w:szCs w:val="18"/>
                    </w:rPr>
                    <w:t xml:space="preserve"> g/cm</w:t>
                  </w:r>
                  <w:r>
                    <w:rPr>
                      <w:rFonts w:hint="eastAsia"/>
                      <w:color w:val="auto"/>
                      <w:sz w:val="18"/>
                      <w:szCs w:val="18"/>
                      <w:vertAlign w:val="superscript"/>
                    </w:rPr>
                    <w:t>3</w:t>
                  </w:r>
                  <w:r>
                    <w:rPr>
                      <w:color w:val="auto"/>
                      <w:kern w:val="0"/>
                      <w:sz w:val="18"/>
                      <w:szCs w:val="18"/>
                      <w:lang w:bidi="ar"/>
                    </w:rPr>
                    <w:t>。熔点 252.6℃。溶于水。不溶于醇。</w:t>
                  </w:r>
                </w:p>
              </w:tc>
              <w:tc>
                <w:tcPr>
                  <w:tcW w:w="589" w:type="pct"/>
                  <w:shd w:val="clear" w:color="auto" w:fill="auto"/>
                  <w:vAlign w:val="center"/>
                </w:tcPr>
                <w:p w14:paraId="4C9A4092">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630C8F32">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r>
            <w:tr w14:paraId="3399A2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345FFAF9">
                  <w:pPr>
                    <w:adjustRightInd w:val="0"/>
                    <w:snapToGrid w:val="0"/>
                    <w:jc w:val="center"/>
                    <w:rPr>
                      <w:color w:val="auto"/>
                      <w:sz w:val="18"/>
                      <w:szCs w:val="18"/>
                    </w:rPr>
                  </w:pPr>
                  <w:r>
                    <w:rPr>
                      <w:color w:val="auto"/>
                      <w:sz w:val="18"/>
                      <w:szCs w:val="18"/>
                    </w:rPr>
                    <w:t>56</w:t>
                  </w:r>
                </w:p>
              </w:tc>
              <w:tc>
                <w:tcPr>
                  <w:tcW w:w="706" w:type="pct"/>
                  <w:shd w:val="clear" w:color="auto" w:fill="auto"/>
                  <w:vAlign w:val="center"/>
                </w:tcPr>
                <w:p w14:paraId="612BF002">
                  <w:pPr>
                    <w:jc w:val="center"/>
                    <w:rPr>
                      <w:rFonts w:ascii="Times New Roman" w:hAnsi="Times New Roman" w:eastAsia="宋体" w:cs="Times New Roman"/>
                      <w:color w:val="auto"/>
                      <w:kern w:val="2"/>
                      <w:sz w:val="18"/>
                      <w:szCs w:val="18"/>
                      <w:lang w:val="en-US" w:eastAsia="zh-CN" w:bidi="ar-SA"/>
                    </w:rPr>
                  </w:pPr>
                  <w:r>
                    <w:rPr>
                      <w:color w:val="auto"/>
                      <w:sz w:val="18"/>
                      <w:szCs w:val="18"/>
                    </w:rPr>
                    <w:t>磷酸二氢钠</w:t>
                  </w:r>
                </w:p>
              </w:tc>
              <w:tc>
                <w:tcPr>
                  <w:tcW w:w="2508" w:type="pct"/>
                  <w:shd w:val="clear" w:color="auto" w:fill="auto"/>
                  <w:vAlign w:val="center"/>
                </w:tcPr>
                <w:p w14:paraId="6DA3567D">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白色结晶性粉末，易溶于水，不溶于乙醇。熔点约60℃，密度1.40 g/cm</w:t>
                  </w:r>
                  <w:r>
                    <w:rPr>
                      <w:rFonts w:hint="eastAsia"/>
                      <w:color w:val="auto"/>
                      <w:sz w:val="18"/>
                      <w:szCs w:val="18"/>
                      <w:vertAlign w:val="superscript"/>
                    </w:rPr>
                    <w:t>3</w:t>
                  </w:r>
                  <w:r>
                    <w:rPr>
                      <w:color w:val="auto"/>
                      <w:sz w:val="18"/>
                      <w:szCs w:val="18"/>
                    </w:rPr>
                    <w:t>。</w:t>
                  </w:r>
                </w:p>
              </w:tc>
              <w:tc>
                <w:tcPr>
                  <w:tcW w:w="589" w:type="pct"/>
                  <w:shd w:val="clear" w:color="auto" w:fill="auto"/>
                  <w:vAlign w:val="center"/>
                </w:tcPr>
                <w:p w14:paraId="2E39EA7A">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3A4C104A">
                  <w:pPr>
                    <w:widowControl/>
                    <w:jc w:val="center"/>
                    <w:rPr>
                      <w:color w:val="auto"/>
                      <w:sz w:val="18"/>
                      <w:szCs w:val="18"/>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w:t>
                  </w:r>
                </w:p>
                <w:p w14:paraId="01907399">
                  <w:pPr>
                    <w:widowControl/>
                    <w:jc w:val="center"/>
                    <w:rPr>
                      <w:color w:val="auto"/>
                      <w:sz w:val="18"/>
                      <w:szCs w:val="18"/>
                    </w:rPr>
                  </w:pPr>
                  <w:r>
                    <w:rPr>
                      <w:color w:val="auto"/>
                      <w:kern w:val="0"/>
                      <w:sz w:val="18"/>
                      <w:szCs w:val="18"/>
                      <w:lang w:bidi="ar"/>
                    </w:rPr>
                    <w:t>8290mg/kg</w:t>
                  </w:r>
                </w:p>
                <w:p w14:paraId="19CE0A1E">
                  <w:pPr>
                    <w:adjustRightInd w:val="0"/>
                    <w:snapToGrid w:val="0"/>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（大鼠经口）</w:t>
                  </w:r>
                </w:p>
              </w:tc>
            </w:tr>
            <w:tr w14:paraId="10B6CA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27FD63C6">
                  <w:pPr>
                    <w:adjustRightInd w:val="0"/>
                    <w:snapToGrid w:val="0"/>
                    <w:jc w:val="center"/>
                    <w:rPr>
                      <w:color w:val="auto"/>
                      <w:sz w:val="18"/>
                      <w:szCs w:val="18"/>
                    </w:rPr>
                  </w:pPr>
                  <w:r>
                    <w:rPr>
                      <w:color w:val="auto"/>
                      <w:sz w:val="18"/>
                      <w:szCs w:val="18"/>
                    </w:rPr>
                    <w:t>57</w:t>
                  </w:r>
                </w:p>
              </w:tc>
              <w:tc>
                <w:tcPr>
                  <w:tcW w:w="706" w:type="pct"/>
                  <w:shd w:val="clear" w:color="auto" w:fill="auto"/>
                  <w:vAlign w:val="center"/>
                </w:tcPr>
                <w:p w14:paraId="3EE95C07">
                  <w:pPr>
                    <w:jc w:val="center"/>
                    <w:rPr>
                      <w:rFonts w:ascii="Times New Roman" w:hAnsi="Times New Roman" w:eastAsia="宋体" w:cs="Times New Roman"/>
                      <w:color w:val="auto"/>
                      <w:kern w:val="2"/>
                      <w:sz w:val="18"/>
                      <w:szCs w:val="18"/>
                      <w:lang w:val="en-US" w:eastAsia="zh-CN" w:bidi="ar-SA"/>
                    </w:rPr>
                  </w:pPr>
                  <w:r>
                    <w:rPr>
                      <w:color w:val="auto"/>
                      <w:sz w:val="18"/>
                      <w:szCs w:val="18"/>
                    </w:rPr>
                    <w:t>磷酸氢钠</w:t>
                  </w:r>
                </w:p>
              </w:tc>
              <w:tc>
                <w:tcPr>
                  <w:tcW w:w="2508" w:type="pct"/>
                  <w:shd w:val="clear" w:color="auto" w:fill="auto"/>
                  <w:vAlign w:val="center"/>
                </w:tcPr>
                <w:p w14:paraId="197C3BC2">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外观为白色结晶性粉末，易潮解，熔点约243-245℃。</w:t>
                  </w:r>
                  <w:r>
                    <w:rPr>
                      <w:color w:val="auto"/>
                      <w:kern w:val="0"/>
                      <w:sz w:val="18"/>
                      <w:szCs w:val="18"/>
                      <w:lang w:bidi="ar"/>
                    </w:rPr>
                    <w:t>密度：1.064 g/cm</w:t>
                  </w:r>
                  <w:r>
                    <w:rPr>
                      <w:color w:val="auto"/>
                      <w:kern w:val="0"/>
                      <w:sz w:val="18"/>
                      <w:szCs w:val="18"/>
                      <w:vertAlign w:val="superscript"/>
                      <w:lang w:bidi="ar"/>
                    </w:rPr>
                    <w:t>3</w:t>
                  </w:r>
                  <w:r>
                    <w:rPr>
                      <w:rFonts w:hint="eastAsia"/>
                      <w:color w:val="auto"/>
                      <w:kern w:val="0"/>
                      <w:sz w:val="18"/>
                      <w:szCs w:val="18"/>
                      <w:lang w:bidi="ar"/>
                    </w:rPr>
                    <w:t>，</w:t>
                  </w:r>
                  <w:r>
                    <w:rPr>
                      <w:color w:val="auto"/>
                      <w:sz w:val="18"/>
                      <w:szCs w:val="18"/>
                    </w:rPr>
                    <w:t>易溶于水，不溶于乙醇。</w:t>
                  </w:r>
                </w:p>
              </w:tc>
              <w:tc>
                <w:tcPr>
                  <w:tcW w:w="589" w:type="pct"/>
                  <w:shd w:val="clear" w:color="auto" w:fill="auto"/>
                  <w:vAlign w:val="center"/>
                </w:tcPr>
                <w:p w14:paraId="4E0D3254">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6B50AAD6">
                  <w:pPr>
                    <w:adjustRightInd w:val="0"/>
                    <w:snapToGrid w:val="0"/>
                    <w:jc w:val="center"/>
                    <w:rPr>
                      <w:rFonts w:ascii="Times New Roman" w:hAnsi="Times New Roman" w:eastAsia="宋体" w:cs="Times New Roman"/>
                      <w:color w:val="auto"/>
                      <w:kern w:val="2"/>
                      <w:sz w:val="18"/>
                      <w:szCs w:val="18"/>
                      <w:lang w:val="en-US" w:eastAsia="zh-CN" w:bidi="ar-SA"/>
                    </w:rPr>
                  </w:pPr>
                  <w:r>
                    <w:rPr>
                      <w:rFonts w:hint="eastAsia"/>
                      <w:color w:val="auto"/>
                      <w:kern w:val="0"/>
                      <w:sz w:val="18"/>
                      <w:szCs w:val="18"/>
                      <w:lang w:bidi="ar"/>
                    </w:rPr>
                    <w:t>/</w:t>
                  </w:r>
                </w:p>
              </w:tc>
            </w:tr>
            <w:tr w14:paraId="004BCD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4F7AED6B">
                  <w:pPr>
                    <w:adjustRightInd w:val="0"/>
                    <w:snapToGrid w:val="0"/>
                    <w:jc w:val="center"/>
                    <w:rPr>
                      <w:color w:val="auto"/>
                      <w:sz w:val="18"/>
                      <w:szCs w:val="18"/>
                    </w:rPr>
                  </w:pPr>
                  <w:r>
                    <w:rPr>
                      <w:color w:val="auto"/>
                      <w:sz w:val="18"/>
                      <w:szCs w:val="18"/>
                    </w:rPr>
                    <w:t>58</w:t>
                  </w:r>
                </w:p>
              </w:tc>
              <w:tc>
                <w:tcPr>
                  <w:tcW w:w="706" w:type="pct"/>
                  <w:shd w:val="clear" w:color="auto" w:fill="auto"/>
                  <w:vAlign w:val="center"/>
                </w:tcPr>
                <w:p w14:paraId="39F303BA">
                  <w:pPr>
                    <w:jc w:val="center"/>
                    <w:rPr>
                      <w:rFonts w:ascii="Times New Roman" w:hAnsi="Times New Roman" w:eastAsia="宋体" w:cs="Times New Roman"/>
                      <w:color w:val="auto"/>
                      <w:kern w:val="2"/>
                      <w:sz w:val="18"/>
                      <w:szCs w:val="18"/>
                      <w:lang w:val="en-US" w:eastAsia="zh-CN" w:bidi="ar-SA"/>
                    </w:rPr>
                  </w:pPr>
                  <w:r>
                    <w:rPr>
                      <w:color w:val="auto"/>
                      <w:sz w:val="18"/>
                      <w:szCs w:val="18"/>
                    </w:rPr>
                    <w:t>五水合硫代硫酸钠</w:t>
                  </w:r>
                </w:p>
              </w:tc>
              <w:tc>
                <w:tcPr>
                  <w:tcW w:w="2508" w:type="pct"/>
                  <w:shd w:val="clear" w:color="auto" w:fill="auto"/>
                  <w:vAlign w:val="center"/>
                </w:tcPr>
                <w:p w14:paraId="6D400243">
                  <w:pPr>
                    <w:adjustRightInd w:val="0"/>
                    <w:snapToGrid w:val="0"/>
                    <w:jc w:val="left"/>
                    <w:rPr>
                      <w:color w:val="auto"/>
                      <w:sz w:val="18"/>
                      <w:szCs w:val="18"/>
                    </w:rPr>
                  </w:pPr>
                  <w:r>
                    <w:rPr>
                      <w:color w:val="auto"/>
                      <w:sz w:val="18"/>
                      <w:szCs w:val="18"/>
                    </w:rPr>
                    <w:t>无色单斜晶系结晶，无臭，有清凉带苦的味</w:t>
                  </w:r>
                </w:p>
                <w:p w14:paraId="0EA0E6C5">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道。相对密度1.729g/cm</w:t>
                  </w:r>
                  <w:r>
                    <w:rPr>
                      <w:rFonts w:hint="eastAsia"/>
                      <w:color w:val="auto"/>
                      <w:sz w:val="18"/>
                      <w:szCs w:val="18"/>
                      <w:vertAlign w:val="superscript"/>
                    </w:rPr>
                    <w:t>3</w:t>
                  </w:r>
                  <w:r>
                    <w:rPr>
                      <w:color w:val="auto"/>
                      <w:sz w:val="18"/>
                      <w:szCs w:val="18"/>
                    </w:rPr>
                    <w:t>，易溶于水，不溶于醇，熔点 48.5℃。</w:t>
                  </w:r>
                </w:p>
              </w:tc>
              <w:tc>
                <w:tcPr>
                  <w:tcW w:w="589" w:type="pct"/>
                  <w:shd w:val="clear" w:color="auto" w:fill="auto"/>
                  <w:vAlign w:val="center"/>
                </w:tcPr>
                <w:p w14:paraId="2BA9CF13">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3C8626EA">
                  <w:pPr>
                    <w:widowControl/>
                    <w:jc w:val="center"/>
                    <w:rPr>
                      <w:color w:val="auto"/>
                      <w:sz w:val="18"/>
                      <w:szCs w:val="18"/>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w:t>
                  </w:r>
                </w:p>
                <w:p w14:paraId="3FCCDFE4">
                  <w:pPr>
                    <w:widowControl/>
                    <w:jc w:val="center"/>
                    <w:rPr>
                      <w:color w:val="auto"/>
                      <w:sz w:val="18"/>
                      <w:szCs w:val="18"/>
                    </w:rPr>
                  </w:pPr>
                  <w:r>
                    <w:rPr>
                      <w:rFonts w:hint="eastAsia"/>
                      <w:color w:val="auto"/>
                      <w:kern w:val="0"/>
                      <w:sz w:val="18"/>
                      <w:szCs w:val="18"/>
                      <w:lang w:bidi="ar"/>
                    </w:rPr>
                    <w:t>5600</w:t>
                  </w:r>
                  <w:r>
                    <w:rPr>
                      <w:color w:val="auto"/>
                      <w:kern w:val="0"/>
                      <w:sz w:val="18"/>
                      <w:szCs w:val="18"/>
                      <w:lang w:bidi="ar"/>
                    </w:rPr>
                    <w:t>mg/kg</w:t>
                  </w:r>
                </w:p>
                <w:p w14:paraId="0A8DC470">
                  <w:pPr>
                    <w:adjustRightInd w:val="0"/>
                    <w:snapToGrid w:val="0"/>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w:t>
                  </w:r>
                  <w:r>
                    <w:rPr>
                      <w:rFonts w:hint="eastAsia"/>
                      <w:color w:val="auto"/>
                      <w:kern w:val="0"/>
                      <w:sz w:val="18"/>
                      <w:szCs w:val="18"/>
                      <w:lang w:bidi="ar"/>
                    </w:rPr>
                    <w:t>腹腔-小鼠</w:t>
                  </w:r>
                  <w:r>
                    <w:rPr>
                      <w:color w:val="auto"/>
                      <w:kern w:val="0"/>
                      <w:sz w:val="18"/>
                      <w:szCs w:val="18"/>
                      <w:lang w:bidi="ar"/>
                    </w:rPr>
                    <w:t>）</w:t>
                  </w:r>
                </w:p>
              </w:tc>
            </w:tr>
            <w:tr w14:paraId="598B66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7719441B">
                  <w:pPr>
                    <w:adjustRightInd w:val="0"/>
                    <w:snapToGrid w:val="0"/>
                    <w:jc w:val="center"/>
                    <w:rPr>
                      <w:color w:val="auto"/>
                      <w:sz w:val="18"/>
                      <w:szCs w:val="18"/>
                    </w:rPr>
                  </w:pPr>
                  <w:r>
                    <w:rPr>
                      <w:color w:val="auto"/>
                      <w:sz w:val="18"/>
                      <w:szCs w:val="18"/>
                    </w:rPr>
                    <w:t>59</w:t>
                  </w:r>
                </w:p>
              </w:tc>
              <w:tc>
                <w:tcPr>
                  <w:tcW w:w="706" w:type="pct"/>
                  <w:shd w:val="clear" w:color="auto" w:fill="auto"/>
                  <w:vAlign w:val="center"/>
                </w:tcPr>
                <w:p w14:paraId="1F56C541">
                  <w:pPr>
                    <w:jc w:val="center"/>
                    <w:rPr>
                      <w:rFonts w:ascii="Times New Roman" w:hAnsi="Times New Roman" w:eastAsia="宋体" w:cs="Times New Roman"/>
                      <w:color w:val="auto"/>
                      <w:kern w:val="2"/>
                      <w:sz w:val="18"/>
                      <w:szCs w:val="18"/>
                      <w:lang w:val="en-US" w:eastAsia="zh-CN" w:bidi="ar-SA"/>
                    </w:rPr>
                  </w:pPr>
                  <w:r>
                    <w:rPr>
                      <w:color w:val="auto"/>
                      <w:sz w:val="18"/>
                      <w:szCs w:val="18"/>
                    </w:rPr>
                    <w:t>五水合硫酸铜</w:t>
                  </w:r>
                </w:p>
              </w:tc>
              <w:tc>
                <w:tcPr>
                  <w:tcW w:w="2508" w:type="pct"/>
                  <w:shd w:val="clear" w:color="auto" w:fill="auto"/>
                  <w:vAlign w:val="center"/>
                </w:tcPr>
                <w:p w14:paraId="5EDA053C">
                  <w:pPr>
                    <w:widowControl/>
                    <w:jc w:val="left"/>
                    <w:rPr>
                      <w:rFonts w:ascii="Times New Roman" w:hAnsi="Times New Roman" w:eastAsia="宋体" w:cs="Times New Roman"/>
                      <w:color w:val="auto"/>
                      <w:kern w:val="2"/>
                      <w:sz w:val="18"/>
                      <w:szCs w:val="18"/>
                      <w:lang w:val="en-US" w:eastAsia="zh-CN" w:bidi="ar-SA"/>
                    </w:rPr>
                  </w:pPr>
                  <w:r>
                    <w:rPr>
                      <w:color w:val="auto"/>
                      <w:kern w:val="0"/>
                      <w:sz w:val="18"/>
                      <w:szCs w:val="18"/>
                      <w:lang w:bidi="ar"/>
                    </w:rPr>
                    <w:t>亮蓝色不对称三斜晶系结晶或粉末。密度：2.28</w:t>
                  </w:r>
                  <w:r>
                    <w:rPr>
                      <w:rFonts w:hint="eastAsia"/>
                      <w:color w:val="auto"/>
                      <w:kern w:val="0"/>
                      <w:sz w:val="18"/>
                      <w:szCs w:val="18"/>
                      <w:lang w:bidi="ar"/>
                    </w:rPr>
                    <w:t>4</w:t>
                  </w:r>
                  <w:r>
                    <w:rPr>
                      <w:color w:val="auto"/>
                      <w:kern w:val="0"/>
                      <w:sz w:val="18"/>
                      <w:szCs w:val="18"/>
                      <w:lang w:bidi="ar"/>
                    </w:rPr>
                    <w:t xml:space="preserve"> g/cm</w:t>
                  </w:r>
                  <w:r>
                    <w:rPr>
                      <w:color w:val="auto"/>
                      <w:kern w:val="0"/>
                      <w:sz w:val="18"/>
                      <w:szCs w:val="18"/>
                      <w:vertAlign w:val="superscript"/>
                      <w:lang w:bidi="ar"/>
                    </w:rPr>
                    <w:t>3</w:t>
                  </w:r>
                  <w:r>
                    <w:rPr>
                      <w:color w:val="auto"/>
                      <w:kern w:val="0"/>
                      <w:sz w:val="18"/>
                      <w:szCs w:val="18"/>
                      <w:lang w:bidi="ar"/>
                    </w:rPr>
                    <w:t>（五水）；易溶于水</w:t>
                  </w:r>
                  <w:r>
                    <w:rPr>
                      <w:rFonts w:hint="eastAsia"/>
                      <w:color w:val="auto"/>
                      <w:kern w:val="0"/>
                      <w:sz w:val="18"/>
                      <w:szCs w:val="18"/>
                      <w:lang w:bidi="ar"/>
                    </w:rPr>
                    <w:t>，微溶于甲醇，</w:t>
                  </w:r>
                  <w:r>
                    <w:rPr>
                      <w:color w:val="auto"/>
                      <w:kern w:val="0"/>
                      <w:sz w:val="18"/>
                      <w:szCs w:val="18"/>
                      <w:lang w:bidi="ar"/>
                    </w:rPr>
                    <w:t>不溶于乙醇。</w:t>
                  </w:r>
                </w:p>
              </w:tc>
              <w:tc>
                <w:tcPr>
                  <w:tcW w:w="589" w:type="pct"/>
                  <w:shd w:val="clear" w:color="auto" w:fill="auto"/>
                  <w:vAlign w:val="center"/>
                </w:tcPr>
                <w:p w14:paraId="6D07B898">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19792567">
                  <w:pPr>
                    <w:widowControl/>
                    <w:jc w:val="center"/>
                    <w:rPr>
                      <w:color w:val="auto"/>
                      <w:sz w:val="18"/>
                      <w:szCs w:val="18"/>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w:t>
                  </w:r>
                </w:p>
                <w:p w14:paraId="3FA94889">
                  <w:pPr>
                    <w:widowControl/>
                    <w:jc w:val="center"/>
                    <w:rPr>
                      <w:color w:val="auto"/>
                      <w:sz w:val="18"/>
                      <w:szCs w:val="18"/>
                    </w:rPr>
                  </w:pPr>
                  <w:r>
                    <w:rPr>
                      <w:rFonts w:hint="eastAsia"/>
                      <w:color w:val="auto"/>
                      <w:kern w:val="0"/>
                      <w:sz w:val="18"/>
                      <w:szCs w:val="18"/>
                      <w:lang w:bidi="ar"/>
                    </w:rPr>
                    <w:t>18.7</w:t>
                  </w:r>
                  <w:r>
                    <w:rPr>
                      <w:color w:val="auto"/>
                      <w:kern w:val="0"/>
                      <w:sz w:val="18"/>
                      <w:szCs w:val="18"/>
                      <w:lang w:bidi="ar"/>
                    </w:rPr>
                    <w:t>mg/kg</w:t>
                  </w:r>
                </w:p>
                <w:p w14:paraId="35C1883E">
                  <w:pPr>
                    <w:adjustRightInd w:val="0"/>
                    <w:snapToGrid w:val="0"/>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w:t>
                  </w:r>
                  <w:r>
                    <w:rPr>
                      <w:rFonts w:hint="eastAsia"/>
                      <w:color w:val="auto"/>
                      <w:kern w:val="0"/>
                      <w:sz w:val="18"/>
                      <w:szCs w:val="18"/>
                      <w:lang w:bidi="ar"/>
                    </w:rPr>
                    <w:t>腹腔-大鼠</w:t>
                  </w:r>
                  <w:r>
                    <w:rPr>
                      <w:color w:val="auto"/>
                      <w:kern w:val="0"/>
                      <w:sz w:val="18"/>
                      <w:szCs w:val="18"/>
                      <w:lang w:bidi="ar"/>
                    </w:rPr>
                    <w:t>）</w:t>
                  </w:r>
                </w:p>
              </w:tc>
            </w:tr>
            <w:tr w14:paraId="7AB471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391" w:type="pct"/>
                  <w:vAlign w:val="center"/>
                </w:tcPr>
                <w:p w14:paraId="53ED79D8">
                  <w:pPr>
                    <w:adjustRightInd w:val="0"/>
                    <w:snapToGrid w:val="0"/>
                    <w:jc w:val="center"/>
                    <w:rPr>
                      <w:color w:val="auto"/>
                      <w:sz w:val="18"/>
                      <w:szCs w:val="18"/>
                    </w:rPr>
                  </w:pPr>
                  <w:r>
                    <w:rPr>
                      <w:color w:val="auto"/>
                      <w:sz w:val="18"/>
                      <w:szCs w:val="18"/>
                    </w:rPr>
                    <w:t>60</w:t>
                  </w:r>
                </w:p>
              </w:tc>
              <w:tc>
                <w:tcPr>
                  <w:tcW w:w="706" w:type="pct"/>
                  <w:shd w:val="clear" w:color="auto" w:fill="auto"/>
                  <w:vAlign w:val="center"/>
                </w:tcPr>
                <w:p w14:paraId="58682C42">
                  <w:pPr>
                    <w:jc w:val="center"/>
                    <w:rPr>
                      <w:rFonts w:ascii="Times New Roman" w:hAnsi="Times New Roman" w:eastAsia="宋体" w:cs="Times New Roman"/>
                      <w:color w:val="auto"/>
                      <w:kern w:val="2"/>
                      <w:sz w:val="18"/>
                      <w:szCs w:val="18"/>
                      <w:lang w:val="en-US" w:eastAsia="zh-CN" w:bidi="ar-SA"/>
                    </w:rPr>
                  </w:pPr>
                  <w:r>
                    <w:rPr>
                      <w:color w:val="auto"/>
                      <w:sz w:val="18"/>
                      <w:szCs w:val="18"/>
                    </w:rPr>
                    <w:t>碳酸氢铵</w:t>
                  </w:r>
                </w:p>
              </w:tc>
              <w:tc>
                <w:tcPr>
                  <w:tcW w:w="2508" w:type="pct"/>
                  <w:shd w:val="clear" w:color="auto" w:fill="auto"/>
                  <w:vAlign w:val="center"/>
                </w:tcPr>
                <w:p w14:paraId="489A279A">
                  <w:pPr>
                    <w:widowControl/>
                    <w:jc w:val="left"/>
                    <w:rPr>
                      <w:color w:val="auto"/>
                      <w:sz w:val="18"/>
                      <w:szCs w:val="18"/>
                    </w:rPr>
                  </w:pPr>
                  <w:r>
                    <w:rPr>
                      <w:color w:val="auto"/>
                      <w:kern w:val="0"/>
                      <w:sz w:val="18"/>
                      <w:szCs w:val="18"/>
                      <w:lang w:bidi="ar"/>
                    </w:rPr>
                    <w:t xml:space="preserve">白色斜方晶系或单斜晶系结晶体，有氨臭，熔点 </w:t>
                  </w:r>
                </w:p>
                <w:p w14:paraId="7D9EE027">
                  <w:pPr>
                    <w:widowControl/>
                    <w:jc w:val="left"/>
                    <w:rPr>
                      <w:rFonts w:ascii="Times New Roman" w:hAnsi="Times New Roman" w:eastAsia="宋体" w:cs="Times New Roman"/>
                      <w:color w:val="auto"/>
                      <w:kern w:val="2"/>
                      <w:sz w:val="18"/>
                      <w:szCs w:val="18"/>
                      <w:lang w:val="en-US" w:eastAsia="zh-CN" w:bidi="ar-SA"/>
                    </w:rPr>
                  </w:pPr>
                  <w:r>
                    <w:rPr>
                      <w:color w:val="auto"/>
                      <w:kern w:val="0"/>
                      <w:sz w:val="18"/>
                      <w:szCs w:val="18"/>
                      <w:lang w:bidi="ar"/>
                    </w:rPr>
                    <w:t>105℃，密度 1.586g/cm</w:t>
                  </w:r>
                  <w:r>
                    <w:rPr>
                      <w:rFonts w:hint="eastAsia"/>
                      <w:color w:val="auto"/>
                      <w:kern w:val="0"/>
                      <w:sz w:val="18"/>
                      <w:szCs w:val="18"/>
                      <w:vertAlign w:val="superscript"/>
                      <w:lang w:bidi="ar"/>
                    </w:rPr>
                    <w:t>3</w:t>
                  </w:r>
                  <w:r>
                    <w:rPr>
                      <w:color w:val="auto"/>
                      <w:kern w:val="0"/>
                      <w:sz w:val="18"/>
                      <w:szCs w:val="18"/>
                      <w:lang w:bidi="ar"/>
                    </w:rPr>
                    <w:t xml:space="preserve">。 </w:t>
                  </w:r>
                </w:p>
              </w:tc>
              <w:tc>
                <w:tcPr>
                  <w:tcW w:w="589" w:type="pct"/>
                  <w:shd w:val="clear" w:color="auto" w:fill="auto"/>
                  <w:vAlign w:val="center"/>
                </w:tcPr>
                <w:p w14:paraId="518C734E">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1244F695">
                  <w:pPr>
                    <w:widowControl/>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小鼠静脉注射LC</w:t>
                  </w:r>
                  <w:r>
                    <w:rPr>
                      <w:color w:val="auto"/>
                      <w:kern w:val="0"/>
                      <w:sz w:val="18"/>
                      <w:szCs w:val="18"/>
                      <w:vertAlign w:val="subscript"/>
                      <w:lang w:bidi="ar"/>
                    </w:rPr>
                    <w:t>50</w:t>
                  </w:r>
                  <w:r>
                    <w:rPr>
                      <w:color w:val="auto"/>
                      <w:kern w:val="0"/>
                      <w:sz w:val="18"/>
                      <w:szCs w:val="18"/>
                      <w:lang w:bidi="ar"/>
                    </w:rPr>
                    <w:t>：245mg/kg</w:t>
                  </w:r>
                </w:p>
              </w:tc>
            </w:tr>
            <w:tr w14:paraId="1B9064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391" w:type="pct"/>
                  <w:vAlign w:val="center"/>
                </w:tcPr>
                <w:p w14:paraId="776E08AC">
                  <w:pPr>
                    <w:adjustRightInd w:val="0"/>
                    <w:snapToGrid w:val="0"/>
                    <w:jc w:val="center"/>
                    <w:rPr>
                      <w:color w:val="auto"/>
                      <w:sz w:val="18"/>
                      <w:szCs w:val="18"/>
                    </w:rPr>
                  </w:pPr>
                  <w:r>
                    <w:rPr>
                      <w:color w:val="auto"/>
                      <w:sz w:val="18"/>
                      <w:szCs w:val="18"/>
                    </w:rPr>
                    <w:t>61</w:t>
                  </w:r>
                </w:p>
              </w:tc>
              <w:tc>
                <w:tcPr>
                  <w:tcW w:w="706" w:type="pct"/>
                  <w:shd w:val="clear" w:color="auto" w:fill="auto"/>
                  <w:vAlign w:val="center"/>
                </w:tcPr>
                <w:p w14:paraId="534FB37B">
                  <w:pPr>
                    <w:jc w:val="center"/>
                    <w:rPr>
                      <w:rFonts w:ascii="Times New Roman" w:hAnsi="Times New Roman" w:eastAsia="宋体" w:cs="Times New Roman"/>
                      <w:color w:val="auto"/>
                      <w:kern w:val="2"/>
                      <w:sz w:val="18"/>
                      <w:szCs w:val="18"/>
                      <w:lang w:val="en-US" w:eastAsia="zh-CN" w:bidi="ar-SA"/>
                    </w:rPr>
                  </w:pPr>
                  <w:r>
                    <w:rPr>
                      <w:color w:val="auto"/>
                      <w:sz w:val="18"/>
                      <w:szCs w:val="18"/>
                    </w:rPr>
                    <w:t>亚硝酸钠</w:t>
                  </w:r>
                </w:p>
              </w:tc>
              <w:tc>
                <w:tcPr>
                  <w:tcW w:w="2508" w:type="pct"/>
                  <w:shd w:val="clear" w:color="auto" w:fill="auto"/>
                  <w:vAlign w:val="center"/>
                </w:tcPr>
                <w:p w14:paraId="33A55F69">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白色至淡黄色粉末或颗粒状物质，易溶于水，微溶于乙醇、甲醇、乙醚，沸点：320℃</w:t>
                  </w:r>
                  <w:r>
                    <w:rPr>
                      <w:rFonts w:hint="eastAsia"/>
                      <w:color w:val="auto"/>
                      <w:sz w:val="18"/>
                      <w:szCs w:val="18"/>
                    </w:rPr>
                    <w:t>，熔点271</w:t>
                  </w:r>
                  <w:r>
                    <w:rPr>
                      <w:color w:val="auto"/>
                      <w:sz w:val="18"/>
                      <w:szCs w:val="18"/>
                    </w:rPr>
                    <w:t>℃</w:t>
                  </w:r>
                  <w:r>
                    <w:rPr>
                      <w:rFonts w:hint="eastAsia"/>
                      <w:color w:val="auto"/>
                      <w:sz w:val="18"/>
                      <w:szCs w:val="18"/>
                    </w:rPr>
                    <w:t>，密度：2.168</w:t>
                  </w:r>
                  <w:r>
                    <w:rPr>
                      <w:color w:val="auto"/>
                      <w:kern w:val="0"/>
                      <w:sz w:val="18"/>
                      <w:szCs w:val="18"/>
                      <w:lang w:bidi="ar"/>
                    </w:rPr>
                    <w:t>g/cm</w:t>
                  </w:r>
                  <w:r>
                    <w:rPr>
                      <w:rFonts w:hint="eastAsia"/>
                      <w:color w:val="auto"/>
                      <w:kern w:val="0"/>
                      <w:sz w:val="18"/>
                      <w:szCs w:val="18"/>
                      <w:vertAlign w:val="superscript"/>
                      <w:lang w:bidi="ar"/>
                    </w:rPr>
                    <w:t>3</w:t>
                  </w:r>
                  <w:r>
                    <w:rPr>
                      <w:color w:val="auto"/>
                      <w:kern w:val="0"/>
                      <w:sz w:val="18"/>
                      <w:szCs w:val="18"/>
                      <w:lang w:bidi="ar"/>
                    </w:rPr>
                    <w:t xml:space="preserve">。 </w:t>
                  </w:r>
                </w:p>
              </w:tc>
              <w:tc>
                <w:tcPr>
                  <w:tcW w:w="589" w:type="pct"/>
                  <w:shd w:val="clear" w:color="auto" w:fill="auto"/>
                  <w:vAlign w:val="center"/>
                </w:tcPr>
                <w:p w14:paraId="6A49FDEF">
                  <w:pPr>
                    <w:adjustRightInd w:val="0"/>
                    <w:snapToGrid w:val="0"/>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w:t>
                  </w:r>
                </w:p>
              </w:tc>
              <w:tc>
                <w:tcPr>
                  <w:tcW w:w="803" w:type="pct"/>
                  <w:shd w:val="clear" w:color="auto" w:fill="auto"/>
                  <w:vAlign w:val="center"/>
                </w:tcPr>
                <w:p w14:paraId="6F2CAE0F">
                  <w:pPr>
                    <w:widowControl/>
                    <w:jc w:val="center"/>
                    <w:rPr>
                      <w:color w:val="auto"/>
                      <w:sz w:val="18"/>
                      <w:szCs w:val="18"/>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w:t>
                  </w:r>
                </w:p>
                <w:p w14:paraId="64404D44">
                  <w:pPr>
                    <w:widowControl/>
                    <w:jc w:val="center"/>
                    <w:rPr>
                      <w:color w:val="auto"/>
                      <w:sz w:val="18"/>
                      <w:szCs w:val="18"/>
                    </w:rPr>
                  </w:pPr>
                  <w:r>
                    <w:rPr>
                      <w:rFonts w:hint="eastAsia"/>
                      <w:color w:val="auto"/>
                      <w:kern w:val="0"/>
                      <w:sz w:val="18"/>
                      <w:szCs w:val="18"/>
                      <w:lang w:bidi="ar"/>
                    </w:rPr>
                    <w:t>180</w:t>
                  </w:r>
                  <w:r>
                    <w:rPr>
                      <w:color w:val="auto"/>
                      <w:kern w:val="0"/>
                      <w:sz w:val="18"/>
                      <w:szCs w:val="18"/>
                      <w:lang w:bidi="ar"/>
                    </w:rPr>
                    <w:t>mg/kg</w:t>
                  </w:r>
                </w:p>
                <w:p w14:paraId="4CF7533D">
                  <w:pPr>
                    <w:adjustRightInd w:val="0"/>
                    <w:snapToGrid w:val="0"/>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（大鼠经口）</w:t>
                  </w:r>
                </w:p>
              </w:tc>
            </w:tr>
            <w:tr w14:paraId="7ED432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391" w:type="pct"/>
                  <w:vAlign w:val="center"/>
                </w:tcPr>
                <w:p w14:paraId="0D61CD14">
                  <w:pPr>
                    <w:adjustRightInd w:val="0"/>
                    <w:snapToGrid w:val="0"/>
                    <w:jc w:val="center"/>
                    <w:rPr>
                      <w:color w:val="auto"/>
                      <w:sz w:val="18"/>
                      <w:szCs w:val="18"/>
                    </w:rPr>
                  </w:pPr>
                  <w:r>
                    <w:rPr>
                      <w:color w:val="auto"/>
                      <w:sz w:val="18"/>
                      <w:szCs w:val="18"/>
                    </w:rPr>
                    <w:t>62</w:t>
                  </w:r>
                </w:p>
              </w:tc>
              <w:tc>
                <w:tcPr>
                  <w:tcW w:w="706" w:type="pct"/>
                  <w:shd w:val="clear" w:color="auto" w:fill="auto"/>
                  <w:vAlign w:val="center"/>
                </w:tcPr>
                <w:p w14:paraId="7C054118">
                  <w:pPr>
                    <w:jc w:val="center"/>
                    <w:rPr>
                      <w:rFonts w:ascii="Times New Roman" w:hAnsi="Times New Roman" w:eastAsia="宋体" w:cs="Times New Roman"/>
                      <w:color w:val="auto"/>
                      <w:kern w:val="2"/>
                      <w:sz w:val="18"/>
                      <w:szCs w:val="18"/>
                      <w:lang w:val="en-US" w:eastAsia="zh-CN" w:bidi="ar-SA"/>
                    </w:rPr>
                  </w:pPr>
                  <w:r>
                    <w:rPr>
                      <w:color w:val="auto"/>
                      <w:sz w:val="18"/>
                      <w:szCs w:val="18"/>
                    </w:rPr>
                    <w:t>硫化钠</w:t>
                  </w:r>
                </w:p>
              </w:tc>
              <w:tc>
                <w:tcPr>
                  <w:tcW w:w="2508" w:type="pct"/>
                  <w:shd w:val="clear" w:color="auto" w:fill="auto"/>
                  <w:vAlign w:val="center"/>
                </w:tcPr>
                <w:p w14:paraId="24550DF8">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无色结晶粉末，易溶于</w:t>
                  </w:r>
                  <w:r>
                    <w:rPr>
                      <w:color w:val="auto"/>
                    </w:rPr>
                    <w:fldChar w:fldCharType="begin"/>
                  </w:r>
                  <w:r>
                    <w:rPr>
                      <w:color w:val="auto"/>
                    </w:rPr>
                    <w:instrText xml:space="preserve"> HYPERLINK "https://baike.baidu.com/item/%E6%B0%B4/34133?fromModule=lemma_inlink" \t "https://baike.baidu.com/item/_blank" </w:instrText>
                  </w:r>
                  <w:r>
                    <w:rPr>
                      <w:color w:val="auto"/>
                    </w:rPr>
                    <w:fldChar w:fldCharType="separate"/>
                  </w:r>
                  <w:r>
                    <w:rPr>
                      <w:color w:val="auto"/>
                      <w:sz w:val="18"/>
                      <w:szCs w:val="18"/>
                    </w:rPr>
                    <w:t>水</w:t>
                  </w:r>
                  <w:r>
                    <w:rPr>
                      <w:color w:val="auto"/>
                      <w:sz w:val="18"/>
                      <w:szCs w:val="18"/>
                    </w:rPr>
                    <w:fldChar w:fldCharType="end"/>
                  </w:r>
                  <w:r>
                    <w:rPr>
                      <w:color w:val="auto"/>
                      <w:sz w:val="18"/>
                      <w:szCs w:val="18"/>
                    </w:rPr>
                    <w:t>，不溶于</w:t>
                  </w:r>
                  <w:r>
                    <w:rPr>
                      <w:color w:val="auto"/>
                    </w:rPr>
                    <w:fldChar w:fldCharType="begin"/>
                  </w:r>
                  <w:r>
                    <w:rPr>
                      <w:color w:val="auto"/>
                    </w:rPr>
                    <w:instrText xml:space="preserve"> HYPERLINK "https://baike.baidu.com/item/%E4%B9%99%E9%86%9A/316922?fromModule=lemma_inlink" \t "https://baike.baidu.com/item/_blank" </w:instrText>
                  </w:r>
                  <w:r>
                    <w:rPr>
                      <w:color w:val="auto"/>
                    </w:rPr>
                    <w:fldChar w:fldCharType="separate"/>
                  </w:r>
                  <w:r>
                    <w:rPr>
                      <w:color w:val="auto"/>
                      <w:sz w:val="18"/>
                      <w:szCs w:val="18"/>
                    </w:rPr>
                    <w:t>乙醚</w:t>
                  </w:r>
                  <w:r>
                    <w:rPr>
                      <w:color w:val="auto"/>
                      <w:sz w:val="18"/>
                      <w:szCs w:val="18"/>
                    </w:rPr>
                    <w:fldChar w:fldCharType="end"/>
                  </w:r>
                  <w:r>
                    <w:rPr>
                      <w:color w:val="auto"/>
                      <w:sz w:val="18"/>
                      <w:szCs w:val="18"/>
                    </w:rPr>
                    <w:t>，微溶于乙醇。熔点</w:t>
                  </w:r>
                  <w:r>
                    <w:rPr>
                      <w:rFonts w:hint="eastAsia"/>
                      <w:color w:val="auto"/>
                      <w:sz w:val="18"/>
                      <w:szCs w:val="18"/>
                    </w:rPr>
                    <w:t>950</w:t>
                  </w:r>
                  <w:r>
                    <w:rPr>
                      <w:color w:val="auto"/>
                      <w:sz w:val="18"/>
                      <w:szCs w:val="18"/>
                    </w:rPr>
                    <w:t>℃，密度为1.86</w:t>
                  </w:r>
                  <w:r>
                    <w:rPr>
                      <w:color w:val="auto"/>
                      <w:kern w:val="0"/>
                      <w:sz w:val="18"/>
                      <w:szCs w:val="18"/>
                      <w:lang w:bidi="ar"/>
                    </w:rPr>
                    <w:t>g/cm</w:t>
                  </w:r>
                  <w:r>
                    <w:rPr>
                      <w:rFonts w:hint="eastAsia"/>
                      <w:color w:val="auto"/>
                      <w:kern w:val="0"/>
                      <w:sz w:val="18"/>
                      <w:szCs w:val="18"/>
                      <w:vertAlign w:val="superscript"/>
                      <w:lang w:bidi="ar"/>
                    </w:rPr>
                    <w:t>3</w:t>
                  </w:r>
                  <w:r>
                    <w:rPr>
                      <w:color w:val="auto"/>
                      <w:sz w:val="18"/>
                      <w:szCs w:val="18"/>
                    </w:rPr>
                    <w:t>。</w:t>
                  </w:r>
                </w:p>
              </w:tc>
              <w:tc>
                <w:tcPr>
                  <w:tcW w:w="589" w:type="pct"/>
                  <w:shd w:val="clear" w:color="auto" w:fill="auto"/>
                  <w:vAlign w:val="center"/>
                </w:tcPr>
                <w:p w14:paraId="6E05B00B">
                  <w:pPr>
                    <w:adjustRightInd w:val="0"/>
                    <w:snapToGrid w:val="0"/>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w:t>
                  </w:r>
                </w:p>
              </w:tc>
              <w:tc>
                <w:tcPr>
                  <w:tcW w:w="803" w:type="pct"/>
                  <w:shd w:val="clear" w:color="auto" w:fill="auto"/>
                  <w:vAlign w:val="center"/>
                </w:tcPr>
                <w:p w14:paraId="674EFC13">
                  <w:pPr>
                    <w:widowControl/>
                    <w:jc w:val="center"/>
                    <w:rPr>
                      <w:color w:val="auto"/>
                      <w:sz w:val="18"/>
                      <w:szCs w:val="18"/>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w:t>
                  </w:r>
                </w:p>
                <w:p w14:paraId="6B4E4B8F">
                  <w:pPr>
                    <w:widowControl/>
                    <w:jc w:val="center"/>
                    <w:rPr>
                      <w:color w:val="auto"/>
                      <w:sz w:val="18"/>
                      <w:szCs w:val="18"/>
                    </w:rPr>
                  </w:pPr>
                  <w:r>
                    <w:rPr>
                      <w:color w:val="auto"/>
                      <w:kern w:val="0"/>
                      <w:sz w:val="18"/>
                      <w:szCs w:val="18"/>
                      <w:lang w:bidi="ar"/>
                    </w:rPr>
                    <w:t>208mg/kg</w:t>
                  </w:r>
                </w:p>
                <w:p w14:paraId="175DA93F">
                  <w:pPr>
                    <w:adjustRightInd w:val="0"/>
                    <w:snapToGrid w:val="0"/>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（大鼠经口）</w:t>
                  </w:r>
                </w:p>
              </w:tc>
            </w:tr>
            <w:tr w14:paraId="169B11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2DA18136">
                  <w:pPr>
                    <w:adjustRightInd w:val="0"/>
                    <w:snapToGrid w:val="0"/>
                    <w:jc w:val="center"/>
                    <w:rPr>
                      <w:color w:val="auto"/>
                      <w:sz w:val="18"/>
                      <w:szCs w:val="18"/>
                    </w:rPr>
                  </w:pPr>
                  <w:r>
                    <w:rPr>
                      <w:color w:val="auto"/>
                      <w:sz w:val="18"/>
                      <w:szCs w:val="18"/>
                    </w:rPr>
                    <w:t>63</w:t>
                  </w:r>
                </w:p>
              </w:tc>
              <w:tc>
                <w:tcPr>
                  <w:tcW w:w="706" w:type="pct"/>
                  <w:shd w:val="clear" w:color="auto" w:fill="auto"/>
                  <w:vAlign w:val="center"/>
                </w:tcPr>
                <w:p w14:paraId="27E6B715">
                  <w:pPr>
                    <w:jc w:val="center"/>
                    <w:rPr>
                      <w:rFonts w:ascii="Times New Roman" w:hAnsi="Times New Roman" w:eastAsia="宋体" w:cs="Times New Roman"/>
                      <w:color w:val="auto"/>
                      <w:kern w:val="2"/>
                      <w:sz w:val="18"/>
                      <w:szCs w:val="18"/>
                      <w:lang w:val="en-US" w:eastAsia="zh-CN" w:bidi="ar-SA"/>
                    </w:rPr>
                  </w:pPr>
                  <w:r>
                    <w:rPr>
                      <w:color w:val="auto"/>
                      <w:sz w:val="18"/>
                      <w:szCs w:val="18"/>
                    </w:rPr>
                    <w:t>钨酸钠</w:t>
                  </w:r>
                </w:p>
              </w:tc>
              <w:tc>
                <w:tcPr>
                  <w:tcW w:w="2508" w:type="pct"/>
                  <w:shd w:val="clear" w:color="auto" w:fill="auto"/>
                  <w:vAlign w:val="center"/>
                </w:tcPr>
                <w:p w14:paraId="590A5886">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无色结晶或白色</w:t>
                  </w:r>
                  <w:r>
                    <w:rPr>
                      <w:rFonts w:hint="eastAsia"/>
                      <w:color w:val="auto"/>
                      <w:sz w:val="18"/>
                      <w:szCs w:val="18"/>
                    </w:rPr>
                    <w:t>结晶性</w:t>
                  </w:r>
                  <w:r>
                    <w:rPr>
                      <w:color w:val="auto"/>
                      <w:sz w:val="18"/>
                      <w:szCs w:val="18"/>
                    </w:rPr>
                    <w:t>粉末，在干燥空气中易风化，100℃时失去结晶水，溶于水（20℃时溶解度为73.0 g/100g），不溶于乙醇。熔点698℃，密度3.25 g/cm</w:t>
                  </w:r>
                  <w:r>
                    <w:rPr>
                      <w:rFonts w:hint="eastAsia"/>
                      <w:color w:val="auto"/>
                      <w:sz w:val="18"/>
                      <w:szCs w:val="18"/>
                      <w:vertAlign w:val="superscript"/>
                    </w:rPr>
                    <w:t>3</w:t>
                  </w:r>
                  <w:r>
                    <w:rPr>
                      <w:rFonts w:hint="eastAsia"/>
                      <w:color w:val="auto"/>
                      <w:sz w:val="18"/>
                      <w:szCs w:val="18"/>
                    </w:rPr>
                    <w:t>。</w:t>
                  </w:r>
                </w:p>
              </w:tc>
              <w:tc>
                <w:tcPr>
                  <w:tcW w:w="589" w:type="pct"/>
                  <w:shd w:val="clear" w:color="auto" w:fill="auto"/>
                  <w:vAlign w:val="center"/>
                </w:tcPr>
                <w:p w14:paraId="7CF2F9D9">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7F7F7CC6">
                  <w:pPr>
                    <w:widowControl/>
                    <w:jc w:val="center"/>
                    <w:rPr>
                      <w:color w:val="auto"/>
                      <w:sz w:val="18"/>
                      <w:szCs w:val="18"/>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w:t>
                  </w:r>
                </w:p>
                <w:p w14:paraId="49359FFE">
                  <w:pPr>
                    <w:widowControl/>
                    <w:jc w:val="center"/>
                    <w:rPr>
                      <w:color w:val="auto"/>
                      <w:sz w:val="18"/>
                      <w:szCs w:val="18"/>
                    </w:rPr>
                  </w:pPr>
                  <w:r>
                    <w:rPr>
                      <w:color w:val="auto"/>
                      <w:kern w:val="0"/>
                      <w:sz w:val="18"/>
                      <w:szCs w:val="18"/>
                      <w:lang w:bidi="ar"/>
                    </w:rPr>
                    <w:t>1190mg/kg</w:t>
                  </w:r>
                </w:p>
                <w:p w14:paraId="3F43575A">
                  <w:pPr>
                    <w:adjustRightInd w:val="0"/>
                    <w:snapToGrid w:val="0"/>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（大鼠经口）</w:t>
                  </w:r>
                </w:p>
              </w:tc>
            </w:tr>
            <w:tr w14:paraId="487F41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391" w:type="pct"/>
                  <w:vAlign w:val="center"/>
                </w:tcPr>
                <w:p w14:paraId="560037BC">
                  <w:pPr>
                    <w:adjustRightInd w:val="0"/>
                    <w:snapToGrid w:val="0"/>
                    <w:jc w:val="center"/>
                    <w:rPr>
                      <w:color w:val="auto"/>
                      <w:sz w:val="18"/>
                      <w:szCs w:val="18"/>
                    </w:rPr>
                  </w:pPr>
                  <w:r>
                    <w:rPr>
                      <w:color w:val="auto"/>
                      <w:sz w:val="18"/>
                      <w:szCs w:val="18"/>
                    </w:rPr>
                    <w:t>64</w:t>
                  </w:r>
                </w:p>
              </w:tc>
              <w:tc>
                <w:tcPr>
                  <w:tcW w:w="706" w:type="pct"/>
                  <w:shd w:val="clear" w:color="auto" w:fill="auto"/>
                  <w:vAlign w:val="center"/>
                </w:tcPr>
                <w:p w14:paraId="616716DD">
                  <w:pPr>
                    <w:jc w:val="center"/>
                    <w:rPr>
                      <w:rFonts w:ascii="Times New Roman" w:hAnsi="Times New Roman" w:eastAsia="宋体" w:cs="Times New Roman"/>
                      <w:color w:val="auto"/>
                      <w:kern w:val="2"/>
                      <w:sz w:val="18"/>
                      <w:szCs w:val="18"/>
                      <w:lang w:val="en-US" w:eastAsia="zh-CN" w:bidi="ar-SA"/>
                    </w:rPr>
                  </w:pPr>
                  <w:r>
                    <w:rPr>
                      <w:color w:val="auto"/>
                      <w:sz w:val="18"/>
                      <w:szCs w:val="18"/>
                    </w:rPr>
                    <w:t>钼酸铵</w:t>
                  </w:r>
                </w:p>
              </w:tc>
              <w:tc>
                <w:tcPr>
                  <w:tcW w:w="2508" w:type="pct"/>
                  <w:shd w:val="clear" w:color="auto" w:fill="auto"/>
                  <w:vAlign w:val="center"/>
                </w:tcPr>
                <w:p w14:paraId="4AE507E2">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白色至浅黄绿色</w:t>
                  </w:r>
                  <w:r>
                    <w:rPr>
                      <w:rFonts w:hint="eastAsia"/>
                      <w:color w:val="auto"/>
                      <w:sz w:val="18"/>
                      <w:szCs w:val="18"/>
                    </w:rPr>
                    <w:t>固体</w:t>
                  </w:r>
                  <w:r>
                    <w:rPr>
                      <w:color w:val="auto"/>
                      <w:sz w:val="18"/>
                      <w:szCs w:val="18"/>
                    </w:rPr>
                    <w:t>。熔点：170℃，密度2.498 g/cm</w:t>
                  </w:r>
                  <w:r>
                    <w:rPr>
                      <w:rFonts w:hint="eastAsia"/>
                      <w:color w:val="auto"/>
                      <w:sz w:val="18"/>
                      <w:szCs w:val="18"/>
                      <w:vertAlign w:val="superscript"/>
                    </w:rPr>
                    <w:t>3</w:t>
                  </w:r>
                  <w:r>
                    <w:rPr>
                      <w:color w:val="auto"/>
                      <w:sz w:val="18"/>
                      <w:szCs w:val="18"/>
                    </w:rPr>
                    <w:t>。易溶于水、强酸及强碱溶液，不溶于乙醇和丙酮。</w:t>
                  </w:r>
                </w:p>
              </w:tc>
              <w:tc>
                <w:tcPr>
                  <w:tcW w:w="589" w:type="pct"/>
                  <w:shd w:val="clear" w:color="auto" w:fill="auto"/>
                  <w:vAlign w:val="center"/>
                </w:tcPr>
                <w:p w14:paraId="4F6C3CA5">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5AC492CA">
                  <w:pPr>
                    <w:widowControl/>
                    <w:jc w:val="center"/>
                    <w:rPr>
                      <w:color w:val="auto"/>
                      <w:sz w:val="18"/>
                      <w:szCs w:val="18"/>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w:t>
                  </w:r>
                </w:p>
                <w:p w14:paraId="4D5B6477">
                  <w:pPr>
                    <w:widowControl/>
                    <w:jc w:val="center"/>
                    <w:rPr>
                      <w:color w:val="auto"/>
                      <w:sz w:val="18"/>
                      <w:szCs w:val="18"/>
                    </w:rPr>
                  </w:pPr>
                  <w:r>
                    <w:rPr>
                      <w:color w:val="auto"/>
                      <w:kern w:val="0"/>
                      <w:sz w:val="18"/>
                      <w:szCs w:val="18"/>
                      <w:lang w:bidi="ar"/>
                    </w:rPr>
                    <w:t>333mg/kg</w:t>
                  </w:r>
                </w:p>
                <w:p w14:paraId="376B1A0F">
                  <w:pPr>
                    <w:adjustRightInd w:val="0"/>
                    <w:snapToGrid w:val="0"/>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（大鼠经口）</w:t>
                  </w:r>
                </w:p>
              </w:tc>
            </w:tr>
            <w:tr w14:paraId="20FFD8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54FEF5FA">
                  <w:pPr>
                    <w:adjustRightInd w:val="0"/>
                    <w:snapToGrid w:val="0"/>
                    <w:jc w:val="center"/>
                    <w:rPr>
                      <w:color w:val="auto"/>
                      <w:sz w:val="18"/>
                      <w:szCs w:val="18"/>
                    </w:rPr>
                  </w:pPr>
                  <w:r>
                    <w:rPr>
                      <w:color w:val="auto"/>
                      <w:sz w:val="18"/>
                      <w:szCs w:val="18"/>
                    </w:rPr>
                    <w:t>65</w:t>
                  </w:r>
                </w:p>
              </w:tc>
              <w:tc>
                <w:tcPr>
                  <w:tcW w:w="706" w:type="pct"/>
                  <w:shd w:val="clear" w:color="auto" w:fill="auto"/>
                  <w:vAlign w:val="center"/>
                </w:tcPr>
                <w:p w14:paraId="542F54CE">
                  <w:pPr>
                    <w:jc w:val="center"/>
                    <w:rPr>
                      <w:rFonts w:ascii="Times New Roman" w:hAnsi="Times New Roman" w:eastAsia="宋体" w:cs="Times New Roman"/>
                      <w:color w:val="auto"/>
                      <w:kern w:val="2"/>
                      <w:sz w:val="18"/>
                      <w:szCs w:val="18"/>
                      <w:lang w:val="en-US" w:eastAsia="zh-CN" w:bidi="ar-SA"/>
                    </w:rPr>
                  </w:pPr>
                  <w:r>
                    <w:rPr>
                      <w:color w:val="auto"/>
                      <w:sz w:val="18"/>
                      <w:szCs w:val="18"/>
                    </w:rPr>
                    <w:t>三氯化钛</w:t>
                  </w:r>
                </w:p>
              </w:tc>
              <w:tc>
                <w:tcPr>
                  <w:tcW w:w="2508" w:type="pct"/>
                  <w:shd w:val="clear" w:color="auto" w:fill="auto"/>
                  <w:vAlign w:val="center"/>
                </w:tcPr>
                <w:p w14:paraId="36D54CA3">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外观为深紫色结晶性粉末（α-变体常见），易潮解，密度2.</w:t>
                  </w:r>
                  <w:r>
                    <w:rPr>
                      <w:rFonts w:hint="eastAsia"/>
                      <w:color w:val="auto"/>
                      <w:sz w:val="18"/>
                      <w:szCs w:val="18"/>
                    </w:rPr>
                    <w:t>64</w:t>
                  </w:r>
                  <w:r>
                    <w:rPr>
                      <w:color w:val="auto"/>
                      <w:sz w:val="18"/>
                      <w:szCs w:val="18"/>
                    </w:rPr>
                    <w:t>g/cm</w:t>
                  </w:r>
                  <w:r>
                    <w:rPr>
                      <w:rFonts w:hint="eastAsia"/>
                      <w:color w:val="auto"/>
                      <w:sz w:val="18"/>
                      <w:szCs w:val="18"/>
                      <w:vertAlign w:val="superscript"/>
                    </w:rPr>
                    <w:t>3</w:t>
                  </w:r>
                  <w:r>
                    <w:rPr>
                      <w:color w:val="auto"/>
                      <w:sz w:val="18"/>
                      <w:szCs w:val="18"/>
                    </w:rPr>
                    <w:t>，熔点440℃（分解）。溶于水、乙醇、乙腈，微溶于氯仿，不溶于乙醚和苯。</w:t>
                  </w:r>
                </w:p>
              </w:tc>
              <w:tc>
                <w:tcPr>
                  <w:tcW w:w="589" w:type="pct"/>
                  <w:shd w:val="clear" w:color="auto" w:fill="auto"/>
                  <w:vAlign w:val="center"/>
                </w:tcPr>
                <w:p w14:paraId="2FE9CEF9">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57C7A488">
                  <w:pPr>
                    <w:widowControl/>
                    <w:jc w:val="center"/>
                    <w:rPr>
                      <w:rFonts w:ascii="Times New Roman" w:hAnsi="Times New Roman" w:eastAsia="宋体" w:cs="Times New Roman"/>
                      <w:color w:val="auto"/>
                      <w:kern w:val="2"/>
                      <w:sz w:val="18"/>
                      <w:szCs w:val="18"/>
                      <w:lang w:val="en-US" w:eastAsia="zh-CN" w:bidi="ar-SA"/>
                    </w:rPr>
                  </w:pPr>
                  <w:r>
                    <w:rPr>
                      <w:rFonts w:hint="eastAsia"/>
                      <w:color w:val="auto"/>
                      <w:kern w:val="0"/>
                      <w:sz w:val="18"/>
                      <w:szCs w:val="18"/>
                      <w:lang w:bidi="ar"/>
                    </w:rPr>
                    <w:t>/</w:t>
                  </w:r>
                </w:p>
              </w:tc>
            </w:tr>
            <w:tr w14:paraId="1F3BFA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1217660B">
                  <w:pPr>
                    <w:adjustRightInd w:val="0"/>
                    <w:snapToGrid w:val="0"/>
                    <w:jc w:val="center"/>
                    <w:rPr>
                      <w:color w:val="auto"/>
                      <w:sz w:val="18"/>
                      <w:szCs w:val="18"/>
                    </w:rPr>
                  </w:pPr>
                  <w:r>
                    <w:rPr>
                      <w:color w:val="auto"/>
                      <w:sz w:val="18"/>
                      <w:szCs w:val="18"/>
                    </w:rPr>
                    <w:t>66</w:t>
                  </w:r>
                </w:p>
              </w:tc>
              <w:tc>
                <w:tcPr>
                  <w:tcW w:w="706" w:type="pct"/>
                  <w:shd w:val="clear" w:color="auto" w:fill="auto"/>
                  <w:vAlign w:val="center"/>
                </w:tcPr>
                <w:p w14:paraId="26B26B38">
                  <w:pPr>
                    <w:jc w:val="center"/>
                    <w:rPr>
                      <w:rFonts w:ascii="Times New Roman" w:hAnsi="Times New Roman" w:eastAsia="宋体" w:cs="Times New Roman"/>
                      <w:color w:val="auto"/>
                      <w:kern w:val="2"/>
                      <w:sz w:val="18"/>
                      <w:szCs w:val="18"/>
                      <w:lang w:val="en-US" w:eastAsia="zh-CN" w:bidi="ar-SA"/>
                    </w:rPr>
                  </w:pPr>
                  <w:r>
                    <w:rPr>
                      <w:color w:val="auto"/>
                      <w:sz w:val="18"/>
                      <w:szCs w:val="18"/>
                    </w:rPr>
                    <w:t>六次甲基四胺</w:t>
                  </w:r>
                </w:p>
              </w:tc>
              <w:tc>
                <w:tcPr>
                  <w:tcW w:w="2508" w:type="pct"/>
                  <w:shd w:val="clear" w:color="auto" w:fill="auto"/>
                  <w:vAlign w:val="top"/>
                </w:tcPr>
                <w:p w14:paraId="25C8182A">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白色结晶性粉末，密度1.33g/cm</w:t>
                  </w:r>
                  <w:r>
                    <w:rPr>
                      <w:rFonts w:hint="eastAsia"/>
                      <w:color w:val="auto"/>
                      <w:sz w:val="18"/>
                      <w:szCs w:val="18"/>
                      <w:vertAlign w:val="superscript"/>
                    </w:rPr>
                    <w:t>3</w:t>
                  </w:r>
                  <w:r>
                    <w:rPr>
                      <w:color w:val="auto"/>
                      <w:sz w:val="18"/>
                      <w:szCs w:val="18"/>
                    </w:rPr>
                    <w:t>，沸点263℃（升华），闪点250℃。溶于水、乙醇、氯仿、四氯化碳，不溶于乙醚、石油醚、芳烃。</w:t>
                  </w:r>
                </w:p>
              </w:tc>
              <w:tc>
                <w:tcPr>
                  <w:tcW w:w="589" w:type="pct"/>
                  <w:shd w:val="clear" w:color="auto" w:fill="auto"/>
                  <w:vAlign w:val="center"/>
                </w:tcPr>
                <w:p w14:paraId="0853CE6A">
                  <w:pPr>
                    <w:adjustRightInd w:val="0"/>
                    <w:snapToGrid w:val="0"/>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w:t>
                  </w:r>
                </w:p>
              </w:tc>
              <w:tc>
                <w:tcPr>
                  <w:tcW w:w="803" w:type="pct"/>
                  <w:shd w:val="clear" w:color="auto" w:fill="auto"/>
                  <w:vAlign w:val="center"/>
                </w:tcPr>
                <w:p w14:paraId="65B9AD58">
                  <w:pPr>
                    <w:adjustRightInd w:val="0"/>
                    <w:snapToGrid w:val="0"/>
                    <w:jc w:val="center"/>
                    <w:rPr>
                      <w:rFonts w:ascii="Times New Roman" w:hAnsi="Times New Roman" w:eastAsia="宋体" w:cs="Times New Roman"/>
                      <w:color w:val="auto"/>
                      <w:kern w:val="2"/>
                      <w:sz w:val="18"/>
                      <w:szCs w:val="18"/>
                      <w:lang w:val="en-US" w:eastAsia="zh-CN" w:bidi="ar-SA"/>
                    </w:rPr>
                  </w:pPr>
                  <w:r>
                    <w:rPr>
                      <w:rFonts w:hint="eastAsia"/>
                      <w:color w:val="auto"/>
                      <w:kern w:val="0"/>
                      <w:sz w:val="18"/>
                      <w:szCs w:val="18"/>
                      <w:lang w:bidi="ar"/>
                    </w:rPr>
                    <w:t>/</w:t>
                  </w:r>
                </w:p>
              </w:tc>
            </w:tr>
            <w:tr w14:paraId="04726F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5B10C77C">
                  <w:pPr>
                    <w:adjustRightInd w:val="0"/>
                    <w:snapToGrid w:val="0"/>
                    <w:jc w:val="center"/>
                    <w:rPr>
                      <w:color w:val="auto"/>
                      <w:sz w:val="18"/>
                      <w:szCs w:val="18"/>
                    </w:rPr>
                  </w:pPr>
                  <w:r>
                    <w:rPr>
                      <w:color w:val="auto"/>
                      <w:sz w:val="18"/>
                      <w:szCs w:val="18"/>
                    </w:rPr>
                    <w:t>67</w:t>
                  </w:r>
                </w:p>
              </w:tc>
              <w:tc>
                <w:tcPr>
                  <w:tcW w:w="706" w:type="pct"/>
                  <w:shd w:val="clear" w:color="auto" w:fill="auto"/>
                  <w:vAlign w:val="center"/>
                </w:tcPr>
                <w:p w14:paraId="2DC1D16A">
                  <w:pPr>
                    <w:jc w:val="center"/>
                    <w:rPr>
                      <w:rFonts w:ascii="Times New Roman" w:hAnsi="Times New Roman" w:eastAsia="宋体" w:cs="Times New Roman"/>
                      <w:color w:val="auto"/>
                      <w:kern w:val="2"/>
                      <w:sz w:val="18"/>
                      <w:szCs w:val="18"/>
                      <w:lang w:val="en-US" w:eastAsia="zh-CN" w:bidi="ar-SA"/>
                    </w:rPr>
                  </w:pPr>
                  <w:r>
                    <w:rPr>
                      <w:color w:val="auto"/>
                      <w:sz w:val="18"/>
                      <w:szCs w:val="18"/>
                    </w:rPr>
                    <w:t>甲醇</w:t>
                  </w:r>
                </w:p>
              </w:tc>
              <w:tc>
                <w:tcPr>
                  <w:tcW w:w="2508" w:type="pct"/>
                  <w:shd w:val="clear" w:color="auto" w:fill="auto"/>
                  <w:vAlign w:val="top"/>
                </w:tcPr>
                <w:p w14:paraId="7F8BA286">
                  <w:pPr>
                    <w:widowControl/>
                    <w:jc w:val="left"/>
                    <w:rPr>
                      <w:rFonts w:ascii="Times New Roman" w:hAnsi="Times New Roman" w:eastAsia="宋体" w:cs="Times New Roman"/>
                      <w:color w:val="auto"/>
                      <w:kern w:val="2"/>
                      <w:sz w:val="18"/>
                      <w:szCs w:val="18"/>
                      <w:lang w:val="en-US" w:eastAsia="zh-CN" w:bidi="ar-SA"/>
                    </w:rPr>
                  </w:pPr>
                  <w:r>
                    <w:rPr>
                      <w:color w:val="auto"/>
                      <w:kern w:val="0"/>
                      <w:sz w:val="18"/>
                      <w:szCs w:val="18"/>
                      <w:lang w:bidi="ar"/>
                    </w:rPr>
                    <w:t>无色透明液体，有刺激性气味。</w:t>
                  </w:r>
                  <w:r>
                    <w:rPr>
                      <w:rFonts w:hint="eastAsia"/>
                      <w:color w:val="auto"/>
                      <w:kern w:val="0"/>
                      <w:sz w:val="18"/>
                      <w:szCs w:val="18"/>
                      <w:lang w:bidi="ar"/>
                    </w:rPr>
                    <w:t>熔点-97.8</w:t>
                  </w:r>
                  <w:r>
                    <w:rPr>
                      <w:color w:val="auto"/>
                      <w:kern w:val="0"/>
                      <w:sz w:val="18"/>
                      <w:szCs w:val="18"/>
                      <w:lang w:bidi="ar"/>
                    </w:rPr>
                    <w:t>℃</w:t>
                  </w:r>
                  <w:r>
                    <w:rPr>
                      <w:rFonts w:hint="eastAsia"/>
                      <w:color w:val="auto"/>
                      <w:kern w:val="0"/>
                      <w:sz w:val="18"/>
                      <w:szCs w:val="18"/>
                      <w:lang w:bidi="ar"/>
                    </w:rPr>
                    <w:t>，</w:t>
                  </w:r>
                  <w:r>
                    <w:rPr>
                      <w:color w:val="auto"/>
                      <w:kern w:val="0"/>
                      <w:sz w:val="18"/>
                      <w:szCs w:val="18"/>
                      <w:lang w:bidi="ar"/>
                    </w:rPr>
                    <w:t>沸点为 64.7℃。</w:t>
                  </w:r>
                  <w:r>
                    <w:rPr>
                      <w:rFonts w:hint="eastAsia"/>
                      <w:color w:val="auto"/>
                      <w:kern w:val="0"/>
                      <w:sz w:val="18"/>
                      <w:szCs w:val="18"/>
                      <w:lang w:bidi="ar"/>
                    </w:rPr>
                    <w:t>密度0.792</w:t>
                  </w:r>
                  <w:r>
                    <w:rPr>
                      <w:color w:val="auto"/>
                      <w:sz w:val="18"/>
                      <w:szCs w:val="18"/>
                    </w:rPr>
                    <w:t>g/cm</w:t>
                  </w:r>
                  <w:r>
                    <w:rPr>
                      <w:rFonts w:hint="eastAsia"/>
                      <w:color w:val="auto"/>
                      <w:sz w:val="18"/>
                      <w:szCs w:val="18"/>
                      <w:vertAlign w:val="superscript"/>
                    </w:rPr>
                    <w:t>3</w:t>
                  </w:r>
                  <w:r>
                    <w:rPr>
                      <w:rFonts w:hint="eastAsia"/>
                      <w:color w:val="auto"/>
                      <w:sz w:val="18"/>
                      <w:szCs w:val="18"/>
                    </w:rPr>
                    <w:t>，溶于水，可混溶于醇类、乙醚等多数有机溶剂。</w:t>
                  </w:r>
                </w:p>
              </w:tc>
              <w:tc>
                <w:tcPr>
                  <w:tcW w:w="589" w:type="pct"/>
                  <w:shd w:val="clear" w:color="auto" w:fill="auto"/>
                  <w:vAlign w:val="center"/>
                </w:tcPr>
                <w:p w14:paraId="2AE6F8C6">
                  <w:pPr>
                    <w:widowControl/>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易燃</w:t>
                  </w:r>
                </w:p>
              </w:tc>
              <w:tc>
                <w:tcPr>
                  <w:tcW w:w="803" w:type="pct"/>
                  <w:shd w:val="clear" w:color="auto" w:fill="auto"/>
                  <w:vAlign w:val="center"/>
                </w:tcPr>
                <w:p w14:paraId="79E294C6">
                  <w:pPr>
                    <w:widowControl/>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：5628mg/kg（大鼠经口）</w:t>
                  </w:r>
                </w:p>
              </w:tc>
            </w:tr>
            <w:tr w14:paraId="0770CA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35363AD2">
                  <w:pPr>
                    <w:adjustRightInd w:val="0"/>
                    <w:snapToGrid w:val="0"/>
                    <w:jc w:val="center"/>
                    <w:rPr>
                      <w:color w:val="auto"/>
                      <w:sz w:val="18"/>
                      <w:szCs w:val="18"/>
                    </w:rPr>
                  </w:pPr>
                  <w:r>
                    <w:rPr>
                      <w:color w:val="auto"/>
                      <w:sz w:val="18"/>
                      <w:szCs w:val="18"/>
                    </w:rPr>
                    <w:t>68</w:t>
                  </w:r>
                </w:p>
              </w:tc>
              <w:tc>
                <w:tcPr>
                  <w:tcW w:w="706" w:type="pct"/>
                  <w:shd w:val="clear" w:color="auto" w:fill="auto"/>
                  <w:vAlign w:val="center"/>
                </w:tcPr>
                <w:p w14:paraId="7C7B5FDB">
                  <w:pPr>
                    <w:jc w:val="center"/>
                    <w:rPr>
                      <w:rFonts w:ascii="Times New Roman" w:hAnsi="Times New Roman" w:eastAsia="宋体" w:cs="Times New Roman"/>
                      <w:color w:val="auto"/>
                      <w:kern w:val="2"/>
                      <w:sz w:val="18"/>
                      <w:szCs w:val="18"/>
                      <w:lang w:val="en-US" w:eastAsia="zh-CN" w:bidi="ar-SA"/>
                    </w:rPr>
                  </w:pPr>
                  <w:r>
                    <w:rPr>
                      <w:color w:val="auto"/>
                      <w:sz w:val="18"/>
                      <w:szCs w:val="18"/>
                    </w:rPr>
                    <w:t>丙酮</w:t>
                  </w:r>
                </w:p>
              </w:tc>
              <w:tc>
                <w:tcPr>
                  <w:tcW w:w="2508" w:type="pct"/>
                  <w:shd w:val="clear" w:color="auto" w:fill="auto"/>
                  <w:vAlign w:val="top"/>
                </w:tcPr>
                <w:p w14:paraId="24193F09">
                  <w:pPr>
                    <w:widowControl/>
                    <w:jc w:val="left"/>
                    <w:rPr>
                      <w:rFonts w:ascii="Times New Roman" w:hAnsi="Times New Roman" w:eastAsia="宋体" w:cs="Times New Roman"/>
                      <w:color w:val="auto"/>
                      <w:kern w:val="2"/>
                      <w:sz w:val="18"/>
                      <w:szCs w:val="18"/>
                      <w:lang w:val="en-US" w:eastAsia="zh-CN" w:bidi="ar-SA"/>
                    </w:rPr>
                  </w:pPr>
                  <w:r>
                    <w:rPr>
                      <w:color w:val="auto"/>
                      <w:kern w:val="0"/>
                      <w:sz w:val="18"/>
                      <w:szCs w:val="18"/>
                      <w:lang w:bidi="ar"/>
                    </w:rPr>
                    <w:t>无色透明液体，熔点：-94.9℃，密度：0.7899g/cm</w:t>
                  </w:r>
                  <w:r>
                    <w:rPr>
                      <w:color w:val="auto"/>
                      <w:kern w:val="0"/>
                      <w:sz w:val="18"/>
                      <w:szCs w:val="18"/>
                      <w:vertAlign w:val="superscript"/>
                      <w:lang w:bidi="ar"/>
                    </w:rPr>
                    <w:t>3</w:t>
                  </w:r>
                  <w:r>
                    <w:rPr>
                      <w:color w:val="auto"/>
                      <w:kern w:val="0"/>
                      <w:sz w:val="18"/>
                      <w:szCs w:val="18"/>
                      <w:lang w:bidi="ar"/>
                    </w:rPr>
                    <w:t>，沸点：56.5℃，易挥发、易燃，有微香气味。与水、甲醇、乙醇、乙醚、氯仿和吡啶等均能互溶，能溶解油、脂肪、树脂和橡胶等，也能溶解醋酸纤维素和硝酸纤维素</w:t>
                  </w:r>
                  <w:r>
                    <w:rPr>
                      <w:rFonts w:hint="eastAsia"/>
                      <w:color w:val="auto"/>
                      <w:kern w:val="0"/>
                      <w:sz w:val="18"/>
                      <w:szCs w:val="18"/>
                      <w:lang w:bidi="ar"/>
                    </w:rPr>
                    <w:t>。</w:t>
                  </w:r>
                </w:p>
              </w:tc>
              <w:tc>
                <w:tcPr>
                  <w:tcW w:w="589" w:type="pct"/>
                  <w:shd w:val="clear" w:color="auto" w:fill="auto"/>
                  <w:vAlign w:val="center"/>
                </w:tcPr>
                <w:p w14:paraId="38D7B51B">
                  <w:pPr>
                    <w:widowControl/>
                    <w:jc w:val="center"/>
                    <w:rPr>
                      <w:color w:val="auto"/>
                      <w:sz w:val="18"/>
                      <w:szCs w:val="18"/>
                    </w:rPr>
                  </w:pPr>
                  <w:r>
                    <w:rPr>
                      <w:color w:val="auto"/>
                      <w:kern w:val="0"/>
                      <w:sz w:val="18"/>
                      <w:szCs w:val="18"/>
                      <w:lang w:bidi="ar"/>
                    </w:rPr>
                    <w:t>易燃</w:t>
                  </w:r>
                </w:p>
                <w:p w14:paraId="27218C8F">
                  <w:pPr>
                    <w:adjustRightInd w:val="0"/>
                    <w:snapToGrid w:val="0"/>
                    <w:jc w:val="center"/>
                    <w:rPr>
                      <w:rFonts w:ascii="Times New Roman" w:hAnsi="Times New Roman" w:eastAsia="宋体" w:cs="Times New Roman"/>
                      <w:color w:val="auto"/>
                      <w:kern w:val="2"/>
                      <w:sz w:val="18"/>
                      <w:szCs w:val="18"/>
                      <w:lang w:val="en-US" w:eastAsia="zh-CN" w:bidi="ar-SA"/>
                    </w:rPr>
                  </w:pPr>
                </w:p>
              </w:tc>
              <w:tc>
                <w:tcPr>
                  <w:tcW w:w="803" w:type="pct"/>
                  <w:shd w:val="clear" w:color="auto" w:fill="auto"/>
                  <w:vAlign w:val="center"/>
                </w:tcPr>
                <w:p w14:paraId="38C9B297">
                  <w:pPr>
                    <w:widowControl/>
                    <w:jc w:val="center"/>
                    <w:rPr>
                      <w:color w:val="auto"/>
                      <w:sz w:val="18"/>
                      <w:szCs w:val="18"/>
                    </w:rPr>
                  </w:pPr>
                  <w:r>
                    <w:rPr>
                      <w:color w:val="auto"/>
                      <w:kern w:val="0"/>
                      <w:sz w:val="18"/>
                      <w:szCs w:val="18"/>
                      <w:lang w:bidi="ar"/>
                    </w:rPr>
                    <w:t>急性毒性：</w:t>
                  </w:r>
                </w:p>
                <w:p w14:paraId="2BB00EEA">
                  <w:pPr>
                    <w:widowControl/>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：5800mg/kg（大鼠经口）</w:t>
                  </w:r>
                </w:p>
              </w:tc>
            </w:tr>
            <w:tr w14:paraId="05DF4B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0D154E19">
                  <w:pPr>
                    <w:adjustRightInd w:val="0"/>
                    <w:snapToGrid w:val="0"/>
                    <w:jc w:val="center"/>
                    <w:rPr>
                      <w:color w:val="auto"/>
                      <w:sz w:val="18"/>
                      <w:szCs w:val="18"/>
                    </w:rPr>
                  </w:pPr>
                  <w:r>
                    <w:rPr>
                      <w:color w:val="auto"/>
                      <w:sz w:val="18"/>
                      <w:szCs w:val="18"/>
                    </w:rPr>
                    <w:t>69</w:t>
                  </w:r>
                </w:p>
              </w:tc>
              <w:tc>
                <w:tcPr>
                  <w:tcW w:w="706" w:type="pct"/>
                  <w:shd w:val="clear" w:color="auto" w:fill="auto"/>
                  <w:vAlign w:val="center"/>
                </w:tcPr>
                <w:p w14:paraId="0561C508">
                  <w:pPr>
                    <w:jc w:val="center"/>
                    <w:rPr>
                      <w:rFonts w:ascii="Times New Roman" w:hAnsi="Times New Roman" w:eastAsia="宋体" w:cs="Times New Roman"/>
                      <w:color w:val="auto"/>
                      <w:kern w:val="2"/>
                      <w:sz w:val="18"/>
                      <w:szCs w:val="18"/>
                      <w:lang w:val="en-US" w:eastAsia="zh-CN" w:bidi="ar-SA"/>
                    </w:rPr>
                  </w:pPr>
                  <w:r>
                    <w:rPr>
                      <w:color w:val="auto"/>
                      <w:sz w:val="18"/>
                      <w:szCs w:val="18"/>
                    </w:rPr>
                    <w:t>甲酸</w:t>
                  </w:r>
                </w:p>
              </w:tc>
              <w:tc>
                <w:tcPr>
                  <w:tcW w:w="2508" w:type="pct"/>
                  <w:shd w:val="clear" w:color="auto" w:fill="auto"/>
                  <w:vAlign w:val="top"/>
                </w:tcPr>
                <w:p w14:paraId="12D071B8">
                  <w:pPr>
                    <w:widowControl/>
                    <w:jc w:val="left"/>
                    <w:rPr>
                      <w:rFonts w:ascii="Times New Roman" w:hAnsi="Times New Roman" w:eastAsia="宋体" w:cs="Times New Roman"/>
                      <w:color w:val="auto"/>
                      <w:kern w:val="2"/>
                      <w:sz w:val="18"/>
                      <w:szCs w:val="18"/>
                      <w:lang w:val="en-US" w:eastAsia="zh-CN" w:bidi="ar-SA"/>
                    </w:rPr>
                  </w:pPr>
                  <w:r>
                    <w:rPr>
                      <w:color w:val="auto"/>
                      <w:kern w:val="0"/>
                      <w:sz w:val="18"/>
                      <w:szCs w:val="18"/>
                      <w:lang w:bidi="ar"/>
                    </w:rPr>
                    <w:t>无色透明、有强烈刺激性气味的发烟液体，易溶于</w:t>
                  </w:r>
                  <w:r>
                    <w:rPr>
                      <w:color w:val="auto"/>
                    </w:rPr>
                    <w:fldChar w:fldCharType="begin"/>
                  </w:r>
                  <w:r>
                    <w:rPr>
                      <w:color w:val="auto"/>
                    </w:rPr>
                    <w:instrText xml:space="preserve"> HYPERLINK "https://baike.baidu.com/item/%E6%B0%B4/34133?fromModule=lemma_inlink" \t "https://baike.baidu.com/item/%E7%94%B2%E9%85%B8/_blank" </w:instrText>
                  </w:r>
                  <w:r>
                    <w:rPr>
                      <w:color w:val="auto"/>
                    </w:rPr>
                    <w:fldChar w:fldCharType="separate"/>
                  </w:r>
                  <w:r>
                    <w:rPr>
                      <w:color w:val="auto"/>
                      <w:kern w:val="0"/>
                      <w:sz w:val="18"/>
                      <w:szCs w:val="18"/>
                      <w:lang w:bidi="ar"/>
                    </w:rPr>
                    <w:t>水</w:t>
                  </w:r>
                  <w:r>
                    <w:rPr>
                      <w:color w:val="auto"/>
                      <w:kern w:val="0"/>
                      <w:sz w:val="18"/>
                      <w:szCs w:val="18"/>
                      <w:lang w:bidi="ar"/>
                    </w:rPr>
                    <w:fldChar w:fldCharType="end"/>
                  </w:r>
                  <w:r>
                    <w:rPr>
                      <w:color w:val="auto"/>
                      <w:kern w:val="0"/>
                      <w:sz w:val="18"/>
                      <w:szCs w:val="18"/>
                      <w:lang w:bidi="ar"/>
                    </w:rPr>
                    <w:t>、</w:t>
                  </w:r>
                  <w:r>
                    <w:rPr>
                      <w:color w:val="auto"/>
                    </w:rPr>
                    <w:fldChar w:fldCharType="begin"/>
                  </w:r>
                  <w:r>
                    <w:rPr>
                      <w:color w:val="auto"/>
                    </w:rPr>
                    <w:instrText xml:space="preserve"> HYPERLINK "https://baike.baidu.com/item/%E4%B9%99%E9%86%87/135334?fromModule=lemma_inlink" \t "https://baike.baidu.com/item/%E7%94%B2%E9%85%B8/_blank" </w:instrText>
                  </w:r>
                  <w:r>
                    <w:rPr>
                      <w:color w:val="auto"/>
                    </w:rPr>
                    <w:fldChar w:fldCharType="separate"/>
                  </w:r>
                  <w:r>
                    <w:rPr>
                      <w:color w:val="auto"/>
                      <w:kern w:val="0"/>
                      <w:sz w:val="18"/>
                      <w:szCs w:val="18"/>
                      <w:lang w:bidi="ar"/>
                    </w:rPr>
                    <w:t>乙醇</w:t>
                  </w:r>
                  <w:r>
                    <w:rPr>
                      <w:color w:val="auto"/>
                      <w:kern w:val="0"/>
                      <w:sz w:val="18"/>
                      <w:szCs w:val="18"/>
                      <w:lang w:bidi="ar"/>
                    </w:rPr>
                    <w:fldChar w:fldCharType="end"/>
                  </w:r>
                  <w:r>
                    <w:rPr>
                      <w:color w:val="auto"/>
                      <w:kern w:val="0"/>
                      <w:sz w:val="18"/>
                      <w:szCs w:val="18"/>
                      <w:lang w:bidi="ar"/>
                    </w:rPr>
                    <w:t>、</w:t>
                  </w:r>
                  <w:r>
                    <w:rPr>
                      <w:color w:val="auto"/>
                    </w:rPr>
                    <w:fldChar w:fldCharType="begin"/>
                  </w:r>
                  <w:r>
                    <w:rPr>
                      <w:color w:val="auto"/>
                    </w:rPr>
                    <w:instrText xml:space="preserve"> HYPERLINK "https://baike.baidu.com/item/%E4%B9%99%E9%86%9A/316922?fromModule=lemma_inlink" \t "https://baike.baidu.com/item/%E7%94%B2%E9%85%B8/_blank" </w:instrText>
                  </w:r>
                  <w:r>
                    <w:rPr>
                      <w:color w:val="auto"/>
                    </w:rPr>
                    <w:fldChar w:fldCharType="separate"/>
                  </w:r>
                  <w:r>
                    <w:rPr>
                      <w:color w:val="auto"/>
                      <w:kern w:val="0"/>
                      <w:sz w:val="18"/>
                      <w:szCs w:val="18"/>
                      <w:lang w:bidi="ar"/>
                    </w:rPr>
                    <w:t>乙醚</w:t>
                  </w:r>
                  <w:r>
                    <w:rPr>
                      <w:color w:val="auto"/>
                      <w:kern w:val="0"/>
                      <w:sz w:val="18"/>
                      <w:szCs w:val="18"/>
                      <w:lang w:bidi="ar"/>
                    </w:rPr>
                    <w:fldChar w:fldCharType="end"/>
                  </w:r>
                  <w:r>
                    <w:rPr>
                      <w:color w:val="auto"/>
                      <w:kern w:val="0"/>
                      <w:sz w:val="18"/>
                      <w:szCs w:val="18"/>
                      <w:lang w:bidi="ar"/>
                    </w:rPr>
                    <w:t>等有机溶剂，熔点 8.2-8.4℃，沸点100.6℃，密度1.22g/cm</w:t>
                  </w:r>
                  <w:r>
                    <w:rPr>
                      <w:rFonts w:hint="eastAsia"/>
                      <w:color w:val="auto"/>
                      <w:kern w:val="0"/>
                      <w:sz w:val="18"/>
                      <w:szCs w:val="18"/>
                      <w:vertAlign w:val="superscript"/>
                      <w:lang w:bidi="ar"/>
                    </w:rPr>
                    <w:t>3</w:t>
                  </w:r>
                  <w:r>
                    <w:rPr>
                      <w:color w:val="auto"/>
                      <w:kern w:val="0"/>
                      <w:sz w:val="18"/>
                      <w:szCs w:val="18"/>
                      <w:lang w:bidi="ar"/>
                    </w:rPr>
                    <w:t>。易溶于水、乙醇、乙醚、苯等有机溶剂。</w:t>
                  </w:r>
                </w:p>
              </w:tc>
              <w:tc>
                <w:tcPr>
                  <w:tcW w:w="589" w:type="pct"/>
                  <w:shd w:val="clear" w:color="auto" w:fill="auto"/>
                  <w:vAlign w:val="center"/>
                </w:tcPr>
                <w:p w14:paraId="61A75A0D">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71738D01">
                  <w:pPr>
                    <w:widowControl/>
                    <w:jc w:val="center"/>
                    <w:rPr>
                      <w:color w:val="auto"/>
                      <w:sz w:val="18"/>
                      <w:szCs w:val="18"/>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：1100</w:t>
                  </w:r>
                </w:p>
                <w:p w14:paraId="34797B9D">
                  <w:pPr>
                    <w:widowControl/>
                    <w:jc w:val="center"/>
                    <w:rPr>
                      <w:color w:val="auto"/>
                      <w:sz w:val="18"/>
                      <w:szCs w:val="18"/>
                    </w:rPr>
                  </w:pPr>
                  <w:r>
                    <w:rPr>
                      <w:color w:val="auto"/>
                      <w:kern w:val="0"/>
                      <w:sz w:val="18"/>
                      <w:szCs w:val="18"/>
                      <w:lang w:bidi="ar"/>
                    </w:rPr>
                    <w:t>mg/kg（大鼠</w:t>
                  </w:r>
                </w:p>
                <w:p w14:paraId="047AAA27">
                  <w:pPr>
                    <w:widowControl/>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经口）</w:t>
                  </w:r>
                </w:p>
              </w:tc>
            </w:tr>
            <w:tr w14:paraId="159C4A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6254D1BF">
                  <w:pPr>
                    <w:adjustRightInd w:val="0"/>
                    <w:snapToGrid w:val="0"/>
                    <w:jc w:val="center"/>
                    <w:rPr>
                      <w:color w:val="auto"/>
                      <w:sz w:val="18"/>
                      <w:szCs w:val="18"/>
                    </w:rPr>
                  </w:pPr>
                  <w:r>
                    <w:rPr>
                      <w:color w:val="auto"/>
                      <w:sz w:val="18"/>
                      <w:szCs w:val="18"/>
                    </w:rPr>
                    <w:t>70</w:t>
                  </w:r>
                </w:p>
              </w:tc>
              <w:tc>
                <w:tcPr>
                  <w:tcW w:w="706" w:type="pct"/>
                  <w:shd w:val="clear" w:color="auto" w:fill="auto"/>
                  <w:vAlign w:val="center"/>
                </w:tcPr>
                <w:p w14:paraId="6AFF6DA4">
                  <w:pPr>
                    <w:jc w:val="center"/>
                    <w:rPr>
                      <w:rFonts w:ascii="Times New Roman" w:hAnsi="Times New Roman" w:eastAsia="宋体" w:cs="Times New Roman"/>
                      <w:color w:val="auto"/>
                      <w:kern w:val="2"/>
                      <w:sz w:val="18"/>
                      <w:szCs w:val="18"/>
                      <w:lang w:val="en-US" w:eastAsia="zh-CN" w:bidi="ar-SA"/>
                    </w:rPr>
                  </w:pPr>
                  <w:r>
                    <w:rPr>
                      <w:color w:val="auto"/>
                      <w:sz w:val="18"/>
                      <w:szCs w:val="18"/>
                    </w:rPr>
                    <w:t>冰醋酸</w:t>
                  </w:r>
                </w:p>
              </w:tc>
              <w:tc>
                <w:tcPr>
                  <w:tcW w:w="2508" w:type="pct"/>
                  <w:shd w:val="clear" w:color="auto" w:fill="auto"/>
                  <w:vAlign w:val="top"/>
                </w:tcPr>
                <w:p w14:paraId="641E23F0">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无色有刺激性气味的液体，易溶于</w:t>
                  </w:r>
                  <w:r>
                    <w:rPr>
                      <w:color w:val="auto"/>
                    </w:rPr>
                    <w:fldChar w:fldCharType="begin"/>
                  </w:r>
                  <w:r>
                    <w:rPr>
                      <w:color w:val="auto"/>
                    </w:rPr>
                    <w:instrText xml:space="preserve"> HYPERLINK "https://baike.baidu.com/item/%E6%B0%B4/34133?fromModule=lemma_inlink" \t "https://baike.baidu.com/item/_blank" </w:instrText>
                  </w:r>
                  <w:r>
                    <w:rPr>
                      <w:color w:val="auto"/>
                    </w:rPr>
                    <w:fldChar w:fldCharType="separate"/>
                  </w:r>
                  <w:r>
                    <w:rPr>
                      <w:color w:val="auto"/>
                      <w:sz w:val="18"/>
                      <w:szCs w:val="18"/>
                    </w:rPr>
                    <w:t>水</w:t>
                  </w:r>
                  <w:r>
                    <w:rPr>
                      <w:color w:val="auto"/>
                      <w:sz w:val="18"/>
                      <w:szCs w:val="18"/>
                    </w:rPr>
                    <w:fldChar w:fldCharType="end"/>
                  </w:r>
                  <w:r>
                    <w:rPr>
                      <w:color w:val="auto"/>
                      <w:sz w:val="18"/>
                      <w:szCs w:val="18"/>
                    </w:rPr>
                    <w:t>、</w:t>
                  </w:r>
                  <w:r>
                    <w:rPr>
                      <w:color w:val="auto"/>
                    </w:rPr>
                    <w:fldChar w:fldCharType="begin"/>
                  </w:r>
                  <w:r>
                    <w:rPr>
                      <w:color w:val="auto"/>
                    </w:rPr>
                    <w:instrText xml:space="preserve"> HYPERLINK "https://baike.baidu.com/item/%E4%B9%99%E9%86%87/135334?fromModule=lemma_inlink" \t "https://baike.baidu.com/item/_blank" </w:instrText>
                  </w:r>
                  <w:r>
                    <w:rPr>
                      <w:color w:val="auto"/>
                    </w:rPr>
                    <w:fldChar w:fldCharType="separate"/>
                  </w:r>
                  <w:r>
                    <w:rPr>
                      <w:color w:val="auto"/>
                      <w:sz w:val="18"/>
                      <w:szCs w:val="18"/>
                    </w:rPr>
                    <w:t>乙醇</w:t>
                  </w:r>
                  <w:r>
                    <w:rPr>
                      <w:color w:val="auto"/>
                      <w:sz w:val="18"/>
                      <w:szCs w:val="18"/>
                    </w:rPr>
                    <w:fldChar w:fldCharType="end"/>
                  </w:r>
                  <w:r>
                    <w:rPr>
                      <w:color w:val="auto"/>
                      <w:sz w:val="18"/>
                      <w:szCs w:val="18"/>
                    </w:rPr>
                    <w:t>、</w:t>
                  </w:r>
                  <w:r>
                    <w:rPr>
                      <w:color w:val="auto"/>
                    </w:rPr>
                    <w:fldChar w:fldCharType="begin"/>
                  </w:r>
                  <w:r>
                    <w:rPr>
                      <w:color w:val="auto"/>
                    </w:rPr>
                    <w:instrText xml:space="preserve"> HYPERLINK "https://baike.baidu.com/item/%E4%B9%99%E9%86%9A/316922?fromModule=lemma_inlink" \t "https://baike.baidu.com/item/_blank" </w:instrText>
                  </w:r>
                  <w:r>
                    <w:rPr>
                      <w:color w:val="auto"/>
                    </w:rPr>
                    <w:fldChar w:fldCharType="separate"/>
                  </w:r>
                  <w:r>
                    <w:rPr>
                      <w:color w:val="auto"/>
                      <w:sz w:val="18"/>
                      <w:szCs w:val="18"/>
                    </w:rPr>
                    <w:t>乙醚</w:t>
                  </w:r>
                  <w:r>
                    <w:rPr>
                      <w:color w:val="auto"/>
                      <w:sz w:val="18"/>
                      <w:szCs w:val="18"/>
                    </w:rPr>
                    <w:fldChar w:fldCharType="end"/>
                  </w:r>
                  <w:r>
                    <w:rPr>
                      <w:color w:val="auto"/>
                      <w:sz w:val="18"/>
                      <w:szCs w:val="18"/>
                    </w:rPr>
                    <w:t>、</w:t>
                  </w:r>
                  <w:r>
                    <w:rPr>
                      <w:color w:val="auto"/>
                    </w:rPr>
                    <w:fldChar w:fldCharType="begin"/>
                  </w:r>
                  <w:r>
                    <w:rPr>
                      <w:color w:val="auto"/>
                    </w:rPr>
                    <w:instrText xml:space="preserve"> HYPERLINK "https://baike.baidu.com/item/%E7%94%98%E6%B2%B9/99429?fromModule=lemma_inlink" \t "https://baike.baidu.com/item/_blank" </w:instrText>
                  </w:r>
                  <w:r>
                    <w:rPr>
                      <w:color w:val="auto"/>
                    </w:rPr>
                    <w:fldChar w:fldCharType="separate"/>
                  </w:r>
                  <w:r>
                    <w:rPr>
                      <w:color w:val="auto"/>
                      <w:sz w:val="18"/>
                      <w:szCs w:val="18"/>
                    </w:rPr>
                    <w:t>甘油</w:t>
                  </w:r>
                  <w:r>
                    <w:rPr>
                      <w:color w:val="auto"/>
                      <w:sz w:val="18"/>
                      <w:szCs w:val="18"/>
                    </w:rPr>
                    <w:fldChar w:fldCharType="end"/>
                  </w:r>
                  <w:r>
                    <w:rPr>
                      <w:color w:val="auto"/>
                      <w:sz w:val="18"/>
                      <w:szCs w:val="18"/>
                    </w:rPr>
                    <w:t>，不溶于</w:t>
                  </w:r>
                  <w:r>
                    <w:rPr>
                      <w:color w:val="auto"/>
                    </w:rPr>
                    <w:fldChar w:fldCharType="begin"/>
                  </w:r>
                  <w:r>
                    <w:rPr>
                      <w:color w:val="auto"/>
                    </w:rPr>
                    <w:instrText xml:space="preserve"> HYPERLINK "https://baike.baidu.com/item/%E4%BA%8C%E7%A1%AB%E5%8C%96%E7%A2%B3/6032457?fromModule=lemma_inlink" \t "https://baike.baidu.com/item/_blank" </w:instrText>
                  </w:r>
                  <w:r>
                    <w:rPr>
                      <w:color w:val="auto"/>
                    </w:rPr>
                    <w:fldChar w:fldCharType="separate"/>
                  </w:r>
                  <w:r>
                    <w:rPr>
                      <w:color w:val="auto"/>
                      <w:sz w:val="18"/>
                      <w:szCs w:val="18"/>
                    </w:rPr>
                    <w:t>二硫化碳</w:t>
                  </w:r>
                  <w:r>
                    <w:rPr>
                      <w:color w:val="auto"/>
                      <w:sz w:val="18"/>
                      <w:szCs w:val="18"/>
                    </w:rPr>
                    <w:fldChar w:fldCharType="end"/>
                  </w:r>
                  <w:r>
                    <w:rPr>
                      <w:color w:val="auto"/>
                      <w:sz w:val="18"/>
                      <w:szCs w:val="18"/>
                    </w:rPr>
                    <w:t>。熔点16.6℃，沸点11</w:t>
                  </w:r>
                  <w:r>
                    <w:rPr>
                      <w:rFonts w:hint="eastAsia"/>
                      <w:color w:val="auto"/>
                      <w:sz w:val="18"/>
                      <w:szCs w:val="18"/>
                    </w:rPr>
                    <w:t>7.9</w:t>
                  </w:r>
                  <w:r>
                    <w:rPr>
                      <w:color w:val="auto"/>
                      <w:sz w:val="18"/>
                      <w:szCs w:val="18"/>
                    </w:rPr>
                    <w:t>℃，密度1.05 g/cm</w:t>
                  </w:r>
                  <w:r>
                    <w:rPr>
                      <w:rFonts w:hint="eastAsia"/>
                      <w:color w:val="auto"/>
                      <w:sz w:val="18"/>
                      <w:szCs w:val="18"/>
                      <w:vertAlign w:val="superscript"/>
                    </w:rPr>
                    <w:t>3</w:t>
                  </w:r>
                  <w:r>
                    <w:rPr>
                      <w:color w:val="auto"/>
                      <w:sz w:val="18"/>
                      <w:szCs w:val="18"/>
                    </w:rPr>
                    <w:t>。闪点39℃（闭杯）</w:t>
                  </w:r>
                </w:p>
              </w:tc>
              <w:tc>
                <w:tcPr>
                  <w:tcW w:w="589" w:type="pct"/>
                  <w:shd w:val="clear" w:color="auto" w:fill="auto"/>
                  <w:vAlign w:val="center"/>
                </w:tcPr>
                <w:p w14:paraId="7504B411">
                  <w:pPr>
                    <w:jc w:val="center"/>
                    <w:rPr>
                      <w:color w:val="auto"/>
                      <w:kern w:val="0"/>
                      <w:sz w:val="18"/>
                      <w:szCs w:val="18"/>
                    </w:rPr>
                  </w:pPr>
                  <w:r>
                    <w:rPr>
                      <w:color w:val="auto"/>
                      <w:kern w:val="0"/>
                      <w:sz w:val="18"/>
                      <w:szCs w:val="18"/>
                    </w:rPr>
                    <w:t>易燃</w:t>
                  </w:r>
                </w:p>
                <w:p w14:paraId="3979F331">
                  <w:pPr>
                    <w:jc w:val="center"/>
                    <w:rPr>
                      <w:rFonts w:ascii="Times New Roman" w:hAnsi="Times New Roman" w:eastAsia="宋体" w:cs="Times New Roman"/>
                      <w:color w:val="auto"/>
                      <w:kern w:val="0"/>
                      <w:sz w:val="18"/>
                      <w:szCs w:val="18"/>
                      <w:lang w:val="en-US" w:eastAsia="zh-CN" w:bidi="ar-SA"/>
                    </w:rPr>
                  </w:pPr>
                </w:p>
              </w:tc>
              <w:tc>
                <w:tcPr>
                  <w:tcW w:w="803" w:type="pct"/>
                  <w:shd w:val="clear" w:color="auto" w:fill="auto"/>
                  <w:vAlign w:val="center"/>
                </w:tcPr>
                <w:p w14:paraId="7528F097">
                  <w:pPr>
                    <w:widowControl/>
                    <w:jc w:val="center"/>
                    <w:rPr>
                      <w:color w:val="auto"/>
                      <w:sz w:val="18"/>
                      <w:szCs w:val="18"/>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：3530mg/kg</w:t>
                  </w:r>
                </w:p>
                <w:p w14:paraId="0CDCDCC8">
                  <w:pPr>
                    <w:widowControl/>
                    <w:jc w:val="center"/>
                    <w:rPr>
                      <w:rFonts w:ascii="Times New Roman" w:hAnsi="Times New Roman" w:eastAsia="宋体" w:cs="Times New Roman"/>
                      <w:color w:val="auto"/>
                      <w:kern w:val="0"/>
                      <w:sz w:val="18"/>
                      <w:szCs w:val="18"/>
                      <w:lang w:val="en-US" w:eastAsia="zh-CN" w:bidi="ar-SA"/>
                    </w:rPr>
                  </w:pPr>
                  <w:r>
                    <w:rPr>
                      <w:color w:val="auto"/>
                      <w:kern w:val="0"/>
                      <w:sz w:val="18"/>
                      <w:szCs w:val="18"/>
                      <w:lang w:bidi="ar"/>
                    </w:rPr>
                    <w:t>（大鼠经口）</w:t>
                  </w:r>
                </w:p>
              </w:tc>
            </w:tr>
            <w:tr w14:paraId="2812A0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27E59876">
                  <w:pPr>
                    <w:adjustRightInd w:val="0"/>
                    <w:snapToGrid w:val="0"/>
                    <w:jc w:val="center"/>
                    <w:rPr>
                      <w:color w:val="auto"/>
                      <w:sz w:val="18"/>
                      <w:szCs w:val="18"/>
                    </w:rPr>
                  </w:pPr>
                  <w:r>
                    <w:rPr>
                      <w:color w:val="auto"/>
                      <w:sz w:val="18"/>
                      <w:szCs w:val="18"/>
                    </w:rPr>
                    <w:t>71</w:t>
                  </w:r>
                </w:p>
              </w:tc>
              <w:tc>
                <w:tcPr>
                  <w:tcW w:w="706" w:type="pct"/>
                  <w:shd w:val="clear" w:color="auto" w:fill="auto"/>
                  <w:vAlign w:val="center"/>
                </w:tcPr>
                <w:p w14:paraId="2E169D0B">
                  <w:pPr>
                    <w:jc w:val="center"/>
                    <w:rPr>
                      <w:rFonts w:ascii="Times New Roman" w:hAnsi="Times New Roman" w:eastAsia="宋体" w:cs="Times New Roman"/>
                      <w:color w:val="auto"/>
                      <w:kern w:val="2"/>
                      <w:sz w:val="18"/>
                      <w:szCs w:val="18"/>
                      <w:lang w:val="en-US" w:eastAsia="zh-CN" w:bidi="ar-SA"/>
                    </w:rPr>
                  </w:pPr>
                  <w:r>
                    <w:rPr>
                      <w:color w:val="auto"/>
                      <w:sz w:val="18"/>
                      <w:szCs w:val="18"/>
                    </w:rPr>
                    <w:t>三乙醇胺</w:t>
                  </w:r>
                </w:p>
              </w:tc>
              <w:tc>
                <w:tcPr>
                  <w:tcW w:w="2508" w:type="pct"/>
                  <w:shd w:val="clear" w:color="auto" w:fill="auto"/>
                  <w:vAlign w:val="top"/>
                </w:tcPr>
                <w:p w14:paraId="34936EFC">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无色油状液体</w:t>
                  </w:r>
                  <w:r>
                    <w:rPr>
                      <w:rFonts w:hint="eastAsia"/>
                      <w:color w:val="auto"/>
                      <w:sz w:val="18"/>
                      <w:szCs w:val="18"/>
                    </w:rPr>
                    <w:t>，</w:t>
                  </w:r>
                  <w:r>
                    <w:rPr>
                      <w:color w:val="auto"/>
                      <w:sz w:val="18"/>
                      <w:szCs w:val="18"/>
                    </w:rPr>
                    <w:t>熔点21℃，沸点335.4℃，密度1.124 g/cm</w:t>
                  </w:r>
                  <w:r>
                    <w:rPr>
                      <w:rFonts w:hint="eastAsia"/>
                      <w:color w:val="auto"/>
                      <w:sz w:val="18"/>
                      <w:szCs w:val="18"/>
                      <w:vertAlign w:val="superscript"/>
                    </w:rPr>
                    <w:t>3</w:t>
                  </w:r>
                  <w:r>
                    <w:rPr>
                      <w:color w:val="auto"/>
                      <w:sz w:val="18"/>
                      <w:szCs w:val="18"/>
                    </w:rPr>
                    <w:t>。溶于水，甲醇、丙酮、氯仿等，微溶于乙醚和苯，在非极性溶剂中几乎不溶</w:t>
                  </w:r>
                  <w:r>
                    <w:rPr>
                      <w:rFonts w:hint="eastAsia"/>
                      <w:color w:val="auto"/>
                      <w:sz w:val="18"/>
                      <w:szCs w:val="18"/>
                    </w:rPr>
                    <w:t>。</w:t>
                  </w:r>
                </w:p>
              </w:tc>
              <w:tc>
                <w:tcPr>
                  <w:tcW w:w="589" w:type="pct"/>
                  <w:shd w:val="clear" w:color="auto" w:fill="auto"/>
                  <w:vAlign w:val="center"/>
                </w:tcPr>
                <w:p w14:paraId="3276469F">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可燃</w:t>
                  </w:r>
                </w:p>
              </w:tc>
              <w:tc>
                <w:tcPr>
                  <w:tcW w:w="803" w:type="pct"/>
                  <w:shd w:val="clear" w:color="auto" w:fill="auto"/>
                  <w:vAlign w:val="center"/>
                </w:tcPr>
                <w:p w14:paraId="0FD2E11C">
                  <w:pPr>
                    <w:widowControl/>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：9110mg/kg（大鼠经口）</w:t>
                  </w:r>
                </w:p>
              </w:tc>
            </w:tr>
            <w:tr w14:paraId="1EF23F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6DA60F98">
                  <w:pPr>
                    <w:adjustRightInd w:val="0"/>
                    <w:snapToGrid w:val="0"/>
                    <w:jc w:val="center"/>
                    <w:rPr>
                      <w:color w:val="auto"/>
                      <w:sz w:val="18"/>
                      <w:szCs w:val="18"/>
                    </w:rPr>
                  </w:pPr>
                  <w:r>
                    <w:rPr>
                      <w:color w:val="auto"/>
                      <w:sz w:val="18"/>
                      <w:szCs w:val="18"/>
                    </w:rPr>
                    <w:t>72</w:t>
                  </w:r>
                </w:p>
              </w:tc>
              <w:tc>
                <w:tcPr>
                  <w:tcW w:w="706" w:type="pct"/>
                  <w:shd w:val="clear" w:color="auto" w:fill="auto"/>
                  <w:vAlign w:val="center"/>
                </w:tcPr>
                <w:p w14:paraId="16B13A46">
                  <w:pPr>
                    <w:jc w:val="center"/>
                    <w:rPr>
                      <w:rFonts w:ascii="Times New Roman" w:hAnsi="Times New Roman" w:eastAsia="宋体" w:cs="Times New Roman"/>
                      <w:color w:val="auto"/>
                      <w:kern w:val="2"/>
                      <w:sz w:val="18"/>
                      <w:szCs w:val="18"/>
                      <w:lang w:val="en-US" w:eastAsia="zh-CN" w:bidi="ar-SA"/>
                    </w:rPr>
                  </w:pPr>
                  <w:r>
                    <w:rPr>
                      <w:color w:val="auto"/>
                      <w:sz w:val="18"/>
                      <w:szCs w:val="18"/>
                    </w:rPr>
                    <w:t>磺基水杨酸</w:t>
                  </w:r>
                </w:p>
              </w:tc>
              <w:tc>
                <w:tcPr>
                  <w:tcW w:w="2508" w:type="pct"/>
                  <w:shd w:val="clear" w:color="auto" w:fill="auto"/>
                  <w:vAlign w:val="top"/>
                </w:tcPr>
                <w:p w14:paraId="2815533E">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白色至灰白色结晶性粉末，易吸湿，遇微量铁离子呈粉红色。‌熔点‌：120℃。能溶于</w:t>
                  </w:r>
                  <w:r>
                    <w:rPr>
                      <w:color w:val="auto"/>
                    </w:rPr>
                    <w:fldChar w:fldCharType="begin"/>
                  </w:r>
                  <w:r>
                    <w:rPr>
                      <w:color w:val="auto"/>
                    </w:rPr>
                    <w:instrText xml:space="preserve"> HYPERLINK "https://baike.baidu.com/item/%E4%B9%99%E9%86%9A/0?fromModule=lemma_inlink" \t "https://baike.baidu.com/item/5-%E7%A3%BA%E5%9F%BA%E6%B0%B4%E6%9D%A8%E9%85%B8/_blank" </w:instrText>
                  </w:r>
                  <w:r>
                    <w:rPr>
                      <w:color w:val="auto"/>
                    </w:rPr>
                    <w:fldChar w:fldCharType="separate"/>
                  </w:r>
                  <w:r>
                    <w:rPr>
                      <w:color w:val="auto"/>
                      <w:sz w:val="18"/>
                      <w:szCs w:val="18"/>
                    </w:rPr>
                    <w:t>乙醚</w:t>
                  </w:r>
                  <w:r>
                    <w:rPr>
                      <w:color w:val="auto"/>
                      <w:sz w:val="18"/>
                      <w:szCs w:val="18"/>
                    </w:rPr>
                    <w:fldChar w:fldCharType="end"/>
                  </w:r>
                  <w:r>
                    <w:rPr>
                      <w:color w:val="auto"/>
                      <w:sz w:val="18"/>
                      <w:szCs w:val="18"/>
                    </w:rPr>
                    <w:t>，易溶于</w:t>
                  </w:r>
                  <w:r>
                    <w:rPr>
                      <w:color w:val="auto"/>
                    </w:rPr>
                    <w:fldChar w:fldCharType="begin"/>
                  </w:r>
                  <w:r>
                    <w:rPr>
                      <w:color w:val="auto"/>
                    </w:rPr>
                    <w:instrText xml:space="preserve"> HYPERLINK "https://baike.baidu.com/item/%E6%B0%B4/0?fromModule=lemma_inlink" \t "https://baike.baidu.com/item/5-%E7%A3%BA%E5%9F%BA%E6%B0%B4%E6%9D%A8%E9%85%B8/_blank" </w:instrText>
                  </w:r>
                  <w:r>
                    <w:rPr>
                      <w:color w:val="auto"/>
                    </w:rPr>
                    <w:fldChar w:fldCharType="separate"/>
                  </w:r>
                  <w:r>
                    <w:rPr>
                      <w:color w:val="auto"/>
                      <w:sz w:val="18"/>
                      <w:szCs w:val="18"/>
                    </w:rPr>
                    <w:t>水</w:t>
                  </w:r>
                  <w:r>
                    <w:rPr>
                      <w:color w:val="auto"/>
                      <w:sz w:val="18"/>
                      <w:szCs w:val="18"/>
                    </w:rPr>
                    <w:fldChar w:fldCharType="end"/>
                  </w:r>
                  <w:r>
                    <w:rPr>
                      <w:color w:val="auto"/>
                      <w:sz w:val="18"/>
                      <w:szCs w:val="18"/>
                    </w:rPr>
                    <w:t>和</w:t>
                  </w:r>
                  <w:r>
                    <w:rPr>
                      <w:color w:val="auto"/>
                    </w:rPr>
                    <w:fldChar w:fldCharType="begin"/>
                  </w:r>
                  <w:r>
                    <w:rPr>
                      <w:color w:val="auto"/>
                    </w:rPr>
                    <w:instrText xml:space="preserve"> HYPERLINK "https://baike.baidu.com/item/%E4%B9%99%E9%86%87/0?fromModule=lemma_inlink" \t "https://baike.baidu.com/item/5-%E7%A3%BA%E5%9F%BA%E6%B0%B4%E6%9D%A8%E9%85%B8/_blank" </w:instrText>
                  </w:r>
                  <w:r>
                    <w:rPr>
                      <w:color w:val="auto"/>
                    </w:rPr>
                    <w:fldChar w:fldCharType="separate"/>
                  </w:r>
                  <w:r>
                    <w:rPr>
                      <w:color w:val="auto"/>
                      <w:sz w:val="18"/>
                      <w:szCs w:val="18"/>
                    </w:rPr>
                    <w:t>乙醇</w:t>
                  </w:r>
                  <w:r>
                    <w:rPr>
                      <w:color w:val="auto"/>
                      <w:sz w:val="18"/>
                      <w:szCs w:val="18"/>
                    </w:rPr>
                    <w:fldChar w:fldCharType="end"/>
                  </w:r>
                  <w:r>
                    <w:rPr>
                      <w:color w:val="auto"/>
                      <w:sz w:val="18"/>
                      <w:szCs w:val="18"/>
                    </w:rPr>
                    <w:t>。</w:t>
                  </w:r>
                </w:p>
              </w:tc>
              <w:tc>
                <w:tcPr>
                  <w:tcW w:w="589" w:type="pct"/>
                  <w:shd w:val="clear" w:color="auto" w:fill="auto"/>
                  <w:vAlign w:val="center"/>
                </w:tcPr>
                <w:p w14:paraId="552733C2">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1F1BFACF">
                  <w:pPr>
                    <w:adjustRightInd w:val="0"/>
                    <w:snapToGrid w:val="0"/>
                    <w:jc w:val="center"/>
                    <w:rPr>
                      <w:color w:val="auto"/>
                      <w:sz w:val="18"/>
                      <w:szCs w:val="18"/>
                    </w:rPr>
                  </w:pPr>
                  <w:r>
                    <w:rPr>
                      <w:color w:val="auto"/>
                      <w:sz w:val="18"/>
                      <w:szCs w:val="18"/>
                    </w:rPr>
                    <w:t>LD</w:t>
                  </w:r>
                  <w:r>
                    <w:rPr>
                      <w:color w:val="auto"/>
                      <w:sz w:val="18"/>
                      <w:szCs w:val="18"/>
                      <w:vertAlign w:val="subscript"/>
                    </w:rPr>
                    <w:t>50</w:t>
                  </w:r>
                  <w:r>
                    <w:rPr>
                      <w:color w:val="auto"/>
                      <w:sz w:val="18"/>
                      <w:szCs w:val="18"/>
                    </w:rPr>
                    <w:t>：</w:t>
                  </w:r>
                  <w:r>
                    <w:rPr>
                      <w:rFonts w:hint="eastAsia"/>
                      <w:color w:val="auto"/>
                      <w:sz w:val="18"/>
                      <w:szCs w:val="18"/>
                    </w:rPr>
                    <w:t>1850</w:t>
                  </w:r>
                  <w:r>
                    <w:rPr>
                      <w:color w:val="auto"/>
                      <w:sz w:val="18"/>
                      <w:szCs w:val="18"/>
                    </w:rPr>
                    <w:t xml:space="preserve"> mg/kg（大鼠</w:t>
                  </w:r>
                </w:p>
                <w:p w14:paraId="6C249FFA">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经口）</w:t>
                  </w:r>
                </w:p>
              </w:tc>
            </w:tr>
            <w:tr w14:paraId="17F3F1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4E76B293">
                  <w:pPr>
                    <w:adjustRightInd w:val="0"/>
                    <w:snapToGrid w:val="0"/>
                    <w:jc w:val="center"/>
                    <w:rPr>
                      <w:color w:val="auto"/>
                      <w:sz w:val="18"/>
                      <w:szCs w:val="18"/>
                    </w:rPr>
                  </w:pPr>
                  <w:r>
                    <w:rPr>
                      <w:color w:val="auto"/>
                      <w:sz w:val="18"/>
                      <w:szCs w:val="18"/>
                    </w:rPr>
                    <w:t>73</w:t>
                  </w:r>
                </w:p>
              </w:tc>
              <w:tc>
                <w:tcPr>
                  <w:tcW w:w="706" w:type="pct"/>
                  <w:shd w:val="clear" w:color="auto" w:fill="auto"/>
                  <w:vAlign w:val="center"/>
                </w:tcPr>
                <w:p w14:paraId="3AAD83AD">
                  <w:pPr>
                    <w:jc w:val="center"/>
                    <w:rPr>
                      <w:rFonts w:ascii="Times New Roman" w:hAnsi="Times New Roman" w:eastAsia="宋体" w:cs="Times New Roman"/>
                      <w:color w:val="auto"/>
                      <w:kern w:val="2"/>
                      <w:sz w:val="18"/>
                      <w:szCs w:val="18"/>
                      <w:lang w:val="en-US" w:eastAsia="zh-CN" w:bidi="ar-SA"/>
                    </w:rPr>
                  </w:pPr>
                  <w:r>
                    <w:rPr>
                      <w:color w:val="auto"/>
                      <w:sz w:val="18"/>
                      <w:szCs w:val="18"/>
                    </w:rPr>
                    <w:t>水杨酸</w:t>
                  </w:r>
                </w:p>
              </w:tc>
              <w:tc>
                <w:tcPr>
                  <w:tcW w:w="2508" w:type="pct"/>
                  <w:shd w:val="clear" w:color="auto" w:fill="auto"/>
                  <w:vAlign w:val="center"/>
                </w:tcPr>
                <w:p w14:paraId="2DA14842">
                  <w:pPr>
                    <w:adjustRightInd w:val="0"/>
                    <w:snapToGrid w:val="0"/>
                    <w:rPr>
                      <w:rFonts w:ascii="Times New Roman" w:hAnsi="Times New Roman" w:eastAsia="宋体" w:cs="Times New Roman"/>
                      <w:color w:val="auto"/>
                      <w:kern w:val="2"/>
                      <w:sz w:val="18"/>
                      <w:szCs w:val="18"/>
                      <w:lang w:val="en-US" w:eastAsia="zh-CN" w:bidi="ar-SA"/>
                    </w:rPr>
                  </w:pPr>
                  <w:r>
                    <w:rPr>
                      <w:color w:val="auto"/>
                      <w:sz w:val="18"/>
                      <w:szCs w:val="18"/>
                    </w:rPr>
                    <w:t>白色结晶性粉末，微溶于冷水，易溶于热水、乙醇、乙醚和丙酮，溶于热苯。‌熔点‌：158～161℃，沸点336.3℃，密度1.375 g/cm</w:t>
                  </w:r>
                  <w:r>
                    <w:rPr>
                      <w:rFonts w:hint="eastAsia"/>
                      <w:color w:val="auto"/>
                      <w:sz w:val="18"/>
                      <w:szCs w:val="18"/>
                      <w:vertAlign w:val="superscript"/>
                    </w:rPr>
                    <w:t>3</w:t>
                  </w:r>
                  <w:r>
                    <w:rPr>
                      <w:color w:val="auto"/>
                      <w:sz w:val="18"/>
                      <w:szCs w:val="18"/>
                    </w:rPr>
                    <w:t>。</w:t>
                  </w:r>
                </w:p>
              </w:tc>
              <w:tc>
                <w:tcPr>
                  <w:tcW w:w="589" w:type="pct"/>
                  <w:shd w:val="clear" w:color="auto" w:fill="auto"/>
                  <w:vAlign w:val="center"/>
                </w:tcPr>
                <w:p w14:paraId="6F57BF54">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可燃</w:t>
                  </w:r>
                </w:p>
              </w:tc>
              <w:tc>
                <w:tcPr>
                  <w:tcW w:w="803" w:type="pct"/>
                  <w:shd w:val="clear" w:color="auto" w:fill="auto"/>
                  <w:vAlign w:val="center"/>
                </w:tcPr>
                <w:p w14:paraId="74130000">
                  <w:pPr>
                    <w:widowControl/>
                    <w:jc w:val="center"/>
                    <w:rPr>
                      <w:rFonts w:ascii="Times New Roman" w:hAnsi="Times New Roman" w:eastAsia="宋体" w:cs="Times New Roman"/>
                      <w:color w:val="auto"/>
                      <w:kern w:val="2"/>
                      <w:sz w:val="18"/>
                      <w:szCs w:val="18"/>
                      <w:lang w:val="en-US" w:eastAsia="zh-CN" w:bidi="ar-SA"/>
                    </w:rPr>
                  </w:pPr>
                  <w:r>
                    <w:rPr>
                      <w:color w:val="auto"/>
                      <w:sz w:val="18"/>
                      <w:szCs w:val="18"/>
                    </w:rPr>
                    <w:t>LC</w:t>
                  </w:r>
                  <w:r>
                    <w:rPr>
                      <w:color w:val="auto"/>
                      <w:sz w:val="18"/>
                      <w:szCs w:val="18"/>
                      <w:vertAlign w:val="subscript"/>
                    </w:rPr>
                    <w:t>50</w:t>
                  </w:r>
                  <w:r>
                    <w:rPr>
                      <w:color w:val="auto"/>
                      <w:sz w:val="18"/>
                      <w:szCs w:val="18"/>
                    </w:rPr>
                    <w:t>：500mg/kg（小鼠，静脉）</w:t>
                  </w:r>
                </w:p>
              </w:tc>
            </w:tr>
            <w:tr w14:paraId="27A9F4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04825632">
                  <w:pPr>
                    <w:adjustRightInd w:val="0"/>
                    <w:snapToGrid w:val="0"/>
                    <w:jc w:val="center"/>
                    <w:rPr>
                      <w:color w:val="auto"/>
                      <w:sz w:val="18"/>
                      <w:szCs w:val="18"/>
                    </w:rPr>
                  </w:pPr>
                  <w:r>
                    <w:rPr>
                      <w:color w:val="auto"/>
                      <w:sz w:val="18"/>
                      <w:szCs w:val="18"/>
                    </w:rPr>
                    <w:t>74</w:t>
                  </w:r>
                </w:p>
              </w:tc>
              <w:tc>
                <w:tcPr>
                  <w:tcW w:w="706" w:type="pct"/>
                  <w:shd w:val="clear" w:color="auto" w:fill="auto"/>
                  <w:vAlign w:val="center"/>
                </w:tcPr>
                <w:p w14:paraId="17315CFC">
                  <w:pPr>
                    <w:jc w:val="center"/>
                    <w:rPr>
                      <w:rFonts w:ascii="Times New Roman" w:hAnsi="Times New Roman" w:eastAsia="宋体" w:cs="Times New Roman"/>
                      <w:color w:val="auto"/>
                      <w:kern w:val="2"/>
                      <w:sz w:val="18"/>
                      <w:szCs w:val="18"/>
                      <w:lang w:val="en-US" w:eastAsia="zh-CN" w:bidi="ar-SA"/>
                    </w:rPr>
                  </w:pPr>
                  <w:r>
                    <w:rPr>
                      <w:color w:val="auto"/>
                      <w:sz w:val="18"/>
                      <w:szCs w:val="18"/>
                    </w:rPr>
                    <w:t>邻菲罗啉</w:t>
                  </w:r>
                </w:p>
              </w:tc>
              <w:tc>
                <w:tcPr>
                  <w:tcW w:w="2508" w:type="pct"/>
                  <w:shd w:val="clear" w:color="auto" w:fill="auto"/>
                  <w:vAlign w:val="center"/>
                </w:tcPr>
                <w:p w14:paraId="5BC8F873">
                  <w:pPr>
                    <w:adjustRightInd w:val="0"/>
                    <w:snapToGrid w:val="0"/>
                    <w:rPr>
                      <w:rFonts w:ascii="Times New Roman" w:hAnsi="Times New Roman" w:eastAsia="宋体" w:cs="Times New Roman"/>
                      <w:color w:val="auto"/>
                      <w:kern w:val="2"/>
                      <w:sz w:val="18"/>
                      <w:szCs w:val="18"/>
                      <w:lang w:val="en-US" w:eastAsia="zh-CN" w:bidi="ar-SA"/>
                    </w:rPr>
                  </w:pPr>
                  <w:r>
                    <w:rPr>
                      <w:color w:val="auto"/>
                      <w:sz w:val="18"/>
                      <w:szCs w:val="18"/>
                    </w:rPr>
                    <w:t>白色结晶性粉末，溶于</w:t>
                  </w:r>
                  <w:r>
                    <w:rPr>
                      <w:color w:val="auto"/>
                    </w:rPr>
                    <w:fldChar w:fldCharType="begin"/>
                  </w:r>
                  <w:r>
                    <w:rPr>
                      <w:color w:val="auto"/>
                    </w:rPr>
                    <w:instrText xml:space="preserve"> HYPERLINK "https://baike.baidu.com/item/%E9%86%87/13011860?fromModule=lemma_inlink" \t "https://baike.baidu.com/item/_blank" </w:instrText>
                  </w:r>
                  <w:r>
                    <w:rPr>
                      <w:color w:val="auto"/>
                    </w:rPr>
                    <w:fldChar w:fldCharType="separate"/>
                  </w:r>
                  <w:r>
                    <w:rPr>
                      <w:color w:val="auto"/>
                      <w:sz w:val="18"/>
                      <w:szCs w:val="18"/>
                    </w:rPr>
                    <w:t>醇</w:t>
                  </w:r>
                  <w:r>
                    <w:rPr>
                      <w:color w:val="auto"/>
                      <w:sz w:val="18"/>
                      <w:szCs w:val="18"/>
                    </w:rPr>
                    <w:fldChar w:fldCharType="end"/>
                  </w:r>
                  <w:r>
                    <w:rPr>
                      <w:color w:val="auto"/>
                      <w:sz w:val="18"/>
                      <w:szCs w:val="18"/>
                    </w:rPr>
                    <w:t>和</w:t>
                  </w:r>
                  <w:r>
                    <w:rPr>
                      <w:color w:val="auto"/>
                    </w:rPr>
                    <w:fldChar w:fldCharType="begin"/>
                  </w:r>
                  <w:r>
                    <w:rPr>
                      <w:color w:val="auto"/>
                    </w:rPr>
                    <w:instrText xml:space="preserve"> HYPERLINK "https://baike.baidu.com/item/%E4%B8%99%E9%85%AE/955883?fromModule=lemma_inlink" \t "https://baike.baidu.com/item/_blank" </w:instrText>
                  </w:r>
                  <w:r>
                    <w:rPr>
                      <w:color w:val="auto"/>
                    </w:rPr>
                    <w:fldChar w:fldCharType="separate"/>
                  </w:r>
                  <w:r>
                    <w:rPr>
                      <w:color w:val="auto"/>
                      <w:sz w:val="18"/>
                      <w:szCs w:val="18"/>
                    </w:rPr>
                    <w:t>丙酮</w:t>
                  </w:r>
                  <w:r>
                    <w:rPr>
                      <w:color w:val="auto"/>
                      <w:sz w:val="18"/>
                      <w:szCs w:val="18"/>
                    </w:rPr>
                    <w:fldChar w:fldCharType="end"/>
                  </w:r>
                  <w:r>
                    <w:rPr>
                      <w:color w:val="auto"/>
                      <w:sz w:val="18"/>
                      <w:szCs w:val="18"/>
                    </w:rPr>
                    <w:t>，不溶于</w:t>
                  </w:r>
                  <w:r>
                    <w:rPr>
                      <w:color w:val="auto"/>
                    </w:rPr>
                    <w:fldChar w:fldCharType="begin"/>
                  </w:r>
                  <w:r>
                    <w:rPr>
                      <w:color w:val="auto"/>
                    </w:rPr>
                    <w:instrText xml:space="preserve"> HYPERLINK "https://baike.baidu.com/item/%E7%9F%B3%E6%B2%B9%E9%86%9A/2519986?fromModule=lemma_inlink" \t "https://baike.baidu.com/item/_blank" </w:instrText>
                  </w:r>
                  <w:r>
                    <w:rPr>
                      <w:color w:val="auto"/>
                    </w:rPr>
                    <w:fldChar w:fldCharType="separate"/>
                  </w:r>
                  <w:r>
                    <w:rPr>
                      <w:color w:val="auto"/>
                      <w:sz w:val="18"/>
                      <w:szCs w:val="18"/>
                    </w:rPr>
                    <w:t>石油醚</w:t>
                  </w:r>
                  <w:r>
                    <w:rPr>
                      <w:color w:val="auto"/>
                      <w:sz w:val="18"/>
                      <w:szCs w:val="18"/>
                    </w:rPr>
                    <w:fldChar w:fldCharType="end"/>
                  </w:r>
                  <w:r>
                    <w:rPr>
                      <w:color w:val="auto"/>
                      <w:sz w:val="18"/>
                      <w:szCs w:val="18"/>
                    </w:rPr>
                    <w:t>。‌熔点‌：无水物</w:t>
                  </w:r>
                  <w:r>
                    <w:rPr>
                      <w:rFonts w:hint="eastAsia"/>
                      <w:color w:val="auto"/>
                      <w:sz w:val="18"/>
                      <w:szCs w:val="18"/>
                    </w:rPr>
                    <w:t>熔点为</w:t>
                  </w:r>
                  <w:r>
                    <w:rPr>
                      <w:color w:val="auto"/>
                      <w:sz w:val="18"/>
                      <w:szCs w:val="18"/>
                    </w:rPr>
                    <w:t>117℃。密度 1.10 g/cm</w:t>
                  </w:r>
                  <w:r>
                    <w:rPr>
                      <w:rFonts w:hint="eastAsia"/>
                      <w:color w:val="auto"/>
                      <w:sz w:val="18"/>
                      <w:szCs w:val="18"/>
                      <w:vertAlign w:val="superscript"/>
                    </w:rPr>
                    <w:t>3</w:t>
                  </w:r>
                  <w:r>
                    <w:rPr>
                      <w:color w:val="auto"/>
                      <w:sz w:val="18"/>
                      <w:szCs w:val="18"/>
                    </w:rPr>
                    <w:t>。</w:t>
                  </w:r>
                </w:p>
              </w:tc>
              <w:tc>
                <w:tcPr>
                  <w:tcW w:w="589" w:type="pct"/>
                  <w:shd w:val="clear" w:color="auto" w:fill="auto"/>
                  <w:vAlign w:val="center"/>
                </w:tcPr>
                <w:p w14:paraId="47F049DD">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684E8750">
                  <w:pPr>
                    <w:adjustRightInd w:val="0"/>
                    <w:snapToGrid w:val="0"/>
                    <w:jc w:val="center"/>
                    <w:rPr>
                      <w:rFonts w:ascii="Times New Roman" w:hAnsi="Times New Roman" w:eastAsia="宋体" w:cs="Times New Roman"/>
                      <w:color w:val="auto"/>
                      <w:kern w:val="2"/>
                      <w:sz w:val="18"/>
                      <w:szCs w:val="18"/>
                      <w:lang w:val="en-US" w:eastAsia="zh-CN" w:bidi="ar-SA"/>
                    </w:rPr>
                  </w:pPr>
                  <w:r>
                    <w:rPr>
                      <w:rFonts w:hint="eastAsia"/>
                      <w:color w:val="auto"/>
                      <w:kern w:val="0"/>
                      <w:sz w:val="18"/>
                      <w:szCs w:val="18"/>
                      <w:lang w:bidi="ar"/>
                    </w:rPr>
                    <w:t>/</w:t>
                  </w:r>
                </w:p>
              </w:tc>
            </w:tr>
            <w:tr w14:paraId="12748A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391" w:type="pct"/>
                  <w:vAlign w:val="center"/>
                </w:tcPr>
                <w:p w14:paraId="3E1DAC21">
                  <w:pPr>
                    <w:adjustRightInd w:val="0"/>
                    <w:snapToGrid w:val="0"/>
                    <w:jc w:val="center"/>
                    <w:rPr>
                      <w:color w:val="auto"/>
                      <w:sz w:val="18"/>
                      <w:szCs w:val="18"/>
                    </w:rPr>
                  </w:pPr>
                  <w:r>
                    <w:rPr>
                      <w:color w:val="auto"/>
                      <w:sz w:val="18"/>
                      <w:szCs w:val="18"/>
                    </w:rPr>
                    <w:t>75</w:t>
                  </w:r>
                </w:p>
              </w:tc>
              <w:tc>
                <w:tcPr>
                  <w:tcW w:w="706" w:type="pct"/>
                  <w:shd w:val="clear" w:color="auto" w:fill="auto"/>
                  <w:vAlign w:val="center"/>
                </w:tcPr>
                <w:p w14:paraId="136148CE">
                  <w:pPr>
                    <w:jc w:val="center"/>
                    <w:rPr>
                      <w:rFonts w:ascii="Times New Roman" w:hAnsi="Times New Roman" w:eastAsia="宋体" w:cs="Times New Roman"/>
                      <w:color w:val="auto"/>
                      <w:kern w:val="2"/>
                      <w:sz w:val="18"/>
                      <w:szCs w:val="18"/>
                      <w:lang w:val="en-US" w:eastAsia="zh-CN" w:bidi="ar-SA"/>
                    </w:rPr>
                  </w:pPr>
                  <w:r>
                    <w:rPr>
                      <w:color w:val="auto"/>
                      <w:sz w:val="18"/>
                      <w:szCs w:val="18"/>
                    </w:rPr>
                    <w:t>正丁醇</w:t>
                  </w:r>
                </w:p>
              </w:tc>
              <w:tc>
                <w:tcPr>
                  <w:tcW w:w="2508" w:type="pct"/>
                  <w:shd w:val="clear" w:color="auto" w:fill="auto"/>
                  <w:vAlign w:val="center"/>
                </w:tcPr>
                <w:p w14:paraId="1632C002">
                  <w:pPr>
                    <w:adjustRightInd w:val="0"/>
                    <w:snapToGrid w:val="0"/>
                    <w:rPr>
                      <w:rFonts w:ascii="Times New Roman" w:hAnsi="Times New Roman" w:eastAsia="宋体" w:cs="Times New Roman"/>
                      <w:color w:val="auto"/>
                      <w:kern w:val="2"/>
                      <w:sz w:val="18"/>
                      <w:szCs w:val="18"/>
                      <w:lang w:val="en-US" w:eastAsia="zh-CN" w:bidi="ar-SA"/>
                    </w:rPr>
                  </w:pPr>
                  <w:r>
                    <w:rPr>
                      <w:color w:val="auto"/>
                      <w:sz w:val="18"/>
                      <w:szCs w:val="18"/>
                    </w:rPr>
                    <w:t>无色透明液体，沸点：117.6℃，熔点：-88.</w:t>
                  </w:r>
                  <w:r>
                    <w:rPr>
                      <w:rFonts w:hint="eastAsia"/>
                      <w:color w:val="auto"/>
                      <w:sz w:val="18"/>
                      <w:szCs w:val="18"/>
                    </w:rPr>
                    <w:t>6</w:t>
                  </w:r>
                  <w:r>
                    <w:rPr>
                      <w:color w:val="auto"/>
                      <w:sz w:val="18"/>
                      <w:szCs w:val="18"/>
                    </w:rPr>
                    <w:t>℃。密度0.8148 g/cm</w:t>
                  </w:r>
                  <w:r>
                    <w:rPr>
                      <w:rFonts w:hint="eastAsia"/>
                      <w:color w:val="auto"/>
                      <w:sz w:val="18"/>
                      <w:szCs w:val="18"/>
                      <w:vertAlign w:val="superscript"/>
                    </w:rPr>
                    <w:t>3</w:t>
                  </w:r>
                  <w:r>
                    <w:rPr>
                      <w:color w:val="auto"/>
                      <w:sz w:val="18"/>
                      <w:szCs w:val="18"/>
                    </w:rPr>
                    <w:t>，闪点：3</w:t>
                  </w:r>
                  <w:r>
                    <w:rPr>
                      <w:rFonts w:hint="eastAsia"/>
                      <w:color w:val="auto"/>
                      <w:sz w:val="18"/>
                      <w:szCs w:val="18"/>
                    </w:rPr>
                    <w:t>7</w:t>
                  </w:r>
                  <w:r>
                    <w:rPr>
                      <w:color w:val="auto"/>
                      <w:sz w:val="18"/>
                      <w:szCs w:val="18"/>
                    </w:rPr>
                    <w:t>℃。易溶于乙醇、乙醚等多数有机溶剂。</w:t>
                  </w:r>
                </w:p>
              </w:tc>
              <w:tc>
                <w:tcPr>
                  <w:tcW w:w="589" w:type="pct"/>
                  <w:shd w:val="clear" w:color="auto" w:fill="auto"/>
                  <w:vAlign w:val="center"/>
                </w:tcPr>
                <w:p w14:paraId="33FCD6E8">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易燃</w:t>
                  </w:r>
                </w:p>
              </w:tc>
              <w:tc>
                <w:tcPr>
                  <w:tcW w:w="803" w:type="pct"/>
                  <w:shd w:val="clear" w:color="auto" w:fill="auto"/>
                  <w:vAlign w:val="center"/>
                </w:tcPr>
                <w:p w14:paraId="31512E93">
                  <w:pPr>
                    <w:widowControl/>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w:t>
                  </w:r>
                  <w:r>
                    <w:rPr>
                      <w:rFonts w:hint="eastAsia"/>
                      <w:color w:val="auto"/>
                      <w:kern w:val="0"/>
                      <w:sz w:val="18"/>
                      <w:szCs w:val="18"/>
                      <w:lang w:bidi="ar"/>
                    </w:rPr>
                    <w:t>79</w:t>
                  </w:r>
                  <w:r>
                    <w:rPr>
                      <w:color w:val="auto"/>
                      <w:kern w:val="0"/>
                      <w:sz w:val="18"/>
                      <w:szCs w:val="18"/>
                      <w:lang w:bidi="ar"/>
                    </w:rPr>
                    <w:t>0mg/kg（大鼠经口）</w:t>
                  </w:r>
                </w:p>
              </w:tc>
            </w:tr>
            <w:tr w14:paraId="110A12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1BE10DF6">
                  <w:pPr>
                    <w:adjustRightInd w:val="0"/>
                    <w:snapToGrid w:val="0"/>
                    <w:jc w:val="center"/>
                    <w:rPr>
                      <w:color w:val="auto"/>
                      <w:sz w:val="18"/>
                      <w:szCs w:val="18"/>
                    </w:rPr>
                  </w:pPr>
                  <w:r>
                    <w:rPr>
                      <w:color w:val="auto"/>
                      <w:sz w:val="18"/>
                      <w:szCs w:val="18"/>
                    </w:rPr>
                    <w:t>76</w:t>
                  </w:r>
                </w:p>
              </w:tc>
              <w:tc>
                <w:tcPr>
                  <w:tcW w:w="706" w:type="pct"/>
                  <w:shd w:val="clear" w:color="auto" w:fill="auto"/>
                  <w:vAlign w:val="center"/>
                </w:tcPr>
                <w:p w14:paraId="23E145CD">
                  <w:pPr>
                    <w:jc w:val="center"/>
                    <w:rPr>
                      <w:rFonts w:ascii="Times New Roman" w:hAnsi="Times New Roman" w:eastAsia="宋体" w:cs="Times New Roman"/>
                      <w:color w:val="auto"/>
                      <w:kern w:val="2"/>
                      <w:sz w:val="18"/>
                      <w:szCs w:val="18"/>
                      <w:lang w:val="en-US" w:eastAsia="zh-CN" w:bidi="ar-SA"/>
                    </w:rPr>
                  </w:pPr>
                  <w:r>
                    <w:rPr>
                      <w:color w:val="auto"/>
                      <w:sz w:val="18"/>
                      <w:szCs w:val="18"/>
                    </w:rPr>
                    <w:t>异丙醇</w:t>
                  </w:r>
                </w:p>
              </w:tc>
              <w:tc>
                <w:tcPr>
                  <w:tcW w:w="2508" w:type="pct"/>
                  <w:shd w:val="clear" w:color="auto" w:fill="auto"/>
                  <w:vAlign w:val="center"/>
                </w:tcPr>
                <w:p w14:paraId="143F7C21">
                  <w:pPr>
                    <w:widowControl/>
                    <w:rPr>
                      <w:rFonts w:ascii="Times New Roman" w:hAnsi="Times New Roman" w:eastAsia="宋体" w:cs="Times New Roman"/>
                      <w:color w:val="auto"/>
                      <w:kern w:val="2"/>
                      <w:sz w:val="18"/>
                      <w:szCs w:val="18"/>
                      <w:lang w:val="en-US" w:eastAsia="zh-CN" w:bidi="ar-SA"/>
                    </w:rPr>
                  </w:pPr>
                  <w:r>
                    <w:rPr>
                      <w:color w:val="auto"/>
                      <w:kern w:val="0"/>
                      <w:sz w:val="18"/>
                      <w:szCs w:val="18"/>
                      <w:lang w:bidi="ar"/>
                    </w:rPr>
                    <w:t>无色透明液体，密度 0.7855g/cm</w:t>
                  </w:r>
                  <w:r>
                    <w:rPr>
                      <w:rFonts w:hint="eastAsia"/>
                      <w:color w:val="auto"/>
                      <w:kern w:val="0"/>
                      <w:sz w:val="18"/>
                      <w:szCs w:val="18"/>
                      <w:vertAlign w:val="superscript"/>
                      <w:lang w:bidi="ar"/>
                    </w:rPr>
                    <w:t>3</w:t>
                  </w:r>
                  <w:r>
                    <w:rPr>
                      <w:color w:val="auto"/>
                      <w:kern w:val="0"/>
                      <w:sz w:val="18"/>
                      <w:szCs w:val="18"/>
                      <w:lang w:bidi="ar"/>
                    </w:rPr>
                    <w:t>，熔点-89.5℃，沸点 82.5℃，闪点 11.7℃，引燃温度 456℃，溶于水、乙醇、乙醚、苯、氯仿等多数有机溶剂。</w:t>
                  </w:r>
                </w:p>
              </w:tc>
              <w:tc>
                <w:tcPr>
                  <w:tcW w:w="589" w:type="pct"/>
                  <w:shd w:val="clear" w:color="auto" w:fill="auto"/>
                  <w:vAlign w:val="center"/>
                </w:tcPr>
                <w:p w14:paraId="6289A95F">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易燃</w:t>
                  </w:r>
                </w:p>
              </w:tc>
              <w:tc>
                <w:tcPr>
                  <w:tcW w:w="803" w:type="pct"/>
                  <w:shd w:val="clear" w:color="auto" w:fill="auto"/>
                  <w:vAlign w:val="center"/>
                </w:tcPr>
                <w:p w14:paraId="4DA17420">
                  <w:pPr>
                    <w:widowControl/>
                    <w:jc w:val="center"/>
                    <w:rPr>
                      <w:color w:val="auto"/>
                      <w:sz w:val="18"/>
                      <w:szCs w:val="18"/>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：5045</w:t>
                  </w:r>
                </w:p>
                <w:p w14:paraId="0F68FC21">
                  <w:pPr>
                    <w:widowControl/>
                    <w:jc w:val="center"/>
                    <w:rPr>
                      <w:color w:val="auto"/>
                      <w:sz w:val="18"/>
                      <w:szCs w:val="18"/>
                    </w:rPr>
                  </w:pPr>
                  <w:r>
                    <w:rPr>
                      <w:color w:val="auto"/>
                      <w:kern w:val="0"/>
                      <w:sz w:val="18"/>
                      <w:szCs w:val="18"/>
                      <w:lang w:bidi="ar"/>
                    </w:rPr>
                    <w:t>mg/kg（大鼠</w:t>
                  </w:r>
                </w:p>
                <w:p w14:paraId="2185C3DD">
                  <w:pPr>
                    <w:widowControl/>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经口）</w:t>
                  </w:r>
                </w:p>
              </w:tc>
            </w:tr>
            <w:tr w14:paraId="6890B5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91" w:type="pct"/>
                  <w:vAlign w:val="center"/>
                </w:tcPr>
                <w:p w14:paraId="4A65D506">
                  <w:pPr>
                    <w:adjustRightInd w:val="0"/>
                    <w:snapToGrid w:val="0"/>
                    <w:jc w:val="center"/>
                    <w:rPr>
                      <w:color w:val="auto"/>
                      <w:sz w:val="18"/>
                      <w:szCs w:val="18"/>
                    </w:rPr>
                  </w:pPr>
                  <w:r>
                    <w:rPr>
                      <w:color w:val="auto"/>
                      <w:sz w:val="18"/>
                      <w:szCs w:val="18"/>
                    </w:rPr>
                    <w:t>77</w:t>
                  </w:r>
                </w:p>
              </w:tc>
              <w:tc>
                <w:tcPr>
                  <w:tcW w:w="706" w:type="pct"/>
                  <w:shd w:val="clear" w:color="auto" w:fill="auto"/>
                  <w:vAlign w:val="center"/>
                </w:tcPr>
                <w:p w14:paraId="3FAA3600">
                  <w:pPr>
                    <w:jc w:val="center"/>
                    <w:rPr>
                      <w:rFonts w:ascii="Times New Roman" w:hAnsi="Times New Roman" w:eastAsia="宋体" w:cs="Times New Roman"/>
                      <w:color w:val="auto"/>
                      <w:kern w:val="2"/>
                      <w:sz w:val="18"/>
                      <w:szCs w:val="18"/>
                      <w:lang w:val="en-US" w:eastAsia="zh-CN" w:bidi="ar-SA"/>
                    </w:rPr>
                  </w:pPr>
                  <w:r>
                    <w:rPr>
                      <w:color w:val="auto"/>
                      <w:sz w:val="18"/>
                      <w:szCs w:val="18"/>
                    </w:rPr>
                    <w:t>异戊二烯</w:t>
                  </w:r>
                </w:p>
              </w:tc>
              <w:tc>
                <w:tcPr>
                  <w:tcW w:w="2508" w:type="pct"/>
                  <w:shd w:val="clear" w:color="auto" w:fill="auto"/>
                  <w:vAlign w:val="top"/>
                </w:tcPr>
                <w:p w14:paraId="7FE66A46">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无色易挥发液体，有刺激性气味，沸点34℃，熔点-146℃，密度0.681 g/cm</w:t>
                  </w:r>
                  <w:r>
                    <w:rPr>
                      <w:rFonts w:hint="eastAsia"/>
                      <w:color w:val="auto"/>
                      <w:sz w:val="18"/>
                      <w:szCs w:val="18"/>
                      <w:vertAlign w:val="superscript"/>
                    </w:rPr>
                    <w:t>3</w:t>
                  </w:r>
                  <w:r>
                    <w:rPr>
                      <w:color w:val="auto"/>
                      <w:sz w:val="18"/>
                      <w:szCs w:val="18"/>
                    </w:rPr>
                    <w:t>，不溶于水，溶于乙醇、乙醚等有机溶剂。</w:t>
                  </w:r>
                </w:p>
              </w:tc>
              <w:tc>
                <w:tcPr>
                  <w:tcW w:w="589" w:type="pct"/>
                  <w:shd w:val="clear" w:color="auto" w:fill="auto"/>
                  <w:vAlign w:val="center"/>
                </w:tcPr>
                <w:p w14:paraId="4587FC2F">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易燃</w:t>
                  </w:r>
                </w:p>
              </w:tc>
              <w:tc>
                <w:tcPr>
                  <w:tcW w:w="803" w:type="pct"/>
                  <w:shd w:val="clear" w:color="auto" w:fill="auto"/>
                  <w:vAlign w:val="top"/>
                </w:tcPr>
                <w:p w14:paraId="0CE2818D">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大鼠吸入LC</w:t>
                  </w:r>
                  <w:r>
                    <w:rPr>
                      <w:color w:val="auto"/>
                      <w:sz w:val="18"/>
                      <w:szCs w:val="18"/>
                      <w:vertAlign w:val="subscript"/>
                    </w:rPr>
                    <w:t>50</w:t>
                  </w:r>
                  <w:r>
                    <w:rPr>
                      <w:color w:val="auto"/>
                      <w:sz w:val="18"/>
                      <w:szCs w:val="18"/>
                    </w:rPr>
                    <w:t>：180g/m</w:t>
                  </w:r>
                  <w:r>
                    <w:rPr>
                      <w:color w:val="auto"/>
                      <w:sz w:val="18"/>
                      <w:szCs w:val="18"/>
                      <w:vertAlign w:val="superscript"/>
                    </w:rPr>
                    <w:t>3</w:t>
                  </w:r>
                  <w:r>
                    <w:rPr>
                      <w:color w:val="auto"/>
                      <w:sz w:val="18"/>
                      <w:szCs w:val="18"/>
                    </w:rPr>
                    <w:t>/2h</w:t>
                  </w:r>
                </w:p>
              </w:tc>
            </w:tr>
            <w:tr w14:paraId="4FF3B2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391" w:type="pct"/>
                  <w:vAlign w:val="center"/>
                </w:tcPr>
                <w:p w14:paraId="12A1CA55">
                  <w:pPr>
                    <w:adjustRightInd w:val="0"/>
                    <w:snapToGrid w:val="0"/>
                    <w:jc w:val="center"/>
                    <w:rPr>
                      <w:color w:val="auto"/>
                      <w:sz w:val="18"/>
                      <w:szCs w:val="18"/>
                    </w:rPr>
                  </w:pPr>
                  <w:r>
                    <w:rPr>
                      <w:color w:val="auto"/>
                      <w:sz w:val="18"/>
                      <w:szCs w:val="18"/>
                    </w:rPr>
                    <w:t>78</w:t>
                  </w:r>
                </w:p>
              </w:tc>
              <w:tc>
                <w:tcPr>
                  <w:tcW w:w="706" w:type="pct"/>
                  <w:shd w:val="clear" w:color="auto" w:fill="auto"/>
                  <w:vAlign w:val="center"/>
                </w:tcPr>
                <w:p w14:paraId="63DBCD2F">
                  <w:pPr>
                    <w:jc w:val="center"/>
                    <w:rPr>
                      <w:rFonts w:ascii="Times New Roman" w:hAnsi="Times New Roman" w:eastAsia="宋体" w:cs="Times New Roman"/>
                      <w:color w:val="auto"/>
                      <w:kern w:val="2"/>
                      <w:sz w:val="18"/>
                      <w:szCs w:val="18"/>
                      <w:lang w:val="en-US" w:eastAsia="zh-CN" w:bidi="ar-SA"/>
                    </w:rPr>
                  </w:pPr>
                  <w:r>
                    <w:rPr>
                      <w:color w:val="auto"/>
                      <w:sz w:val="18"/>
                      <w:szCs w:val="18"/>
                    </w:rPr>
                    <w:t>柠檬酸</w:t>
                  </w:r>
                </w:p>
              </w:tc>
              <w:tc>
                <w:tcPr>
                  <w:tcW w:w="2508" w:type="pct"/>
                  <w:shd w:val="clear" w:color="auto" w:fill="auto"/>
                  <w:vAlign w:val="center"/>
                </w:tcPr>
                <w:p w14:paraId="025B67A8">
                  <w:pPr>
                    <w:adjustRightInd w:val="0"/>
                    <w:snapToGrid w:val="0"/>
                    <w:rPr>
                      <w:rFonts w:ascii="Times New Roman" w:hAnsi="Times New Roman" w:eastAsia="宋体" w:cs="Times New Roman"/>
                      <w:color w:val="auto"/>
                      <w:kern w:val="2"/>
                      <w:sz w:val="18"/>
                      <w:szCs w:val="18"/>
                      <w:lang w:val="en-US" w:eastAsia="zh-CN" w:bidi="ar-SA"/>
                    </w:rPr>
                  </w:pPr>
                  <w:r>
                    <w:rPr>
                      <w:color w:val="auto"/>
                      <w:sz w:val="18"/>
                      <w:szCs w:val="18"/>
                    </w:rPr>
                    <w:t>无色晶体或白色结晶粉末，溶于水、乙醇、乙醚，不溶于苯，微溶于氯仿。熔点153-159℃，沸点</w:t>
                  </w:r>
                  <w:r>
                    <w:rPr>
                      <w:rFonts w:hint="eastAsia"/>
                      <w:color w:val="auto"/>
                      <w:sz w:val="18"/>
                      <w:szCs w:val="18"/>
                    </w:rPr>
                    <w:t>175</w:t>
                  </w:r>
                  <w:r>
                    <w:rPr>
                      <w:color w:val="auto"/>
                      <w:sz w:val="18"/>
                      <w:szCs w:val="18"/>
                    </w:rPr>
                    <w:t>℃（分解），密度1.</w:t>
                  </w:r>
                  <w:r>
                    <w:rPr>
                      <w:rFonts w:hint="eastAsia"/>
                      <w:color w:val="auto"/>
                      <w:sz w:val="18"/>
                      <w:szCs w:val="18"/>
                    </w:rPr>
                    <w:t>542</w:t>
                  </w:r>
                  <w:r>
                    <w:rPr>
                      <w:color w:val="auto"/>
                      <w:sz w:val="18"/>
                      <w:szCs w:val="18"/>
                    </w:rPr>
                    <w:t xml:space="preserve"> g/cm</w:t>
                  </w:r>
                  <w:r>
                    <w:rPr>
                      <w:rFonts w:hint="eastAsia"/>
                      <w:color w:val="auto"/>
                      <w:sz w:val="18"/>
                      <w:szCs w:val="18"/>
                      <w:vertAlign w:val="superscript"/>
                    </w:rPr>
                    <w:t>3</w:t>
                  </w:r>
                  <w:r>
                    <w:rPr>
                      <w:color w:val="auto"/>
                      <w:sz w:val="18"/>
                      <w:szCs w:val="18"/>
                    </w:rPr>
                    <w:t>。</w:t>
                  </w:r>
                </w:p>
              </w:tc>
              <w:tc>
                <w:tcPr>
                  <w:tcW w:w="589" w:type="pct"/>
                  <w:shd w:val="clear" w:color="auto" w:fill="auto"/>
                  <w:vAlign w:val="center"/>
                </w:tcPr>
                <w:p w14:paraId="07A45ADF">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可燃</w:t>
                  </w:r>
                </w:p>
              </w:tc>
              <w:tc>
                <w:tcPr>
                  <w:tcW w:w="803" w:type="pct"/>
                  <w:shd w:val="clear" w:color="auto" w:fill="auto"/>
                  <w:vAlign w:val="center"/>
                </w:tcPr>
                <w:p w14:paraId="473ED164">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r>
            <w:tr w14:paraId="423705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391" w:type="pct"/>
                  <w:vAlign w:val="center"/>
                </w:tcPr>
                <w:p w14:paraId="53149AFE">
                  <w:pPr>
                    <w:adjustRightInd w:val="0"/>
                    <w:snapToGrid w:val="0"/>
                    <w:jc w:val="center"/>
                    <w:rPr>
                      <w:color w:val="auto"/>
                      <w:sz w:val="18"/>
                      <w:szCs w:val="18"/>
                    </w:rPr>
                  </w:pPr>
                  <w:r>
                    <w:rPr>
                      <w:color w:val="auto"/>
                      <w:sz w:val="18"/>
                      <w:szCs w:val="18"/>
                    </w:rPr>
                    <w:t>79</w:t>
                  </w:r>
                </w:p>
              </w:tc>
              <w:tc>
                <w:tcPr>
                  <w:tcW w:w="706" w:type="pct"/>
                  <w:shd w:val="clear" w:color="auto" w:fill="auto"/>
                  <w:vAlign w:val="center"/>
                </w:tcPr>
                <w:p w14:paraId="588AD3B8">
                  <w:pPr>
                    <w:jc w:val="center"/>
                    <w:rPr>
                      <w:rFonts w:ascii="Times New Roman" w:hAnsi="Times New Roman" w:eastAsia="宋体" w:cs="Times New Roman"/>
                      <w:color w:val="auto"/>
                      <w:kern w:val="2"/>
                      <w:sz w:val="18"/>
                      <w:szCs w:val="18"/>
                      <w:lang w:val="en-US" w:eastAsia="zh-CN" w:bidi="ar-SA"/>
                    </w:rPr>
                  </w:pPr>
                  <w:r>
                    <w:rPr>
                      <w:color w:val="auto"/>
                      <w:sz w:val="18"/>
                      <w:szCs w:val="18"/>
                    </w:rPr>
                    <w:t>丙三醇</w:t>
                  </w:r>
                </w:p>
              </w:tc>
              <w:tc>
                <w:tcPr>
                  <w:tcW w:w="2508" w:type="pct"/>
                  <w:shd w:val="clear" w:color="auto" w:fill="auto"/>
                  <w:vAlign w:val="top"/>
                </w:tcPr>
                <w:p w14:paraId="60E924B1">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无色、透明、无臭、粘稠液体，味甜，具有吸湿性。与水和醇类、胺类、酚类以任何比例混溶</w:t>
                  </w:r>
                  <w:r>
                    <w:rPr>
                      <w:rFonts w:hint="eastAsia"/>
                      <w:color w:val="auto"/>
                      <w:sz w:val="18"/>
                      <w:szCs w:val="18"/>
                    </w:rPr>
                    <w:t>。</w:t>
                  </w:r>
                  <w:r>
                    <w:rPr>
                      <w:color w:val="auto"/>
                      <w:sz w:val="18"/>
                      <w:szCs w:val="18"/>
                    </w:rPr>
                    <w:t>熔点17.4℃，沸点290℃，密度1.26 g/cm</w:t>
                  </w:r>
                  <w:r>
                    <w:rPr>
                      <w:rFonts w:hint="eastAsia"/>
                      <w:color w:val="auto"/>
                      <w:sz w:val="18"/>
                      <w:szCs w:val="18"/>
                      <w:vertAlign w:val="superscript"/>
                    </w:rPr>
                    <w:t>3</w:t>
                  </w:r>
                  <w:r>
                    <w:rPr>
                      <w:color w:val="auto"/>
                      <w:sz w:val="18"/>
                      <w:szCs w:val="18"/>
                    </w:rPr>
                    <w:t>。</w:t>
                  </w:r>
                </w:p>
              </w:tc>
              <w:tc>
                <w:tcPr>
                  <w:tcW w:w="589" w:type="pct"/>
                  <w:shd w:val="clear" w:color="auto" w:fill="auto"/>
                  <w:vAlign w:val="center"/>
                </w:tcPr>
                <w:p w14:paraId="6B3174E3">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可燃</w:t>
                  </w:r>
                </w:p>
              </w:tc>
              <w:tc>
                <w:tcPr>
                  <w:tcW w:w="803" w:type="pct"/>
                  <w:shd w:val="clear" w:color="auto" w:fill="auto"/>
                  <w:vAlign w:val="center"/>
                </w:tcPr>
                <w:p w14:paraId="1B87C255">
                  <w:pPr>
                    <w:widowControl/>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w:t>
                  </w:r>
                  <w:r>
                    <w:rPr>
                      <w:rFonts w:hint="eastAsia"/>
                      <w:color w:val="auto"/>
                      <w:kern w:val="0"/>
                      <w:sz w:val="18"/>
                      <w:szCs w:val="18"/>
                      <w:lang w:bidi="ar"/>
                    </w:rPr>
                    <w:t>260</w:t>
                  </w:r>
                  <w:r>
                    <w:rPr>
                      <w:color w:val="auto"/>
                      <w:kern w:val="0"/>
                      <w:sz w:val="18"/>
                      <w:szCs w:val="18"/>
                      <w:lang w:bidi="ar"/>
                    </w:rPr>
                    <w:t>00mg/kg（大鼠经口）</w:t>
                  </w:r>
                </w:p>
              </w:tc>
            </w:tr>
            <w:tr w14:paraId="7E8B93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91" w:type="pct"/>
                  <w:vAlign w:val="center"/>
                </w:tcPr>
                <w:p w14:paraId="53E58765">
                  <w:pPr>
                    <w:adjustRightInd w:val="0"/>
                    <w:snapToGrid w:val="0"/>
                    <w:jc w:val="center"/>
                    <w:rPr>
                      <w:color w:val="auto"/>
                      <w:sz w:val="18"/>
                      <w:szCs w:val="18"/>
                    </w:rPr>
                  </w:pPr>
                  <w:r>
                    <w:rPr>
                      <w:color w:val="auto"/>
                      <w:sz w:val="18"/>
                      <w:szCs w:val="18"/>
                    </w:rPr>
                    <w:t>80</w:t>
                  </w:r>
                </w:p>
              </w:tc>
              <w:tc>
                <w:tcPr>
                  <w:tcW w:w="706" w:type="pct"/>
                  <w:shd w:val="clear" w:color="auto" w:fill="auto"/>
                  <w:vAlign w:val="center"/>
                </w:tcPr>
                <w:p w14:paraId="2788214F">
                  <w:pPr>
                    <w:jc w:val="center"/>
                    <w:rPr>
                      <w:rFonts w:ascii="Times New Roman" w:hAnsi="Times New Roman" w:eastAsia="宋体" w:cs="Times New Roman"/>
                      <w:color w:val="auto"/>
                      <w:kern w:val="2"/>
                      <w:sz w:val="18"/>
                      <w:szCs w:val="18"/>
                      <w:lang w:val="en-US" w:eastAsia="zh-CN" w:bidi="ar-SA"/>
                    </w:rPr>
                  </w:pPr>
                  <w:r>
                    <w:rPr>
                      <w:color w:val="auto"/>
                      <w:sz w:val="18"/>
                      <w:szCs w:val="18"/>
                    </w:rPr>
                    <w:t>苯乙酮</w:t>
                  </w:r>
                </w:p>
              </w:tc>
              <w:tc>
                <w:tcPr>
                  <w:tcW w:w="2508" w:type="pct"/>
                  <w:shd w:val="clear" w:color="auto" w:fill="auto"/>
                  <w:vAlign w:val="top"/>
                </w:tcPr>
                <w:p w14:paraId="2C729197">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无色或淡黄色油状液体，熔点19.6℃，沸点202℃，密度1.03 g/cm</w:t>
                  </w:r>
                  <w:r>
                    <w:rPr>
                      <w:rFonts w:hint="eastAsia"/>
                      <w:color w:val="auto"/>
                      <w:sz w:val="18"/>
                      <w:szCs w:val="18"/>
                      <w:vertAlign w:val="superscript"/>
                    </w:rPr>
                    <w:t>3</w:t>
                  </w:r>
                  <w:r>
                    <w:rPr>
                      <w:color w:val="auto"/>
                      <w:sz w:val="18"/>
                      <w:szCs w:val="18"/>
                    </w:rPr>
                    <w:t>，闪点82.2℃。不溶于水，易溶于多数有机溶剂</w:t>
                  </w:r>
                  <w:r>
                    <w:rPr>
                      <w:rFonts w:hint="eastAsia"/>
                      <w:color w:val="auto"/>
                      <w:sz w:val="18"/>
                      <w:szCs w:val="18"/>
                    </w:rPr>
                    <w:t>。</w:t>
                  </w:r>
                </w:p>
              </w:tc>
              <w:tc>
                <w:tcPr>
                  <w:tcW w:w="589" w:type="pct"/>
                  <w:shd w:val="clear" w:color="auto" w:fill="auto"/>
                  <w:vAlign w:val="center"/>
                </w:tcPr>
                <w:p w14:paraId="4248290B">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易燃</w:t>
                  </w:r>
                </w:p>
              </w:tc>
              <w:tc>
                <w:tcPr>
                  <w:tcW w:w="803" w:type="pct"/>
                  <w:shd w:val="clear" w:color="auto" w:fill="auto"/>
                  <w:vAlign w:val="top"/>
                </w:tcPr>
                <w:p w14:paraId="655B6702">
                  <w:pPr>
                    <w:adjustRightInd w:val="0"/>
                    <w:snapToGrid w:val="0"/>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w:t>
                  </w:r>
                  <w:r>
                    <w:rPr>
                      <w:rFonts w:hint="eastAsia"/>
                      <w:color w:val="auto"/>
                      <w:kern w:val="0"/>
                      <w:sz w:val="18"/>
                      <w:szCs w:val="18"/>
                      <w:lang w:bidi="ar"/>
                    </w:rPr>
                    <w:t>30</w:t>
                  </w:r>
                  <w:r>
                    <w:rPr>
                      <w:color w:val="auto"/>
                      <w:kern w:val="0"/>
                      <w:sz w:val="18"/>
                      <w:szCs w:val="18"/>
                      <w:lang w:bidi="ar"/>
                    </w:rPr>
                    <w:t>00mg/kg（大鼠经口</w:t>
                  </w:r>
                  <w:r>
                    <w:rPr>
                      <w:rFonts w:hint="eastAsia"/>
                      <w:color w:val="auto"/>
                      <w:kern w:val="0"/>
                      <w:sz w:val="18"/>
                      <w:szCs w:val="18"/>
                      <w:lang w:bidi="ar"/>
                    </w:rPr>
                    <w:t>）</w:t>
                  </w:r>
                </w:p>
              </w:tc>
            </w:tr>
            <w:tr w14:paraId="1D98A2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391" w:type="pct"/>
                  <w:vAlign w:val="center"/>
                </w:tcPr>
                <w:p w14:paraId="4BACB5BA">
                  <w:pPr>
                    <w:adjustRightInd w:val="0"/>
                    <w:snapToGrid w:val="0"/>
                    <w:jc w:val="center"/>
                    <w:rPr>
                      <w:color w:val="auto"/>
                      <w:sz w:val="18"/>
                      <w:szCs w:val="18"/>
                    </w:rPr>
                  </w:pPr>
                  <w:r>
                    <w:rPr>
                      <w:color w:val="auto"/>
                      <w:sz w:val="18"/>
                      <w:szCs w:val="18"/>
                    </w:rPr>
                    <w:t>81</w:t>
                  </w:r>
                </w:p>
              </w:tc>
              <w:tc>
                <w:tcPr>
                  <w:tcW w:w="706" w:type="pct"/>
                  <w:shd w:val="clear" w:color="auto" w:fill="auto"/>
                  <w:vAlign w:val="center"/>
                </w:tcPr>
                <w:p w14:paraId="3BC479CF">
                  <w:pPr>
                    <w:jc w:val="center"/>
                    <w:rPr>
                      <w:rFonts w:ascii="Times New Roman" w:hAnsi="Times New Roman" w:eastAsia="宋体" w:cs="Times New Roman"/>
                      <w:color w:val="auto"/>
                      <w:kern w:val="2"/>
                      <w:sz w:val="18"/>
                      <w:szCs w:val="18"/>
                      <w:lang w:val="en-US" w:eastAsia="zh-CN" w:bidi="ar-SA"/>
                    </w:rPr>
                  </w:pPr>
                  <w:r>
                    <w:rPr>
                      <w:color w:val="auto"/>
                      <w:sz w:val="18"/>
                      <w:szCs w:val="18"/>
                    </w:rPr>
                    <w:t>二苯胺</w:t>
                  </w:r>
                </w:p>
              </w:tc>
              <w:tc>
                <w:tcPr>
                  <w:tcW w:w="2508" w:type="pct"/>
                  <w:shd w:val="clear" w:color="auto" w:fill="auto"/>
                  <w:vAlign w:val="top"/>
                </w:tcPr>
                <w:p w14:paraId="7B81E0D9">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白色单斜叶状结晶，遇光变灰色或黄色，有芳香味。熔点52℃，沸点302℃，密度1.16 g/cm</w:t>
                  </w:r>
                  <w:r>
                    <w:rPr>
                      <w:rFonts w:hint="eastAsia"/>
                      <w:color w:val="auto"/>
                      <w:sz w:val="18"/>
                      <w:szCs w:val="18"/>
                      <w:vertAlign w:val="superscript"/>
                    </w:rPr>
                    <w:t>3</w:t>
                  </w:r>
                  <w:r>
                    <w:rPr>
                      <w:color w:val="auto"/>
                      <w:sz w:val="18"/>
                      <w:szCs w:val="18"/>
                    </w:rPr>
                    <w:t>，闪点153℃。稍溶于水，易溶于乙醇、乙醚、苯、二硫化碳</w:t>
                  </w:r>
                  <w:r>
                    <w:rPr>
                      <w:rFonts w:hint="eastAsia"/>
                      <w:color w:val="auto"/>
                      <w:sz w:val="18"/>
                      <w:szCs w:val="18"/>
                    </w:rPr>
                    <w:t>。</w:t>
                  </w:r>
                </w:p>
              </w:tc>
              <w:tc>
                <w:tcPr>
                  <w:tcW w:w="589" w:type="pct"/>
                  <w:shd w:val="clear" w:color="auto" w:fill="auto"/>
                  <w:vAlign w:val="center"/>
                </w:tcPr>
                <w:p w14:paraId="409BDF31">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可燃</w:t>
                  </w:r>
                </w:p>
              </w:tc>
              <w:tc>
                <w:tcPr>
                  <w:tcW w:w="803" w:type="pct"/>
                  <w:shd w:val="clear" w:color="auto" w:fill="auto"/>
                  <w:vAlign w:val="center"/>
                </w:tcPr>
                <w:p w14:paraId="36CE261B">
                  <w:pPr>
                    <w:adjustRightInd w:val="0"/>
                    <w:snapToGrid w:val="0"/>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w:t>
                  </w:r>
                  <w:r>
                    <w:rPr>
                      <w:rFonts w:hint="eastAsia"/>
                      <w:color w:val="auto"/>
                      <w:kern w:val="0"/>
                      <w:sz w:val="18"/>
                      <w:szCs w:val="18"/>
                      <w:lang w:bidi="ar"/>
                    </w:rPr>
                    <w:t>1120</w:t>
                  </w:r>
                  <w:r>
                    <w:rPr>
                      <w:color w:val="auto"/>
                      <w:kern w:val="0"/>
                      <w:sz w:val="18"/>
                      <w:szCs w:val="18"/>
                      <w:lang w:bidi="ar"/>
                    </w:rPr>
                    <w:t>mg/kg（大鼠经口</w:t>
                  </w:r>
                  <w:r>
                    <w:rPr>
                      <w:rFonts w:hint="eastAsia"/>
                      <w:color w:val="auto"/>
                      <w:kern w:val="0"/>
                      <w:sz w:val="18"/>
                      <w:szCs w:val="18"/>
                      <w:lang w:bidi="ar"/>
                    </w:rPr>
                    <w:t>）</w:t>
                  </w:r>
                </w:p>
              </w:tc>
            </w:tr>
            <w:tr w14:paraId="2F380F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391" w:type="pct"/>
                  <w:vAlign w:val="center"/>
                </w:tcPr>
                <w:p w14:paraId="0398B6DB">
                  <w:pPr>
                    <w:adjustRightInd w:val="0"/>
                    <w:snapToGrid w:val="0"/>
                    <w:jc w:val="center"/>
                    <w:rPr>
                      <w:color w:val="auto"/>
                      <w:sz w:val="18"/>
                      <w:szCs w:val="18"/>
                    </w:rPr>
                  </w:pPr>
                  <w:r>
                    <w:rPr>
                      <w:color w:val="auto"/>
                      <w:sz w:val="18"/>
                      <w:szCs w:val="18"/>
                    </w:rPr>
                    <w:t>82</w:t>
                  </w:r>
                </w:p>
              </w:tc>
              <w:tc>
                <w:tcPr>
                  <w:tcW w:w="706" w:type="pct"/>
                  <w:shd w:val="clear" w:color="auto" w:fill="auto"/>
                  <w:vAlign w:val="center"/>
                </w:tcPr>
                <w:p w14:paraId="14AB9B78">
                  <w:pPr>
                    <w:jc w:val="center"/>
                    <w:rPr>
                      <w:rFonts w:ascii="Times New Roman" w:hAnsi="Times New Roman" w:eastAsia="宋体" w:cs="Times New Roman"/>
                      <w:color w:val="auto"/>
                      <w:kern w:val="2"/>
                      <w:sz w:val="18"/>
                      <w:szCs w:val="18"/>
                      <w:lang w:val="en-US" w:eastAsia="zh-CN" w:bidi="ar-SA"/>
                    </w:rPr>
                  </w:pPr>
                  <w:r>
                    <w:rPr>
                      <w:color w:val="auto"/>
                      <w:sz w:val="18"/>
                      <w:szCs w:val="18"/>
                    </w:rPr>
                    <w:t>二苯胺磺酸钠</w:t>
                  </w:r>
                </w:p>
              </w:tc>
              <w:tc>
                <w:tcPr>
                  <w:tcW w:w="2508" w:type="pct"/>
                  <w:shd w:val="clear" w:color="auto" w:fill="auto"/>
                  <w:vAlign w:val="top"/>
                </w:tcPr>
                <w:p w14:paraId="16780F02">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白色至无色结晶性粉末，易吸湿，暴露空气中易变色（光照加速氧化）。熔点＞300℃，易溶于水，溶于热醇。</w:t>
                  </w:r>
                </w:p>
              </w:tc>
              <w:tc>
                <w:tcPr>
                  <w:tcW w:w="589" w:type="pct"/>
                  <w:shd w:val="clear" w:color="auto" w:fill="auto"/>
                  <w:vAlign w:val="center"/>
                </w:tcPr>
                <w:p w14:paraId="16E46CFC">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5435CE4C">
                  <w:pPr>
                    <w:adjustRightInd w:val="0"/>
                    <w:snapToGrid w:val="0"/>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w:t>
                  </w:r>
                </w:p>
              </w:tc>
            </w:tr>
            <w:tr w14:paraId="762700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14C21ACA">
                  <w:pPr>
                    <w:adjustRightInd w:val="0"/>
                    <w:snapToGrid w:val="0"/>
                    <w:jc w:val="center"/>
                    <w:rPr>
                      <w:color w:val="auto"/>
                      <w:sz w:val="18"/>
                      <w:szCs w:val="18"/>
                    </w:rPr>
                  </w:pPr>
                  <w:r>
                    <w:rPr>
                      <w:color w:val="auto"/>
                      <w:sz w:val="18"/>
                      <w:szCs w:val="18"/>
                    </w:rPr>
                    <w:t>83</w:t>
                  </w:r>
                </w:p>
              </w:tc>
              <w:tc>
                <w:tcPr>
                  <w:tcW w:w="706" w:type="pct"/>
                  <w:shd w:val="clear" w:color="auto" w:fill="auto"/>
                  <w:vAlign w:val="center"/>
                </w:tcPr>
                <w:p w14:paraId="758A7485">
                  <w:pPr>
                    <w:jc w:val="center"/>
                    <w:rPr>
                      <w:rFonts w:ascii="Times New Roman" w:hAnsi="Times New Roman" w:eastAsia="宋体" w:cs="Times New Roman"/>
                      <w:color w:val="auto"/>
                      <w:kern w:val="2"/>
                      <w:sz w:val="18"/>
                      <w:szCs w:val="18"/>
                      <w:lang w:val="en-US" w:eastAsia="zh-CN" w:bidi="ar-SA"/>
                    </w:rPr>
                  </w:pPr>
                  <w:r>
                    <w:rPr>
                      <w:color w:val="auto"/>
                      <w:sz w:val="18"/>
                      <w:szCs w:val="18"/>
                    </w:rPr>
                    <w:t>三氟乙酸</w:t>
                  </w:r>
                </w:p>
              </w:tc>
              <w:tc>
                <w:tcPr>
                  <w:tcW w:w="2508" w:type="pct"/>
                  <w:shd w:val="clear" w:color="auto" w:fill="auto"/>
                  <w:vAlign w:val="center"/>
                </w:tcPr>
                <w:p w14:paraId="5BA51AE9">
                  <w:pPr>
                    <w:widowControl/>
                    <w:rPr>
                      <w:rFonts w:ascii="Times New Roman" w:hAnsi="Times New Roman" w:eastAsia="宋体" w:cs="Times New Roman"/>
                      <w:color w:val="auto"/>
                      <w:kern w:val="0"/>
                      <w:sz w:val="18"/>
                      <w:szCs w:val="18"/>
                      <w:lang w:val="en-US" w:eastAsia="zh-CN" w:bidi="ar"/>
                    </w:rPr>
                  </w:pPr>
                  <w:r>
                    <w:rPr>
                      <w:color w:val="auto"/>
                      <w:kern w:val="0"/>
                      <w:sz w:val="18"/>
                      <w:szCs w:val="18"/>
                      <w:lang w:bidi="ar"/>
                    </w:rPr>
                    <w:t>无色透明液体，易溶于水、乙醇、乙醚、丙酮、苯，熔点-15℃，沸点72.4℃，密度 1.535g/cm³。</w:t>
                  </w:r>
                </w:p>
              </w:tc>
              <w:tc>
                <w:tcPr>
                  <w:tcW w:w="589" w:type="pct"/>
                  <w:shd w:val="clear" w:color="auto" w:fill="auto"/>
                  <w:vAlign w:val="center"/>
                </w:tcPr>
                <w:p w14:paraId="68063B94">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547FE1BC">
                  <w:pPr>
                    <w:widowControl/>
                    <w:jc w:val="center"/>
                    <w:rPr>
                      <w:color w:val="auto"/>
                      <w:sz w:val="18"/>
                      <w:szCs w:val="18"/>
                    </w:rPr>
                  </w:pPr>
                  <w:r>
                    <w:rPr>
                      <w:color w:val="auto"/>
                      <w:kern w:val="0"/>
                      <w:sz w:val="18"/>
                      <w:szCs w:val="18"/>
                      <w:lang w:bidi="ar"/>
                    </w:rPr>
                    <w:t>大鼠经口 LD</w:t>
                  </w:r>
                  <w:r>
                    <w:rPr>
                      <w:color w:val="auto"/>
                      <w:kern w:val="0"/>
                      <w:sz w:val="18"/>
                      <w:szCs w:val="18"/>
                      <w:vertAlign w:val="subscript"/>
                      <w:lang w:bidi="ar"/>
                    </w:rPr>
                    <w:t>50</w:t>
                  </w:r>
                  <w:r>
                    <w:rPr>
                      <w:color w:val="auto"/>
                      <w:kern w:val="0"/>
                      <w:sz w:val="18"/>
                      <w:szCs w:val="18"/>
                      <w:lang w:bidi="ar"/>
                    </w:rPr>
                    <w:t>：</w:t>
                  </w:r>
                </w:p>
                <w:p w14:paraId="44574937">
                  <w:pPr>
                    <w:widowControl/>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500mg/kg</w:t>
                  </w:r>
                </w:p>
              </w:tc>
            </w:tr>
            <w:tr w14:paraId="624466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515679CF">
                  <w:pPr>
                    <w:adjustRightInd w:val="0"/>
                    <w:snapToGrid w:val="0"/>
                    <w:jc w:val="center"/>
                    <w:rPr>
                      <w:color w:val="auto"/>
                      <w:sz w:val="18"/>
                      <w:szCs w:val="18"/>
                    </w:rPr>
                  </w:pPr>
                  <w:r>
                    <w:rPr>
                      <w:color w:val="auto"/>
                      <w:sz w:val="18"/>
                      <w:szCs w:val="18"/>
                    </w:rPr>
                    <w:t>84</w:t>
                  </w:r>
                </w:p>
              </w:tc>
              <w:tc>
                <w:tcPr>
                  <w:tcW w:w="706" w:type="pct"/>
                  <w:shd w:val="clear" w:color="auto" w:fill="auto"/>
                  <w:vAlign w:val="center"/>
                </w:tcPr>
                <w:p w14:paraId="7D8BE305">
                  <w:pPr>
                    <w:jc w:val="center"/>
                    <w:rPr>
                      <w:rFonts w:ascii="Times New Roman" w:hAnsi="Times New Roman" w:eastAsia="宋体" w:cs="Times New Roman"/>
                      <w:color w:val="auto"/>
                      <w:kern w:val="2"/>
                      <w:sz w:val="18"/>
                      <w:szCs w:val="18"/>
                      <w:lang w:val="en-US" w:eastAsia="zh-CN" w:bidi="ar-SA"/>
                    </w:rPr>
                  </w:pPr>
                  <w:r>
                    <w:rPr>
                      <w:color w:val="auto"/>
                      <w:sz w:val="18"/>
                      <w:szCs w:val="18"/>
                    </w:rPr>
                    <w:t>三乙胺</w:t>
                  </w:r>
                </w:p>
              </w:tc>
              <w:tc>
                <w:tcPr>
                  <w:tcW w:w="2508" w:type="pct"/>
                  <w:shd w:val="clear" w:color="auto" w:fill="auto"/>
                  <w:vAlign w:val="top"/>
                </w:tcPr>
                <w:p w14:paraId="7A913B70">
                  <w:pPr>
                    <w:widowControl/>
                    <w:jc w:val="left"/>
                    <w:rPr>
                      <w:rFonts w:ascii="Times New Roman" w:hAnsi="Times New Roman" w:eastAsia="宋体" w:cs="Times New Roman"/>
                      <w:color w:val="auto"/>
                      <w:kern w:val="2"/>
                      <w:sz w:val="18"/>
                      <w:szCs w:val="18"/>
                      <w:lang w:val="en-US" w:eastAsia="zh-CN" w:bidi="ar-SA"/>
                    </w:rPr>
                  </w:pPr>
                  <w:r>
                    <w:rPr>
                      <w:color w:val="auto"/>
                      <w:kern w:val="0"/>
                      <w:sz w:val="18"/>
                      <w:szCs w:val="18"/>
                      <w:lang w:bidi="ar"/>
                    </w:rPr>
                    <w:t>无色油状液体，微溶于水，水溶液呈碱性。溶于乙醇、乙醚、丙酮等多数有机溶剂；熔点-115℃，沸点 90℃，密度0.728g/cm</w:t>
                  </w:r>
                  <w:r>
                    <w:rPr>
                      <w:rFonts w:hint="eastAsia"/>
                      <w:color w:val="auto"/>
                      <w:kern w:val="0"/>
                      <w:sz w:val="18"/>
                      <w:szCs w:val="18"/>
                      <w:vertAlign w:val="superscript"/>
                      <w:lang w:bidi="ar"/>
                    </w:rPr>
                    <w:t>3</w:t>
                  </w:r>
                  <w:r>
                    <w:rPr>
                      <w:color w:val="auto"/>
                      <w:kern w:val="0"/>
                      <w:sz w:val="18"/>
                      <w:szCs w:val="18"/>
                      <w:lang w:bidi="ar"/>
                    </w:rPr>
                    <w:t>。</w:t>
                  </w:r>
                </w:p>
              </w:tc>
              <w:tc>
                <w:tcPr>
                  <w:tcW w:w="589" w:type="pct"/>
                  <w:shd w:val="clear" w:color="auto" w:fill="auto"/>
                  <w:vAlign w:val="center"/>
                </w:tcPr>
                <w:p w14:paraId="30A22502">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易燃</w:t>
                  </w:r>
                </w:p>
              </w:tc>
              <w:tc>
                <w:tcPr>
                  <w:tcW w:w="803" w:type="pct"/>
                  <w:shd w:val="clear" w:color="auto" w:fill="auto"/>
                  <w:vAlign w:val="center"/>
                </w:tcPr>
                <w:p w14:paraId="02DF8CBE">
                  <w:pPr>
                    <w:widowControl/>
                    <w:jc w:val="center"/>
                    <w:rPr>
                      <w:color w:val="auto"/>
                      <w:sz w:val="18"/>
                      <w:szCs w:val="18"/>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w:t>
                  </w:r>
                </w:p>
                <w:p w14:paraId="437D5138">
                  <w:pPr>
                    <w:widowControl/>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460mg/kg（大鼠经口）</w:t>
                  </w:r>
                </w:p>
              </w:tc>
            </w:tr>
            <w:tr w14:paraId="3D19C2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7515E9D8">
                  <w:pPr>
                    <w:adjustRightInd w:val="0"/>
                    <w:snapToGrid w:val="0"/>
                    <w:jc w:val="center"/>
                    <w:rPr>
                      <w:color w:val="auto"/>
                      <w:sz w:val="18"/>
                      <w:szCs w:val="18"/>
                    </w:rPr>
                  </w:pPr>
                  <w:r>
                    <w:rPr>
                      <w:color w:val="auto"/>
                      <w:sz w:val="18"/>
                      <w:szCs w:val="18"/>
                    </w:rPr>
                    <w:t>85</w:t>
                  </w:r>
                </w:p>
              </w:tc>
              <w:tc>
                <w:tcPr>
                  <w:tcW w:w="706" w:type="pct"/>
                  <w:shd w:val="clear" w:color="auto" w:fill="auto"/>
                  <w:vAlign w:val="center"/>
                </w:tcPr>
                <w:p w14:paraId="64B8FB0D">
                  <w:pPr>
                    <w:jc w:val="center"/>
                    <w:rPr>
                      <w:rFonts w:ascii="Times New Roman" w:hAnsi="Times New Roman" w:eastAsia="宋体" w:cs="Times New Roman"/>
                      <w:color w:val="auto"/>
                      <w:kern w:val="2"/>
                      <w:sz w:val="18"/>
                      <w:szCs w:val="18"/>
                      <w:lang w:val="en-US" w:eastAsia="zh-CN" w:bidi="ar-SA"/>
                    </w:rPr>
                  </w:pPr>
                  <w:r>
                    <w:rPr>
                      <w:color w:val="auto"/>
                      <w:sz w:val="18"/>
                      <w:szCs w:val="18"/>
                    </w:rPr>
                    <w:t>乙腈</w:t>
                  </w:r>
                </w:p>
              </w:tc>
              <w:tc>
                <w:tcPr>
                  <w:tcW w:w="2508" w:type="pct"/>
                  <w:shd w:val="clear" w:color="auto" w:fill="auto"/>
                  <w:vAlign w:val="top"/>
                </w:tcPr>
                <w:p w14:paraId="27841E08">
                  <w:pPr>
                    <w:widowControl/>
                    <w:jc w:val="left"/>
                    <w:rPr>
                      <w:rFonts w:ascii="Times New Roman" w:hAnsi="Times New Roman" w:eastAsia="宋体" w:cs="Times New Roman"/>
                      <w:color w:val="auto"/>
                      <w:kern w:val="2"/>
                      <w:sz w:val="18"/>
                      <w:szCs w:val="18"/>
                      <w:lang w:val="en-US" w:eastAsia="zh-CN" w:bidi="ar-SA"/>
                    </w:rPr>
                  </w:pPr>
                  <w:r>
                    <w:rPr>
                      <w:color w:val="auto"/>
                      <w:kern w:val="0"/>
                      <w:sz w:val="18"/>
                      <w:szCs w:val="18"/>
                      <w:lang w:bidi="ar"/>
                    </w:rPr>
                    <w:t>无色透明液体，具有独特的刺激性气味。有优良的溶剂性能，能溶解多种有机、无机和气体物质，与水和醇无限互溶，熔点-45℃，沸点 81-82℃，密度0.786g/cm</w:t>
                  </w:r>
                  <w:r>
                    <w:rPr>
                      <w:color w:val="auto"/>
                      <w:kern w:val="0"/>
                      <w:sz w:val="18"/>
                      <w:szCs w:val="18"/>
                      <w:vertAlign w:val="superscript"/>
                      <w:lang w:bidi="ar"/>
                    </w:rPr>
                    <w:t>3</w:t>
                  </w:r>
                  <w:r>
                    <w:rPr>
                      <w:color w:val="auto"/>
                      <w:kern w:val="0"/>
                      <w:sz w:val="18"/>
                      <w:szCs w:val="18"/>
                      <w:lang w:bidi="ar"/>
                    </w:rPr>
                    <w:t>。</w:t>
                  </w:r>
                </w:p>
              </w:tc>
              <w:tc>
                <w:tcPr>
                  <w:tcW w:w="589" w:type="pct"/>
                  <w:shd w:val="clear" w:color="auto" w:fill="auto"/>
                  <w:vAlign w:val="center"/>
                </w:tcPr>
                <w:p w14:paraId="1280D97F">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7143ED54">
                  <w:pPr>
                    <w:widowControl/>
                    <w:jc w:val="center"/>
                    <w:rPr>
                      <w:color w:val="auto"/>
                      <w:sz w:val="18"/>
                      <w:szCs w:val="18"/>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w:t>
                  </w:r>
                </w:p>
                <w:p w14:paraId="1BB4A877">
                  <w:pPr>
                    <w:widowControl/>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2460mg/kg（大鼠经口）</w:t>
                  </w:r>
                </w:p>
              </w:tc>
            </w:tr>
            <w:tr w14:paraId="54838C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204E9D00">
                  <w:pPr>
                    <w:adjustRightInd w:val="0"/>
                    <w:snapToGrid w:val="0"/>
                    <w:jc w:val="center"/>
                    <w:rPr>
                      <w:color w:val="auto"/>
                      <w:sz w:val="18"/>
                      <w:szCs w:val="18"/>
                    </w:rPr>
                  </w:pPr>
                  <w:r>
                    <w:rPr>
                      <w:color w:val="auto"/>
                      <w:sz w:val="18"/>
                      <w:szCs w:val="18"/>
                    </w:rPr>
                    <w:t>86</w:t>
                  </w:r>
                </w:p>
              </w:tc>
              <w:tc>
                <w:tcPr>
                  <w:tcW w:w="706" w:type="pct"/>
                  <w:shd w:val="clear" w:color="auto" w:fill="auto"/>
                  <w:vAlign w:val="center"/>
                </w:tcPr>
                <w:p w14:paraId="02E9D249">
                  <w:pPr>
                    <w:jc w:val="center"/>
                    <w:rPr>
                      <w:rFonts w:ascii="Times New Roman" w:hAnsi="Times New Roman" w:eastAsia="宋体" w:cs="Times New Roman"/>
                      <w:color w:val="auto"/>
                      <w:kern w:val="2"/>
                      <w:sz w:val="18"/>
                      <w:szCs w:val="18"/>
                      <w:lang w:val="en-US" w:eastAsia="zh-CN" w:bidi="ar-SA"/>
                    </w:rPr>
                  </w:pPr>
                  <w:r>
                    <w:rPr>
                      <w:color w:val="auto"/>
                      <w:sz w:val="18"/>
                      <w:szCs w:val="18"/>
                    </w:rPr>
                    <w:t>四苯硼钠</w:t>
                  </w:r>
                </w:p>
              </w:tc>
              <w:tc>
                <w:tcPr>
                  <w:tcW w:w="2508" w:type="pct"/>
                  <w:shd w:val="clear" w:color="auto" w:fill="auto"/>
                  <w:vAlign w:val="top"/>
                </w:tcPr>
                <w:p w14:paraId="5F34E05B">
                  <w:pPr>
                    <w:widowControl/>
                    <w:jc w:val="left"/>
                    <w:rPr>
                      <w:rFonts w:ascii="Times New Roman" w:hAnsi="Times New Roman" w:eastAsia="宋体" w:cs="Times New Roman"/>
                      <w:color w:val="auto"/>
                      <w:kern w:val="2"/>
                      <w:sz w:val="18"/>
                      <w:szCs w:val="18"/>
                      <w:lang w:val="en-US" w:eastAsia="zh-CN" w:bidi="ar-SA"/>
                    </w:rPr>
                  </w:pPr>
                  <w:r>
                    <w:rPr>
                      <w:color w:val="auto"/>
                      <w:kern w:val="0"/>
                      <w:sz w:val="18"/>
                      <w:szCs w:val="18"/>
                      <w:lang w:bidi="ar"/>
                    </w:rPr>
                    <w:t>白色固体，无气味，可溶于</w:t>
                  </w:r>
                  <w:r>
                    <w:rPr>
                      <w:color w:val="auto"/>
                    </w:rPr>
                    <w:fldChar w:fldCharType="begin"/>
                  </w:r>
                  <w:r>
                    <w:rPr>
                      <w:color w:val="auto"/>
                    </w:rPr>
                    <w:instrText xml:space="preserve"> HYPERLINK "https://baike.baidu.com/item/%E6%B0%B4/0?fromModule=lemma_inlink" \t "https://baike.baidu.com/item/_blank" </w:instrText>
                  </w:r>
                  <w:r>
                    <w:rPr>
                      <w:color w:val="auto"/>
                    </w:rPr>
                    <w:fldChar w:fldCharType="separate"/>
                  </w:r>
                  <w:r>
                    <w:rPr>
                      <w:color w:val="auto"/>
                      <w:kern w:val="0"/>
                      <w:sz w:val="18"/>
                      <w:szCs w:val="18"/>
                      <w:lang w:bidi="ar"/>
                    </w:rPr>
                    <w:t>水</w:t>
                  </w:r>
                  <w:r>
                    <w:rPr>
                      <w:color w:val="auto"/>
                      <w:kern w:val="0"/>
                      <w:sz w:val="18"/>
                      <w:szCs w:val="18"/>
                      <w:lang w:bidi="ar"/>
                    </w:rPr>
                    <w:fldChar w:fldCharType="end"/>
                  </w:r>
                  <w:r>
                    <w:rPr>
                      <w:color w:val="auto"/>
                      <w:kern w:val="0"/>
                      <w:sz w:val="18"/>
                      <w:szCs w:val="18"/>
                      <w:lang w:bidi="ar"/>
                    </w:rPr>
                    <w:t>、乙醇、甲醇、乙醇和</w:t>
                  </w:r>
                  <w:r>
                    <w:rPr>
                      <w:color w:val="auto"/>
                    </w:rPr>
                    <w:fldChar w:fldCharType="begin"/>
                  </w:r>
                  <w:r>
                    <w:rPr>
                      <w:color w:val="auto"/>
                    </w:rPr>
                    <w:instrText xml:space="preserve"> HYPERLINK "https://baike.baidu.com/item/%E4%B8%99%E9%85%AE/955883?fromModule=lemma_inlink" \t "https://baike.baidu.com/item/_blank" </w:instrText>
                  </w:r>
                  <w:r>
                    <w:rPr>
                      <w:color w:val="auto"/>
                    </w:rPr>
                    <w:fldChar w:fldCharType="separate"/>
                  </w:r>
                  <w:r>
                    <w:rPr>
                      <w:color w:val="auto"/>
                      <w:kern w:val="0"/>
                      <w:sz w:val="18"/>
                      <w:szCs w:val="18"/>
                      <w:lang w:bidi="ar"/>
                    </w:rPr>
                    <w:t>丙酮</w:t>
                  </w:r>
                  <w:r>
                    <w:rPr>
                      <w:color w:val="auto"/>
                      <w:kern w:val="0"/>
                      <w:sz w:val="18"/>
                      <w:szCs w:val="18"/>
                      <w:lang w:bidi="ar"/>
                    </w:rPr>
                    <w:fldChar w:fldCharType="end"/>
                  </w:r>
                  <w:r>
                    <w:rPr>
                      <w:color w:val="auto"/>
                      <w:kern w:val="0"/>
                      <w:sz w:val="18"/>
                      <w:szCs w:val="18"/>
                      <w:lang w:bidi="ar"/>
                    </w:rPr>
                    <w:t>，</w:t>
                  </w:r>
                  <w:r>
                    <w:rPr>
                      <w:color w:val="auto"/>
                    </w:rPr>
                    <w:fldChar w:fldCharType="begin"/>
                  </w:r>
                  <w:r>
                    <w:rPr>
                      <w:color w:val="auto"/>
                    </w:rPr>
                    <w:instrText xml:space="preserve"> HYPERLINK "https://baike.baidu.com/item/%E5%BE%AE%E6%BA%B6/6001808?fromModule=lemma_inlink" \t "https://baike.baidu.com/item/_blank" </w:instrText>
                  </w:r>
                  <w:r>
                    <w:rPr>
                      <w:color w:val="auto"/>
                    </w:rPr>
                    <w:fldChar w:fldCharType="separate"/>
                  </w:r>
                  <w:r>
                    <w:rPr>
                      <w:color w:val="auto"/>
                      <w:kern w:val="0"/>
                      <w:sz w:val="18"/>
                      <w:szCs w:val="18"/>
                      <w:lang w:bidi="ar"/>
                    </w:rPr>
                    <w:t>微溶</w:t>
                  </w:r>
                  <w:r>
                    <w:rPr>
                      <w:color w:val="auto"/>
                      <w:kern w:val="0"/>
                      <w:sz w:val="18"/>
                      <w:szCs w:val="18"/>
                      <w:lang w:bidi="ar"/>
                    </w:rPr>
                    <w:fldChar w:fldCharType="end"/>
                  </w:r>
                  <w:r>
                    <w:rPr>
                      <w:color w:val="auto"/>
                      <w:kern w:val="0"/>
                      <w:sz w:val="18"/>
                      <w:szCs w:val="18"/>
                      <w:lang w:bidi="ar"/>
                    </w:rPr>
                    <w:t>于</w:t>
                  </w:r>
                  <w:r>
                    <w:rPr>
                      <w:color w:val="auto"/>
                    </w:rPr>
                    <w:fldChar w:fldCharType="begin"/>
                  </w:r>
                  <w:r>
                    <w:rPr>
                      <w:color w:val="auto"/>
                    </w:rPr>
                    <w:instrText xml:space="preserve"> HYPERLINK "https://baike.baidu.com/item/%E8%8B%AF/585785?fromModule=lemma_inlink" \t "https://baike.baidu.com/item/_blank" </w:instrText>
                  </w:r>
                  <w:r>
                    <w:rPr>
                      <w:color w:val="auto"/>
                    </w:rPr>
                    <w:fldChar w:fldCharType="separate"/>
                  </w:r>
                  <w:r>
                    <w:rPr>
                      <w:color w:val="auto"/>
                      <w:kern w:val="0"/>
                      <w:sz w:val="18"/>
                      <w:szCs w:val="18"/>
                      <w:lang w:bidi="ar"/>
                    </w:rPr>
                    <w:t>苯</w:t>
                  </w:r>
                  <w:r>
                    <w:rPr>
                      <w:color w:val="auto"/>
                      <w:kern w:val="0"/>
                      <w:sz w:val="18"/>
                      <w:szCs w:val="18"/>
                      <w:lang w:bidi="ar"/>
                    </w:rPr>
                    <w:fldChar w:fldCharType="end"/>
                  </w:r>
                  <w:r>
                    <w:rPr>
                      <w:color w:val="auto"/>
                      <w:kern w:val="0"/>
                      <w:sz w:val="18"/>
                      <w:szCs w:val="18"/>
                      <w:lang w:bidi="ar"/>
                    </w:rPr>
                    <w:t>和</w:t>
                  </w:r>
                  <w:r>
                    <w:rPr>
                      <w:color w:val="auto"/>
                    </w:rPr>
                    <w:fldChar w:fldCharType="begin"/>
                  </w:r>
                  <w:r>
                    <w:rPr>
                      <w:color w:val="auto"/>
                    </w:rPr>
                    <w:instrText xml:space="preserve"> HYPERLINK "https://baike.baidu.com/item/%E6%B0%AF%E4%BB%BF/521847?fromModule=lemma_inlink" \t "https://baike.baidu.com/item/_blank" </w:instrText>
                  </w:r>
                  <w:r>
                    <w:rPr>
                      <w:color w:val="auto"/>
                    </w:rPr>
                    <w:fldChar w:fldCharType="separate"/>
                  </w:r>
                  <w:r>
                    <w:rPr>
                      <w:color w:val="auto"/>
                      <w:kern w:val="0"/>
                      <w:sz w:val="18"/>
                      <w:szCs w:val="18"/>
                      <w:lang w:bidi="ar"/>
                    </w:rPr>
                    <w:t>氯仿</w:t>
                  </w:r>
                  <w:r>
                    <w:rPr>
                      <w:color w:val="auto"/>
                      <w:kern w:val="0"/>
                      <w:sz w:val="18"/>
                      <w:szCs w:val="18"/>
                      <w:lang w:bidi="ar"/>
                    </w:rPr>
                    <w:fldChar w:fldCharType="end"/>
                  </w:r>
                  <w:r>
                    <w:rPr>
                      <w:color w:val="auto"/>
                      <w:kern w:val="0"/>
                      <w:sz w:val="18"/>
                      <w:szCs w:val="18"/>
                      <w:lang w:bidi="ar"/>
                    </w:rPr>
                    <w:t>，几乎不溶于</w:t>
                  </w:r>
                  <w:r>
                    <w:rPr>
                      <w:color w:val="auto"/>
                    </w:rPr>
                    <w:fldChar w:fldCharType="begin"/>
                  </w:r>
                  <w:r>
                    <w:rPr>
                      <w:color w:val="auto"/>
                    </w:rPr>
                    <w:instrText xml:space="preserve"> HYPERLINK "https://baike.baidu.com/item/%E7%9F%B3%E6%B2%B9%E9%86%9A/2519986?fromModule=lemma_inlink" \t "https://baike.baidu.com/item/_blank" </w:instrText>
                  </w:r>
                  <w:r>
                    <w:rPr>
                      <w:color w:val="auto"/>
                    </w:rPr>
                    <w:fldChar w:fldCharType="separate"/>
                  </w:r>
                  <w:r>
                    <w:rPr>
                      <w:color w:val="auto"/>
                      <w:kern w:val="0"/>
                      <w:sz w:val="18"/>
                      <w:szCs w:val="18"/>
                      <w:lang w:bidi="ar"/>
                    </w:rPr>
                    <w:t>石油醚</w:t>
                  </w:r>
                  <w:r>
                    <w:rPr>
                      <w:color w:val="auto"/>
                      <w:kern w:val="0"/>
                      <w:sz w:val="18"/>
                      <w:szCs w:val="18"/>
                      <w:lang w:bidi="ar"/>
                    </w:rPr>
                    <w:fldChar w:fldCharType="end"/>
                  </w:r>
                  <w:r>
                    <w:rPr>
                      <w:color w:val="auto"/>
                      <w:kern w:val="0"/>
                      <w:sz w:val="18"/>
                      <w:szCs w:val="18"/>
                      <w:lang w:bidi="ar"/>
                    </w:rPr>
                    <w:t>。熔点 300℃，密度 1.15g/cm</w:t>
                  </w:r>
                  <w:r>
                    <w:rPr>
                      <w:color w:val="auto"/>
                      <w:kern w:val="0"/>
                      <w:sz w:val="18"/>
                      <w:szCs w:val="18"/>
                      <w:vertAlign w:val="superscript"/>
                      <w:lang w:bidi="ar"/>
                    </w:rPr>
                    <w:t>3</w:t>
                  </w:r>
                  <w:r>
                    <w:rPr>
                      <w:color w:val="auto"/>
                      <w:kern w:val="0"/>
                      <w:sz w:val="18"/>
                      <w:szCs w:val="18"/>
                      <w:lang w:bidi="ar"/>
                    </w:rPr>
                    <w:t xml:space="preserve"> </w:t>
                  </w:r>
                  <w:r>
                    <w:rPr>
                      <w:rFonts w:hint="eastAsia"/>
                      <w:color w:val="auto"/>
                      <w:kern w:val="0"/>
                      <w:sz w:val="18"/>
                      <w:szCs w:val="18"/>
                      <w:lang w:bidi="ar"/>
                    </w:rPr>
                    <w:t>。</w:t>
                  </w:r>
                </w:p>
              </w:tc>
              <w:tc>
                <w:tcPr>
                  <w:tcW w:w="589" w:type="pct"/>
                  <w:shd w:val="clear" w:color="auto" w:fill="auto"/>
                  <w:vAlign w:val="center"/>
                </w:tcPr>
                <w:p w14:paraId="0A8FF8DA">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504A7BFE">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r>
            <w:tr w14:paraId="189042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55C41428">
                  <w:pPr>
                    <w:adjustRightInd w:val="0"/>
                    <w:snapToGrid w:val="0"/>
                    <w:jc w:val="center"/>
                    <w:rPr>
                      <w:color w:val="auto"/>
                      <w:sz w:val="18"/>
                      <w:szCs w:val="18"/>
                    </w:rPr>
                  </w:pPr>
                  <w:r>
                    <w:rPr>
                      <w:color w:val="auto"/>
                      <w:sz w:val="18"/>
                      <w:szCs w:val="18"/>
                    </w:rPr>
                    <w:t>87</w:t>
                  </w:r>
                </w:p>
              </w:tc>
              <w:tc>
                <w:tcPr>
                  <w:tcW w:w="706" w:type="pct"/>
                  <w:shd w:val="clear" w:color="auto" w:fill="auto"/>
                  <w:vAlign w:val="center"/>
                </w:tcPr>
                <w:p w14:paraId="5E462B5B">
                  <w:pPr>
                    <w:jc w:val="center"/>
                    <w:rPr>
                      <w:rFonts w:ascii="Times New Roman" w:hAnsi="Times New Roman" w:eastAsia="宋体" w:cs="Times New Roman"/>
                      <w:color w:val="auto"/>
                      <w:kern w:val="2"/>
                      <w:sz w:val="18"/>
                      <w:szCs w:val="18"/>
                      <w:lang w:val="en-US" w:eastAsia="zh-CN" w:bidi="ar-SA"/>
                    </w:rPr>
                  </w:pPr>
                  <w:r>
                    <w:rPr>
                      <w:color w:val="auto"/>
                      <w:sz w:val="18"/>
                      <w:szCs w:val="18"/>
                    </w:rPr>
                    <w:t>乙酸乙酯</w:t>
                  </w:r>
                </w:p>
              </w:tc>
              <w:tc>
                <w:tcPr>
                  <w:tcW w:w="2508" w:type="pct"/>
                  <w:shd w:val="clear" w:color="auto" w:fill="auto"/>
                  <w:vAlign w:val="center"/>
                </w:tcPr>
                <w:p w14:paraId="44FA2052">
                  <w:pPr>
                    <w:widowControl/>
                    <w:rPr>
                      <w:rFonts w:ascii="Times New Roman" w:hAnsi="Times New Roman" w:eastAsia="宋体" w:cs="Times New Roman"/>
                      <w:color w:val="auto"/>
                      <w:kern w:val="2"/>
                      <w:sz w:val="18"/>
                      <w:szCs w:val="18"/>
                      <w:lang w:val="en-US" w:eastAsia="zh-CN" w:bidi="ar-SA"/>
                    </w:rPr>
                  </w:pPr>
                  <w:r>
                    <w:rPr>
                      <w:color w:val="auto"/>
                      <w:kern w:val="0"/>
                      <w:sz w:val="18"/>
                      <w:szCs w:val="18"/>
                      <w:lang w:bidi="ar"/>
                    </w:rPr>
                    <w:t>无色液体，熔点-84℃，沸点 76.5-77.5℃</w:t>
                  </w:r>
                  <w:r>
                    <w:rPr>
                      <w:rFonts w:hint="eastAsia"/>
                      <w:color w:val="auto"/>
                      <w:kern w:val="0"/>
                      <w:sz w:val="18"/>
                      <w:szCs w:val="18"/>
                      <w:lang w:bidi="ar"/>
                    </w:rPr>
                    <w:t>，</w:t>
                  </w:r>
                  <w:r>
                    <w:rPr>
                      <w:color w:val="auto"/>
                      <w:kern w:val="0"/>
                      <w:sz w:val="18"/>
                      <w:szCs w:val="18"/>
                      <w:lang w:bidi="ar"/>
                    </w:rPr>
                    <w:t xml:space="preserve"> 密度 </w:t>
                  </w:r>
                  <w:r>
                    <w:rPr>
                      <w:rFonts w:hint="eastAsia"/>
                      <w:color w:val="auto"/>
                      <w:kern w:val="0"/>
                      <w:sz w:val="18"/>
                      <w:szCs w:val="18"/>
                      <w:lang w:bidi="ar"/>
                    </w:rPr>
                    <w:t>0.902</w:t>
                  </w:r>
                  <w:r>
                    <w:rPr>
                      <w:color w:val="auto"/>
                      <w:kern w:val="0"/>
                      <w:sz w:val="18"/>
                      <w:szCs w:val="18"/>
                      <w:lang w:bidi="ar"/>
                    </w:rPr>
                    <w:t>g/cm</w:t>
                  </w:r>
                  <w:r>
                    <w:rPr>
                      <w:color w:val="auto"/>
                      <w:kern w:val="0"/>
                      <w:sz w:val="18"/>
                      <w:szCs w:val="18"/>
                      <w:vertAlign w:val="superscript"/>
                      <w:lang w:bidi="ar"/>
                    </w:rPr>
                    <w:t>3</w:t>
                  </w:r>
                  <w:r>
                    <w:rPr>
                      <w:color w:val="auto"/>
                      <w:kern w:val="0"/>
                      <w:sz w:val="18"/>
                      <w:szCs w:val="18"/>
                      <w:lang w:bidi="ar"/>
                    </w:rPr>
                    <w:t xml:space="preserve">，微溶于水，溶于乙醇、丙酮、乙醚、氯仿、苯等多数有机溶剂 </w:t>
                  </w:r>
                </w:p>
              </w:tc>
              <w:tc>
                <w:tcPr>
                  <w:tcW w:w="589" w:type="pct"/>
                  <w:shd w:val="clear" w:color="auto" w:fill="auto"/>
                  <w:vAlign w:val="center"/>
                </w:tcPr>
                <w:p w14:paraId="4AB6B099">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1E03F30F">
                  <w:pPr>
                    <w:widowControl/>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：5620mg/kg（大鼠经口）</w:t>
                  </w:r>
                </w:p>
              </w:tc>
            </w:tr>
            <w:tr w14:paraId="56F116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714A1C69">
                  <w:pPr>
                    <w:adjustRightInd w:val="0"/>
                    <w:snapToGrid w:val="0"/>
                    <w:jc w:val="center"/>
                    <w:rPr>
                      <w:color w:val="auto"/>
                      <w:sz w:val="18"/>
                      <w:szCs w:val="18"/>
                    </w:rPr>
                  </w:pPr>
                  <w:r>
                    <w:rPr>
                      <w:color w:val="auto"/>
                      <w:sz w:val="18"/>
                      <w:szCs w:val="18"/>
                    </w:rPr>
                    <w:t>88</w:t>
                  </w:r>
                </w:p>
              </w:tc>
              <w:tc>
                <w:tcPr>
                  <w:tcW w:w="706" w:type="pct"/>
                  <w:shd w:val="clear" w:color="auto" w:fill="auto"/>
                  <w:vAlign w:val="center"/>
                </w:tcPr>
                <w:p w14:paraId="4330EAD2">
                  <w:pPr>
                    <w:jc w:val="center"/>
                    <w:rPr>
                      <w:rFonts w:ascii="Times New Roman" w:hAnsi="Times New Roman" w:eastAsia="宋体" w:cs="Times New Roman"/>
                      <w:color w:val="auto"/>
                      <w:kern w:val="2"/>
                      <w:sz w:val="18"/>
                      <w:szCs w:val="18"/>
                      <w:lang w:val="en-US" w:eastAsia="zh-CN" w:bidi="ar-SA"/>
                    </w:rPr>
                  </w:pPr>
                  <w:r>
                    <w:rPr>
                      <w:color w:val="auto"/>
                      <w:sz w:val="18"/>
                      <w:szCs w:val="18"/>
                    </w:rPr>
                    <w:t>吡啶</w:t>
                  </w:r>
                </w:p>
              </w:tc>
              <w:tc>
                <w:tcPr>
                  <w:tcW w:w="2508" w:type="pct"/>
                  <w:shd w:val="clear" w:color="auto" w:fill="auto"/>
                  <w:vAlign w:val="center"/>
                </w:tcPr>
                <w:p w14:paraId="46AD4BBC">
                  <w:pPr>
                    <w:widowControl/>
                    <w:rPr>
                      <w:rFonts w:ascii="Times New Roman" w:hAnsi="Times New Roman" w:eastAsia="宋体" w:cs="Times New Roman"/>
                      <w:color w:val="auto"/>
                      <w:kern w:val="2"/>
                      <w:sz w:val="18"/>
                      <w:szCs w:val="18"/>
                      <w:lang w:val="en-US" w:eastAsia="zh-CN" w:bidi="ar-SA"/>
                    </w:rPr>
                  </w:pPr>
                  <w:r>
                    <w:rPr>
                      <w:color w:val="auto"/>
                      <w:kern w:val="0"/>
                      <w:sz w:val="18"/>
                      <w:szCs w:val="18"/>
                      <w:lang w:bidi="ar"/>
                    </w:rPr>
                    <w:t>无色或微黄色液体，具有刺激性的气味，熔点-41.6℃，沸点115.3℃</w:t>
                  </w:r>
                  <w:r>
                    <w:rPr>
                      <w:rFonts w:hint="eastAsia"/>
                      <w:color w:val="auto"/>
                      <w:kern w:val="0"/>
                      <w:sz w:val="18"/>
                      <w:szCs w:val="18"/>
                      <w:lang w:bidi="ar"/>
                    </w:rPr>
                    <w:t>，</w:t>
                  </w:r>
                  <w:r>
                    <w:rPr>
                      <w:color w:val="auto"/>
                      <w:kern w:val="0"/>
                      <w:sz w:val="18"/>
                      <w:szCs w:val="18"/>
                      <w:lang w:bidi="ar"/>
                    </w:rPr>
                    <w:t>相对密度 0.983g/cm</w:t>
                  </w:r>
                  <w:r>
                    <w:rPr>
                      <w:color w:val="auto"/>
                      <w:kern w:val="0"/>
                      <w:sz w:val="18"/>
                      <w:szCs w:val="18"/>
                      <w:vertAlign w:val="superscript"/>
                      <w:lang w:bidi="ar"/>
                    </w:rPr>
                    <w:t>3</w:t>
                  </w:r>
                  <w:r>
                    <w:rPr>
                      <w:color w:val="auto"/>
                      <w:kern w:val="0"/>
                      <w:sz w:val="18"/>
                      <w:szCs w:val="18"/>
                      <w:lang w:bidi="ar"/>
                    </w:rPr>
                    <w:t>，能与水、醇、醚、石油醚、苯、油类等多种溶剂混溶</w:t>
                  </w:r>
                  <w:r>
                    <w:rPr>
                      <w:rFonts w:hint="eastAsia"/>
                      <w:color w:val="auto"/>
                      <w:kern w:val="0"/>
                      <w:sz w:val="18"/>
                      <w:szCs w:val="18"/>
                      <w:lang w:bidi="ar"/>
                    </w:rPr>
                    <w:t>。</w:t>
                  </w:r>
                </w:p>
              </w:tc>
              <w:tc>
                <w:tcPr>
                  <w:tcW w:w="589" w:type="pct"/>
                  <w:shd w:val="clear" w:color="auto" w:fill="auto"/>
                  <w:vAlign w:val="center"/>
                </w:tcPr>
                <w:p w14:paraId="013F5626">
                  <w:pPr>
                    <w:adjustRightInd w:val="0"/>
                    <w:snapToGrid w:val="0"/>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易燃</w:t>
                  </w:r>
                </w:p>
              </w:tc>
              <w:tc>
                <w:tcPr>
                  <w:tcW w:w="803" w:type="pct"/>
                  <w:shd w:val="clear" w:color="auto" w:fill="auto"/>
                  <w:vAlign w:val="center"/>
                </w:tcPr>
                <w:p w14:paraId="6A52025B">
                  <w:pPr>
                    <w:widowControl/>
                    <w:jc w:val="center"/>
                    <w:rPr>
                      <w:color w:val="auto"/>
                      <w:sz w:val="18"/>
                      <w:szCs w:val="18"/>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w:t>
                  </w:r>
                </w:p>
                <w:p w14:paraId="5A21E54D">
                  <w:pPr>
                    <w:widowControl/>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1580mg/kg（大鼠经口）</w:t>
                  </w:r>
                </w:p>
              </w:tc>
            </w:tr>
            <w:tr w14:paraId="7095A9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7A067A1D">
                  <w:pPr>
                    <w:adjustRightInd w:val="0"/>
                    <w:snapToGrid w:val="0"/>
                    <w:jc w:val="center"/>
                    <w:rPr>
                      <w:color w:val="auto"/>
                      <w:sz w:val="18"/>
                      <w:szCs w:val="18"/>
                    </w:rPr>
                  </w:pPr>
                  <w:r>
                    <w:rPr>
                      <w:color w:val="auto"/>
                      <w:sz w:val="18"/>
                      <w:szCs w:val="18"/>
                    </w:rPr>
                    <w:t>89</w:t>
                  </w:r>
                </w:p>
              </w:tc>
              <w:tc>
                <w:tcPr>
                  <w:tcW w:w="706" w:type="pct"/>
                  <w:shd w:val="clear" w:color="auto" w:fill="auto"/>
                  <w:vAlign w:val="center"/>
                </w:tcPr>
                <w:p w14:paraId="6587B154">
                  <w:pPr>
                    <w:jc w:val="center"/>
                    <w:rPr>
                      <w:rFonts w:ascii="Times New Roman" w:hAnsi="Times New Roman" w:eastAsia="宋体" w:cs="Times New Roman"/>
                      <w:color w:val="auto"/>
                      <w:kern w:val="2"/>
                      <w:sz w:val="18"/>
                      <w:szCs w:val="18"/>
                      <w:lang w:val="en-US" w:eastAsia="zh-CN" w:bidi="ar-SA"/>
                    </w:rPr>
                  </w:pPr>
                  <w:r>
                    <w:rPr>
                      <w:color w:val="auto"/>
                      <w:sz w:val="18"/>
                      <w:szCs w:val="18"/>
                    </w:rPr>
                    <w:t>叔丁醇</w:t>
                  </w:r>
                </w:p>
              </w:tc>
              <w:tc>
                <w:tcPr>
                  <w:tcW w:w="2508" w:type="pct"/>
                  <w:shd w:val="clear" w:color="auto" w:fill="auto"/>
                  <w:vAlign w:val="center"/>
                </w:tcPr>
                <w:p w14:paraId="21AADB07">
                  <w:pPr>
                    <w:widowControl/>
                    <w:rPr>
                      <w:rFonts w:ascii="Times New Roman" w:hAnsi="Times New Roman" w:eastAsia="宋体" w:cs="Times New Roman"/>
                      <w:color w:val="auto"/>
                      <w:kern w:val="2"/>
                      <w:sz w:val="18"/>
                      <w:szCs w:val="18"/>
                      <w:lang w:val="en-US" w:eastAsia="zh-CN" w:bidi="ar-SA"/>
                    </w:rPr>
                  </w:pPr>
                  <w:r>
                    <w:rPr>
                      <w:color w:val="auto"/>
                      <w:kern w:val="0"/>
                      <w:sz w:val="18"/>
                      <w:szCs w:val="18"/>
                      <w:lang w:bidi="ar"/>
                    </w:rPr>
                    <w:t xml:space="preserve">无色透明液体或无色结晶，熔点 23-26℃，沸点 84.6℃，密度 0.775g/cm3，能与水、醇、酯、醚、脂肪烃、芳香烃等多种有机溶剂混溶。 </w:t>
                  </w:r>
                </w:p>
              </w:tc>
              <w:tc>
                <w:tcPr>
                  <w:tcW w:w="589" w:type="pct"/>
                  <w:shd w:val="clear" w:color="auto" w:fill="auto"/>
                  <w:vAlign w:val="center"/>
                </w:tcPr>
                <w:p w14:paraId="32A16A85">
                  <w:pPr>
                    <w:adjustRightInd w:val="0"/>
                    <w:snapToGrid w:val="0"/>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易燃</w:t>
                  </w:r>
                </w:p>
              </w:tc>
              <w:tc>
                <w:tcPr>
                  <w:tcW w:w="803" w:type="pct"/>
                  <w:shd w:val="clear" w:color="auto" w:fill="auto"/>
                  <w:vAlign w:val="center"/>
                </w:tcPr>
                <w:p w14:paraId="0FB76333">
                  <w:pPr>
                    <w:widowControl/>
                    <w:jc w:val="center"/>
                    <w:rPr>
                      <w:color w:val="auto"/>
                      <w:sz w:val="18"/>
                      <w:szCs w:val="18"/>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w:t>
                  </w:r>
                </w:p>
                <w:p w14:paraId="21C5597C">
                  <w:pPr>
                    <w:widowControl/>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2743mg/kg（大鼠经口）</w:t>
                  </w:r>
                </w:p>
              </w:tc>
            </w:tr>
            <w:tr w14:paraId="06C832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38859534">
                  <w:pPr>
                    <w:adjustRightInd w:val="0"/>
                    <w:snapToGrid w:val="0"/>
                    <w:jc w:val="center"/>
                    <w:rPr>
                      <w:color w:val="auto"/>
                      <w:sz w:val="18"/>
                      <w:szCs w:val="18"/>
                    </w:rPr>
                  </w:pPr>
                  <w:r>
                    <w:rPr>
                      <w:color w:val="auto"/>
                      <w:sz w:val="18"/>
                      <w:szCs w:val="18"/>
                    </w:rPr>
                    <w:t>90</w:t>
                  </w:r>
                </w:p>
              </w:tc>
              <w:tc>
                <w:tcPr>
                  <w:tcW w:w="706" w:type="pct"/>
                  <w:shd w:val="clear" w:color="auto" w:fill="auto"/>
                  <w:vAlign w:val="center"/>
                </w:tcPr>
                <w:p w14:paraId="77B9B372">
                  <w:pPr>
                    <w:jc w:val="center"/>
                    <w:rPr>
                      <w:rFonts w:ascii="Times New Roman" w:hAnsi="Times New Roman" w:eastAsia="宋体" w:cs="Times New Roman"/>
                      <w:color w:val="auto"/>
                      <w:kern w:val="2"/>
                      <w:sz w:val="18"/>
                      <w:szCs w:val="18"/>
                      <w:lang w:val="en-US" w:eastAsia="zh-CN" w:bidi="ar-SA"/>
                    </w:rPr>
                  </w:pPr>
                  <w:r>
                    <w:rPr>
                      <w:color w:val="auto"/>
                      <w:sz w:val="18"/>
                      <w:szCs w:val="18"/>
                    </w:rPr>
                    <w:t>N,N-二甲基甲酰胺</w:t>
                  </w:r>
                </w:p>
              </w:tc>
              <w:tc>
                <w:tcPr>
                  <w:tcW w:w="2508" w:type="pct"/>
                  <w:shd w:val="clear" w:color="auto" w:fill="auto"/>
                  <w:vAlign w:val="center"/>
                </w:tcPr>
                <w:p w14:paraId="2A26082A">
                  <w:pPr>
                    <w:widowControl/>
                    <w:rPr>
                      <w:rFonts w:ascii="Times New Roman" w:hAnsi="Times New Roman" w:eastAsia="宋体" w:cs="Times New Roman"/>
                      <w:color w:val="auto"/>
                      <w:kern w:val="2"/>
                      <w:sz w:val="18"/>
                      <w:szCs w:val="18"/>
                      <w:lang w:val="en-US" w:eastAsia="zh-CN" w:bidi="ar-SA"/>
                    </w:rPr>
                  </w:pPr>
                  <w:r>
                    <w:rPr>
                      <w:color w:val="auto"/>
                      <w:kern w:val="0"/>
                      <w:sz w:val="18"/>
                      <w:szCs w:val="18"/>
                      <w:lang w:bidi="ar"/>
                    </w:rPr>
                    <w:t>无色透明液体，熔点-61℃ ，沸点 153℃，密度 0.948g/cm</w:t>
                  </w:r>
                  <w:r>
                    <w:rPr>
                      <w:color w:val="auto"/>
                      <w:kern w:val="0"/>
                      <w:sz w:val="18"/>
                      <w:szCs w:val="18"/>
                      <w:vertAlign w:val="superscript"/>
                      <w:lang w:bidi="ar"/>
                    </w:rPr>
                    <w:t>3</w:t>
                  </w:r>
                  <w:r>
                    <w:rPr>
                      <w:color w:val="auto"/>
                      <w:kern w:val="0"/>
                      <w:sz w:val="18"/>
                      <w:szCs w:val="18"/>
                      <w:lang w:bidi="ar"/>
                    </w:rPr>
                    <w:t xml:space="preserve">，与水混溶，可混溶于多数有机溶剂 </w:t>
                  </w:r>
                </w:p>
              </w:tc>
              <w:tc>
                <w:tcPr>
                  <w:tcW w:w="589" w:type="pct"/>
                  <w:shd w:val="clear" w:color="auto" w:fill="auto"/>
                  <w:vAlign w:val="center"/>
                </w:tcPr>
                <w:p w14:paraId="1013EE88">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1013B3EE">
                  <w:pPr>
                    <w:widowControl/>
                    <w:jc w:val="center"/>
                    <w:rPr>
                      <w:color w:val="auto"/>
                      <w:sz w:val="18"/>
                      <w:szCs w:val="18"/>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w:t>
                  </w:r>
                </w:p>
                <w:p w14:paraId="1DB473DF">
                  <w:pPr>
                    <w:widowControl/>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4000mg/kg（大鼠经口）</w:t>
                  </w:r>
                </w:p>
              </w:tc>
            </w:tr>
            <w:tr w14:paraId="3D34AF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4940D08F">
                  <w:pPr>
                    <w:adjustRightInd w:val="0"/>
                    <w:snapToGrid w:val="0"/>
                    <w:jc w:val="center"/>
                    <w:rPr>
                      <w:color w:val="auto"/>
                      <w:sz w:val="18"/>
                      <w:szCs w:val="18"/>
                    </w:rPr>
                  </w:pPr>
                  <w:r>
                    <w:rPr>
                      <w:color w:val="auto"/>
                      <w:sz w:val="18"/>
                      <w:szCs w:val="18"/>
                    </w:rPr>
                    <w:t>91</w:t>
                  </w:r>
                </w:p>
              </w:tc>
              <w:tc>
                <w:tcPr>
                  <w:tcW w:w="706" w:type="pct"/>
                  <w:shd w:val="clear" w:color="auto" w:fill="auto"/>
                  <w:vAlign w:val="center"/>
                </w:tcPr>
                <w:p w14:paraId="568DCF52">
                  <w:pPr>
                    <w:jc w:val="center"/>
                    <w:rPr>
                      <w:rFonts w:ascii="Times New Roman" w:hAnsi="Times New Roman" w:eastAsia="宋体" w:cs="Times New Roman"/>
                      <w:color w:val="auto"/>
                      <w:kern w:val="2"/>
                      <w:sz w:val="18"/>
                      <w:szCs w:val="18"/>
                      <w:lang w:val="en-US" w:eastAsia="zh-CN" w:bidi="ar-SA"/>
                    </w:rPr>
                  </w:pPr>
                  <w:r>
                    <w:rPr>
                      <w:color w:val="auto"/>
                      <w:sz w:val="18"/>
                      <w:szCs w:val="18"/>
                    </w:rPr>
                    <w:t>二甲基乙酰胺</w:t>
                  </w:r>
                </w:p>
              </w:tc>
              <w:tc>
                <w:tcPr>
                  <w:tcW w:w="2508" w:type="pct"/>
                  <w:shd w:val="clear" w:color="auto" w:fill="auto"/>
                  <w:vAlign w:val="top"/>
                </w:tcPr>
                <w:p w14:paraId="195760AC">
                  <w:pPr>
                    <w:widowControl/>
                    <w:jc w:val="left"/>
                    <w:rPr>
                      <w:rFonts w:ascii="Times New Roman" w:hAnsi="Times New Roman" w:eastAsia="宋体" w:cs="Times New Roman"/>
                      <w:color w:val="auto"/>
                      <w:kern w:val="2"/>
                      <w:sz w:val="18"/>
                      <w:szCs w:val="18"/>
                      <w:lang w:val="en-US" w:eastAsia="zh-CN" w:bidi="ar-SA"/>
                    </w:rPr>
                  </w:pPr>
                  <w:r>
                    <w:rPr>
                      <w:color w:val="auto"/>
                      <w:kern w:val="0"/>
                      <w:sz w:val="18"/>
                      <w:szCs w:val="18"/>
                      <w:lang w:bidi="ar"/>
                    </w:rPr>
                    <w:t>无色透明液体，可燃。能与水、醇、醚、酯、苯、三氯甲烷和芳香化合物等有机溶剂任意混合，熔点-20℃，沸点 16</w:t>
                  </w:r>
                  <w:r>
                    <w:rPr>
                      <w:rFonts w:hint="eastAsia"/>
                      <w:color w:val="auto"/>
                      <w:kern w:val="0"/>
                      <w:sz w:val="18"/>
                      <w:szCs w:val="18"/>
                      <w:lang w:bidi="ar"/>
                    </w:rPr>
                    <w:t>5</w:t>
                  </w:r>
                  <w:r>
                    <w:rPr>
                      <w:color w:val="auto"/>
                      <w:kern w:val="0"/>
                      <w:sz w:val="18"/>
                      <w:szCs w:val="18"/>
                      <w:lang w:bidi="ar"/>
                    </w:rPr>
                    <w:t>℃，密度0.937g/cm</w:t>
                  </w:r>
                  <w:r>
                    <w:rPr>
                      <w:color w:val="auto"/>
                      <w:kern w:val="0"/>
                      <w:sz w:val="18"/>
                      <w:szCs w:val="18"/>
                      <w:vertAlign w:val="superscript"/>
                      <w:lang w:bidi="ar"/>
                    </w:rPr>
                    <w:t>3</w:t>
                  </w:r>
                  <w:r>
                    <w:rPr>
                      <w:color w:val="auto"/>
                      <w:kern w:val="0"/>
                      <w:sz w:val="18"/>
                      <w:szCs w:val="18"/>
                      <w:lang w:bidi="ar"/>
                    </w:rPr>
                    <w:t xml:space="preserve">。 </w:t>
                  </w:r>
                </w:p>
              </w:tc>
              <w:tc>
                <w:tcPr>
                  <w:tcW w:w="589" w:type="pct"/>
                  <w:shd w:val="clear" w:color="auto" w:fill="auto"/>
                  <w:vAlign w:val="center"/>
                </w:tcPr>
                <w:p w14:paraId="2F1EFB54">
                  <w:pPr>
                    <w:widowControl/>
                    <w:jc w:val="center"/>
                    <w:rPr>
                      <w:color w:val="auto"/>
                      <w:sz w:val="18"/>
                      <w:szCs w:val="18"/>
                    </w:rPr>
                  </w:pPr>
                  <w:r>
                    <w:rPr>
                      <w:color w:val="auto"/>
                      <w:kern w:val="0"/>
                      <w:sz w:val="18"/>
                      <w:szCs w:val="18"/>
                      <w:lang w:bidi="ar"/>
                    </w:rPr>
                    <w:t>可燃</w:t>
                  </w:r>
                </w:p>
                <w:p w14:paraId="6B827322">
                  <w:pPr>
                    <w:adjustRightInd w:val="0"/>
                    <w:snapToGrid w:val="0"/>
                    <w:jc w:val="center"/>
                    <w:rPr>
                      <w:rFonts w:ascii="Times New Roman" w:hAnsi="Times New Roman" w:eastAsia="宋体" w:cs="Times New Roman"/>
                      <w:color w:val="auto"/>
                      <w:kern w:val="2"/>
                      <w:sz w:val="18"/>
                      <w:szCs w:val="18"/>
                      <w:lang w:val="en-US" w:eastAsia="zh-CN" w:bidi="ar-SA"/>
                    </w:rPr>
                  </w:pPr>
                </w:p>
              </w:tc>
              <w:tc>
                <w:tcPr>
                  <w:tcW w:w="803" w:type="pct"/>
                  <w:shd w:val="clear" w:color="auto" w:fill="auto"/>
                  <w:vAlign w:val="top"/>
                </w:tcPr>
                <w:p w14:paraId="704E89E7">
                  <w:pPr>
                    <w:widowControl/>
                    <w:jc w:val="center"/>
                    <w:rPr>
                      <w:color w:val="auto"/>
                      <w:sz w:val="18"/>
                      <w:szCs w:val="18"/>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w:t>
                  </w:r>
                </w:p>
                <w:p w14:paraId="3F7E6FB8">
                  <w:pPr>
                    <w:adjustRightInd w:val="0"/>
                    <w:snapToGrid w:val="0"/>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4</w:t>
                  </w:r>
                  <w:r>
                    <w:rPr>
                      <w:rFonts w:hint="eastAsia"/>
                      <w:color w:val="auto"/>
                      <w:kern w:val="0"/>
                      <w:sz w:val="18"/>
                      <w:szCs w:val="18"/>
                      <w:lang w:bidi="ar"/>
                    </w:rPr>
                    <w:t>3</w:t>
                  </w:r>
                  <w:r>
                    <w:rPr>
                      <w:color w:val="auto"/>
                      <w:kern w:val="0"/>
                      <w:sz w:val="18"/>
                      <w:szCs w:val="18"/>
                      <w:lang w:bidi="ar"/>
                    </w:rPr>
                    <w:t>00mg/kg（大鼠经口）</w:t>
                  </w:r>
                </w:p>
              </w:tc>
            </w:tr>
            <w:tr w14:paraId="38EB40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294D8A96">
                  <w:pPr>
                    <w:adjustRightInd w:val="0"/>
                    <w:snapToGrid w:val="0"/>
                    <w:jc w:val="center"/>
                    <w:rPr>
                      <w:color w:val="auto"/>
                      <w:sz w:val="18"/>
                      <w:szCs w:val="18"/>
                    </w:rPr>
                  </w:pPr>
                  <w:r>
                    <w:rPr>
                      <w:color w:val="auto"/>
                      <w:sz w:val="18"/>
                      <w:szCs w:val="18"/>
                    </w:rPr>
                    <w:t>92</w:t>
                  </w:r>
                </w:p>
              </w:tc>
              <w:tc>
                <w:tcPr>
                  <w:tcW w:w="706" w:type="pct"/>
                  <w:shd w:val="clear" w:color="auto" w:fill="auto"/>
                  <w:vAlign w:val="center"/>
                </w:tcPr>
                <w:p w14:paraId="1ECA6985">
                  <w:pPr>
                    <w:jc w:val="center"/>
                    <w:rPr>
                      <w:rFonts w:ascii="Times New Roman" w:hAnsi="Times New Roman" w:eastAsia="宋体" w:cs="Times New Roman"/>
                      <w:color w:val="auto"/>
                      <w:kern w:val="2"/>
                      <w:sz w:val="18"/>
                      <w:szCs w:val="18"/>
                      <w:lang w:val="en-US" w:eastAsia="zh-CN" w:bidi="ar-SA"/>
                    </w:rPr>
                  </w:pPr>
                  <w:r>
                    <w:rPr>
                      <w:color w:val="auto"/>
                      <w:sz w:val="18"/>
                      <w:szCs w:val="18"/>
                    </w:rPr>
                    <w:t>二氧六环</w:t>
                  </w:r>
                </w:p>
              </w:tc>
              <w:tc>
                <w:tcPr>
                  <w:tcW w:w="2508" w:type="pct"/>
                  <w:shd w:val="clear" w:color="auto" w:fill="auto"/>
                  <w:vAlign w:val="center"/>
                </w:tcPr>
                <w:p w14:paraId="563EE2AA">
                  <w:pPr>
                    <w:widowControl/>
                    <w:rPr>
                      <w:rFonts w:ascii="Times New Roman" w:hAnsi="Times New Roman" w:eastAsia="宋体" w:cs="Times New Roman"/>
                      <w:color w:val="auto"/>
                      <w:kern w:val="2"/>
                      <w:sz w:val="18"/>
                      <w:szCs w:val="18"/>
                      <w:lang w:val="en-US" w:eastAsia="zh-CN" w:bidi="ar-SA"/>
                    </w:rPr>
                  </w:pPr>
                  <w:r>
                    <w:rPr>
                      <w:color w:val="auto"/>
                      <w:kern w:val="0"/>
                      <w:sz w:val="18"/>
                      <w:szCs w:val="18"/>
                      <w:lang w:bidi="ar"/>
                    </w:rPr>
                    <w:t>无色透明液体，熔点12℃，沸点101℃，密度1.034g/cm</w:t>
                  </w:r>
                  <w:r>
                    <w:rPr>
                      <w:color w:val="auto"/>
                      <w:kern w:val="0"/>
                      <w:sz w:val="18"/>
                      <w:szCs w:val="18"/>
                      <w:vertAlign w:val="superscript"/>
                      <w:lang w:bidi="ar"/>
                    </w:rPr>
                    <w:t>3</w:t>
                  </w:r>
                  <w:r>
                    <w:rPr>
                      <w:color w:val="auto"/>
                      <w:kern w:val="0"/>
                      <w:sz w:val="18"/>
                      <w:szCs w:val="18"/>
                      <w:lang w:bidi="ar"/>
                    </w:rPr>
                    <w:t>。与水混溶，可混溶于多数有机溶剂。</w:t>
                  </w:r>
                </w:p>
              </w:tc>
              <w:tc>
                <w:tcPr>
                  <w:tcW w:w="589" w:type="pct"/>
                  <w:shd w:val="clear" w:color="auto" w:fill="auto"/>
                  <w:vAlign w:val="center"/>
                </w:tcPr>
                <w:p w14:paraId="458A7B4F">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71EB66AF">
                  <w:pPr>
                    <w:widowControl/>
                    <w:jc w:val="center"/>
                    <w:rPr>
                      <w:color w:val="auto"/>
                      <w:sz w:val="18"/>
                      <w:szCs w:val="18"/>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w:t>
                  </w:r>
                </w:p>
                <w:p w14:paraId="46FDCDCD">
                  <w:pPr>
                    <w:widowControl/>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5170mg/kg（大鼠经口）</w:t>
                  </w:r>
                </w:p>
              </w:tc>
            </w:tr>
            <w:tr w14:paraId="022C0E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34293CB2">
                  <w:pPr>
                    <w:adjustRightInd w:val="0"/>
                    <w:snapToGrid w:val="0"/>
                    <w:jc w:val="center"/>
                    <w:rPr>
                      <w:color w:val="auto"/>
                      <w:sz w:val="18"/>
                      <w:szCs w:val="18"/>
                    </w:rPr>
                  </w:pPr>
                  <w:r>
                    <w:rPr>
                      <w:color w:val="auto"/>
                      <w:sz w:val="18"/>
                      <w:szCs w:val="18"/>
                    </w:rPr>
                    <w:t>93</w:t>
                  </w:r>
                </w:p>
              </w:tc>
              <w:tc>
                <w:tcPr>
                  <w:tcW w:w="706" w:type="pct"/>
                  <w:shd w:val="clear" w:color="auto" w:fill="auto"/>
                  <w:vAlign w:val="center"/>
                </w:tcPr>
                <w:p w14:paraId="2D0A4C23">
                  <w:pPr>
                    <w:jc w:val="center"/>
                    <w:rPr>
                      <w:rFonts w:ascii="Times New Roman" w:hAnsi="Times New Roman" w:eastAsia="宋体" w:cs="Times New Roman"/>
                      <w:color w:val="auto"/>
                      <w:kern w:val="2"/>
                      <w:sz w:val="18"/>
                      <w:szCs w:val="18"/>
                      <w:lang w:val="en-US" w:eastAsia="zh-CN" w:bidi="ar-SA"/>
                    </w:rPr>
                  </w:pPr>
                  <w:r>
                    <w:rPr>
                      <w:color w:val="auto"/>
                      <w:sz w:val="18"/>
                      <w:szCs w:val="18"/>
                    </w:rPr>
                    <w:t>乳酸</w:t>
                  </w:r>
                </w:p>
              </w:tc>
              <w:tc>
                <w:tcPr>
                  <w:tcW w:w="2508" w:type="pct"/>
                  <w:shd w:val="clear" w:color="auto" w:fill="auto"/>
                  <w:vAlign w:val="top"/>
                </w:tcPr>
                <w:p w14:paraId="7F179B86">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无色至浅黄色液体，无气味，具有</w:t>
                  </w:r>
                  <w:r>
                    <w:rPr>
                      <w:color w:val="auto"/>
                    </w:rPr>
                    <w:fldChar w:fldCharType="begin"/>
                  </w:r>
                  <w:r>
                    <w:rPr>
                      <w:color w:val="auto"/>
                    </w:rPr>
                    <w:instrText xml:space="preserve"> HYPERLINK "https://baike.baidu.com/item/%E5%90%B8%E6%B9%BF%E6%80%A7/10930709?fromModule=lemma_inlink" \t "https://baike.baidu.com/item/_blank" </w:instrText>
                  </w:r>
                  <w:r>
                    <w:rPr>
                      <w:color w:val="auto"/>
                    </w:rPr>
                    <w:fldChar w:fldCharType="separate"/>
                  </w:r>
                  <w:r>
                    <w:rPr>
                      <w:color w:val="auto"/>
                      <w:sz w:val="18"/>
                      <w:szCs w:val="18"/>
                    </w:rPr>
                    <w:t>吸湿性</w:t>
                  </w:r>
                  <w:r>
                    <w:rPr>
                      <w:color w:val="auto"/>
                      <w:sz w:val="18"/>
                      <w:szCs w:val="18"/>
                    </w:rPr>
                    <w:fldChar w:fldCharType="end"/>
                  </w:r>
                  <w:r>
                    <w:rPr>
                      <w:color w:val="auto"/>
                      <w:sz w:val="18"/>
                      <w:szCs w:val="18"/>
                    </w:rPr>
                    <w:t>，能与</w:t>
                  </w:r>
                  <w:r>
                    <w:rPr>
                      <w:color w:val="auto"/>
                    </w:rPr>
                    <w:fldChar w:fldCharType="begin"/>
                  </w:r>
                  <w:r>
                    <w:rPr>
                      <w:color w:val="auto"/>
                    </w:rPr>
                    <w:instrText xml:space="preserve"> HYPERLINK "https://baike.baidu.com/item/%E6%B0%B4/34133?fromModule=lemma_inlink" \t "https://baike.baidu.com/item/_blank" </w:instrText>
                  </w:r>
                  <w:r>
                    <w:rPr>
                      <w:color w:val="auto"/>
                    </w:rPr>
                    <w:fldChar w:fldCharType="separate"/>
                  </w:r>
                  <w:r>
                    <w:rPr>
                      <w:color w:val="auto"/>
                      <w:sz w:val="18"/>
                      <w:szCs w:val="18"/>
                    </w:rPr>
                    <w:t>水</w:t>
                  </w:r>
                  <w:r>
                    <w:rPr>
                      <w:color w:val="auto"/>
                      <w:sz w:val="18"/>
                      <w:szCs w:val="18"/>
                    </w:rPr>
                    <w:fldChar w:fldCharType="end"/>
                  </w:r>
                  <w:r>
                    <w:rPr>
                      <w:color w:val="auto"/>
                      <w:sz w:val="18"/>
                      <w:szCs w:val="18"/>
                    </w:rPr>
                    <w:t>、</w:t>
                  </w:r>
                  <w:r>
                    <w:rPr>
                      <w:color w:val="auto"/>
                    </w:rPr>
                    <w:fldChar w:fldCharType="begin"/>
                  </w:r>
                  <w:r>
                    <w:rPr>
                      <w:color w:val="auto"/>
                    </w:rPr>
                    <w:instrText xml:space="preserve"> HYPERLINK "https://baike.baidu.com/item/%E4%B9%99%E9%86%87/135334?fromModule=lemma_inlink" \t "https://baike.baidu.com/item/_blank" </w:instrText>
                  </w:r>
                  <w:r>
                    <w:rPr>
                      <w:color w:val="auto"/>
                    </w:rPr>
                    <w:fldChar w:fldCharType="separate"/>
                  </w:r>
                  <w:r>
                    <w:rPr>
                      <w:color w:val="auto"/>
                      <w:sz w:val="18"/>
                      <w:szCs w:val="18"/>
                    </w:rPr>
                    <w:t>乙醇</w:t>
                  </w:r>
                  <w:r>
                    <w:rPr>
                      <w:color w:val="auto"/>
                      <w:sz w:val="18"/>
                      <w:szCs w:val="18"/>
                    </w:rPr>
                    <w:fldChar w:fldCharType="end"/>
                  </w:r>
                  <w:r>
                    <w:rPr>
                      <w:color w:val="auto"/>
                      <w:sz w:val="18"/>
                      <w:szCs w:val="18"/>
                    </w:rPr>
                    <w:t>、</w:t>
                  </w:r>
                  <w:r>
                    <w:rPr>
                      <w:color w:val="auto"/>
                    </w:rPr>
                    <w:fldChar w:fldCharType="begin"/>
                  </w:r>
                  <w:r>
                    <w:rPr>
                      <w:color w:val="auto"/>
                    </w:rPr>
                    <w:instrText xml:space="preserve"> HYPERLINK "https://baike.baidu.com/item/%E7%94%98%E6%B2%B9/99429?fromModule=lemma_inlink" \t "https://baike.baidu.com/item/_blank" </w:instrText>
                  </w:r>
                  <w:r>
                    <w:rPr>
                      <w:color w:val="auto"/>
                    </w:rPr>
                    <w:fldChar w:fldCharType="separate"/>
                  </w:r>
                  <w:r>
                    <w:rPr>
                      <w:color w:val="auto"/>
                      <w:sz w:val="18"/>
                      <w:szCs w:val="18"/>
                    </w:rPr>
                    <w:t>甘油</w:t>
                  </w:r>
                  <w:r>
                    <w:rPr>
                      <w:color w:val="auto"/>
                      <w:sz w:val="18"/>
                      <w:szCs w:val="18"/>
                    </w:rPr>
                    <w:fldChar w:fldCharType="end"/>
                  </w:r>
                  <w:r>
                    <w:rPr>
                      <w:color w:val="auto"/>
                      <w:sz w:val="18"/>
                      <w:szCs w:val="18"/>
                    </w:rPr>
                    <w:t>混溶，不溶于</w:t>
                  </w:r>
                  <w:r>
                    <w:rPr>
                      <w:color w:val="auto"/>
                    </w:rPr>
                    <w:fldChar w:fldCharType="begin"/>
                  </w:r>
                  <w:r>
                    <w:rPr>
                      <w:color w:val="auto"/>
                    </w:rPr>
                    <w:instrText xml:space="preserve"> HYPERLINK "https://baike.baidu.com/item/%E6%B0%AF%E4%BB%BF/521847?fromModule=lemma_inlink" \t "https://baike.baidu.com/item/_blank" </w:instrText>
                  </w:r>
                  <w:r>
                    <w:rPr>
                      <w:color w:val="auto"/>
                    </w:rPr>
                    <w:fldChar w:fldCharType="separate"/>
                  </w:r>
                  <w:r>
                    <w:rPr>
                      <w:color w:val="auto"/>
                      <w:sz w:val="18"/>
                      <w:szCs w:val="18"/>
                    </w:rPr>
                    <w:t>氯仿</w:t>
                  </w:r>
                  <w:r>
                    <w:rPr>
                      <w:color w:val="auto"/>
                      <w:sz w:val="18"/>
                      <w:szCs w:val="18"/>
                    </w:rPr>
                    <w:fldChar w:fldCharType="end"/>
                  </w:r>
                  <w:r>
                    <w:rPr>
                      <w:color w:val="auto"/>
                      <w:sz w:val="18"/>
                      <w:szCs w:val="18"/>
                    </w:rPr>
                    <w:t>（CH</w:t>
                  </w:r>
                  <w:r>
                    <w:rPr>
                      <w:color w:val="auto"/>
                      <w:sz w:val="18"/>
                      <w:szCs w:val="18"/>
                      <w:vertAlign w:val="subscript"/>
                    </w:rPr>
                    <w:t>3</w:t>
                  </w:r>
                  <w:r>
                    <w:rPr>
                      <w:color w:val="auto"/>
                      <w:sz w:val="18"/>
                      <w:szCs w:val="18"/>
                    </w:rPr>
                    <w:t>Cl）、</w:t>
                  </w:r>
                  <w:r>
                    <w:rPr>
                      <w:color w:val="auto"/>
                    </w:rPr>
                    <w:fldChar w:fldCharType="begin"/>
                  </w:r>
                  <w:r>
                    <w:rPr>
                      <w:color w:val="auto"/>
                    </w:rPr>
                    <w:instrText xml:space="preserve"> HYPERLINK "https://baike.baidu.com/item/%E4%BA%8C%E7%A1%AB%E5%8C%96%E7%A2%B3/6032457?fromModule=lemma_inlink" \t "https://baike.baidu.com/item/_blank" </w:instrText>
                  </w:r>
                  <w:r>
                    <w:rPr>
                      <w:color w:val="auto"/>
                    </w:rPr>
                    <w:fldChar w:fldCharType="separate"/>
                  </w:r>
                  <w:r>
                    <w:rPr>
                      <w:color w:val="auto"/>
                      <w:sz w:val="18"/>
                      <w:szCs w:val="18"/>
                    </w:rPr>
                    <w:t>二硫化碳</w:t>
                  </w:r>
                  <w:r>
                    <w:rPr>
                      <w:color w:val="auto"/>
                      <w:sz w:val="18"/>
                      <w:szCs w:val="18"/>
                    </w:rPr>
                    <w:fldChar w:fldCharType="end"/>
                  </w:r>
                  <w:r>
                    <w:rPr>
                      <w:color w:val="auto"/>
                      <w:sz w:val="18"/>
                      <w:szCs w:val="18"/>
                    </w:rPr>
                    <w:t>（CS</w:t>
                  </w:r>
                  <w:r>
                    <w:rPr>
                      <w:color w:val="auto"/>
                      <w:sz w:val="18"/>
                      <w:szCs w:val="18"/>
                      <w:vertAlign w:val="subscript"/>
                    </w:rPr>
                    <w:t>2</w:t>
                  </w:r>
                  <w:r>
                    <w:rPr>
                      <w:color w:val="auto"/>
                      <w:sz w:val="18"/>
                      <w:szCs w:val="18"/>
                    </w:rPr>
                    <w:t>）和</w:t>
                  </w:r>
                  <w:r>
                    <w:rPr>
                      <w:color w:val="auto"/>
                    </w:rPr>
                    <w:fldChar w:fldCharType="begin"/>
                  </w:r>
                  <w:r>
                    <w:rPr>
                      <w:color w:val="auto"/>
                    </w:rPr>
                    <w:instrText xml:space="preserve"> HYPERLINK "https://baike.baidu.com/item/%E7%9F%B3%E6%B2%B9%E9%86%9A/2519986?fromModule=lemma_inlink" \t "https://baike.baidu.com/item/_blank" </w:instrText>
                  </w:r>
                  <w:r>
                    <w:rPr>
                      <w:color w:val="auto"/>
                    </w:rPr>
                    <w:fldChar w:fldCharType="separate"/>
                  </w:r>
                  <w:r>
                    <w:rPr>
                      <w:color w:val="auto"/>
                      <w:sz w:val="18"/>
                      <w:szCs w:val="18"/>
                    </w:rPr>
                    <w:t>石油醚</w:t>
                  </w:r>
                  <w:r>
                    <w:rPr>
                      <w:color w:val="auto"/>
                      <w:sz w:val="18"/>
                      <w:szCs w:val="18"/>
                    </w:rPr>
                    <w:fldChar w:fldCharType="end"/>
                  </w:r>
                  <w:r>
                    <w:rPr>
                      <w:color w:val="auto"/>
                      <w:sz w:val="18"/>
                      <w:szCs w:val="18"/>
                    </w:rPr>
                    <w:t>。沸点227.6℃，密度1.209 g/cm</w:t>
                  </w:r>
                  <w:r>
                    <w:rPr>
                      <w:rFonts w:hint="eastAsia"/>
                      <w:color w:val="auto"/>
                      <w:sz w:val="18"/>
                      <w:szCs w:val="18"/>
                      <w:vertAlign w:val="superscript"/>
                    </w:rPr>
                    <w:t>3</w:t>
                  </w:r>
                  <w:r>
                    <w:rPr>
                      <w:color w:val="auto"/>
                      <w:sz w:val="18"/>
                      <w:szCs w:val="18"/>
                    </w:rPr>
                    <w:t>。</w:t>
                  </w:r>
                </w:p>
              </w:tc>
              <w:tc>
                <w:tcPr>
                  <w:tcW w:w="589" w:type="pct"/>
                  <w:shd w:val="clear" w:color="auto" w:fill="auto"/>
                  <w:vAlign w:val="center"/>
                </w:tcPr>
                <w:p w14:paraId="47B66874">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易燃</w:t>
                  </w:r>
                </w:p>
              </w:tc>
              <w:tc>
                <w:tcPr>
                  <w:tcW w:w="803" w:type="pct"/>
                  <w:shd w:val="clear" w:color="auto" w:fill="auto"/>
                  <w:vAlign w:val="center"/>
                </w:tcPr>
                <w:p w14:paraId="379A1814">
                  <w:pPr>
                    <w:widowControl/>
                    <w:jc w:val="center"/>
                    <w:rPr>
                      <w:color w:val="auto"/>
                      <w:sz w:val="18"/>
                      <w:szCs w:val="18"/>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w:t>
                  </w:r>
                </w:p>
                <w:p w14:paraId="1A0931F3">
                  <w:pPr>
                    <w:widowControl/>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3</w:t>
                  </w:r>
                  <w:r>
                    <w:rPr>
                      <w:rFonts w:hint="eastAsia"/>
                      <w:color w:val="auto"/>
                      <w:kern w:val="0"/>
                      <w:sz w:val="18"/>
                      <w:szCs w:val="18"/>
                      <w:lang w:bidi="ar"/>
                    </w:rPr>
                    <w:t>730</w:t>
                  </w:r>
                  <w:r>
                    <w:rPr>
                      <w:color w:val="auto"/>
                      <w:kern w:val="0"/>
                      <w:sz w:val="18"/>
                      <w:szCs w:val="18"/>
                      <w:lang w:bidi="ar"/>
                    </w:rPr>
                    <w:t>mg/kg（大鼠经口）</w:t>
                  </w:r>
                </w:p>
              </w:tc>
            </w:tr>
            <w:tr w14:paraId="089420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391" w:type="pct"/>
                  <w:vAlign w:val="center"/>
                </w:tcPr>
                <w:p w14:paraId="6F3ADB61">
                  <w:pPr>
                    <w:adjustRightInd w:val="0"/>
                    <w:snapToGrid w:val="0"/>
                    <w:jc w:val="center"/>
                    <w:rPr>
                      <w:color w:val="auto"/>
                      <w:sz w:val="18"/>
                      <w:szCs w:val="18"/>
                    </w:rPr>
                  </w:pPr>
                  <w:r>
                    <w:rPr>
                      <w:color w:val="auto"/>
                      <w:sz w:val="18"/>
                      <w:szCs w:val="18"/>
                    </w:rPr>
                    <w:t>94</w:t>
                  </w:r>
                </w:p>
              </w:tc>
              <w:tc>
                <w:tcPr>
                  <w:tcW w:w="706" w:type="pct"/>
                  <w:shd w:val="clear" w:color="auto" w:fill="auto"/>
                  <w:vAlign w:val="center"/>
                </w:tcPr>
                <w:p w14:paraId="3FFF19B8">
                  <w:pPr>
                    <w:jc w:val="center"/>
                    <w:rPr>
                      <w:rFonts w:ascii="Times New Roman" w:hAnsi="Times New Roman" w:eastAsia="宋体" w:cs="Times New Roman"/>
                      <w:color w:val="auto"/>
                      <w:kern w:val="2"/>
                      <w:sz w:val="18"/>
                      <w:szCs w:val="18"/>
                      <w:lang w:val="en-US" w:eastAsia="zh-CN" w:bidi="ar-SA"/>
                    </w:rPr>
                  </w:pPr>
                  <w:r>
                    <w:rPr>
                      <w:color w:val="auto"/>
                      <w:sz w:val="18"/>
                      <w:szCs w:val="18"/>
                    </w:rPr>
                    <w:t>异丙苯</w:t>
                  </w:r>
                </w:p>
              </w:tc>
              <w:tc>
                <w:tcPr>
                  <w:tcW w:w="2508" w:type="pct"/>
                  <w:shd w:val="clear" w:color="auto" w:fill="auto"/>
                  <w:vAlign w:val="center"/>
                </w:tcPr>
                <w:p w14:paraId="388A6D9A">
                  <w:pPr>
                    <w:adjustRightInd w:val="0"/>
                    <w:snapToGrid w:val="0"/>
                    <w:rPr>
                      <w:rFonts w:ascii="Times New Roman" w:hAnsi="Times New Roman" w:eastAsia="宋体" w:cs="Times New Roman"/>
                      <w:color w:val="auto"/>
                      <w:kern w:val="2"/>
                      <w:sz w:val="18"/>
                      <w:szCs w:val="18"/>
                      <w:lang w:val="en-US" w:eastAsia="zh-CN" w:bidi="ar-SA"/>
                    </w:rPr>
                  </w:pPr>
                  <w:r>
                    <w:rPr>
                      <w:color w:val="auto"/>
                      <w:sz w:val="18"/>
                      <w:szCs w:val="18"/>
                    </w:rPr>
                    <w:t>无色液体，不溶于水，溶于乙醇、乙醚等有机溶剂。熔点-96℃，沸点152~154℃，密度0.869g/cm</w:t>
                  </w:r>
                  <w:r>
                    <w:rPr>
                      <w:rFonts w:hint="eastAsia"/>
                      <w:color w:val="auto"/>
                      <w:sz w:val="18"/>
                      <w:szCs w:val="18"/>
                      <w:vertAlign w:val="superscript"/>
                    </w:rPr>
                    <w:t>3</w:t>
                  </w:r>
                  <w:r>
                    <w:rPr>
                      <w:color w:val="auto"/>
                      <w:sz w:val="18"/>
                      <w:szCs w:val="18"/>
                    </w:rPr>
                    <w:t>，闪点31℃。</w:t>
                  </w:r>
                </w:p>
              </w:tc>
              <w:tc>
                <w:tcPr>
                  <w:tcW w:w="589" w:type="pct"/>
                  <w:shd w:val="clear" w:color="auto" w:fill="auto"/>
                  <w:vAlign w:val="center"/>
                </w:tcPr>
                <w:p w14:paraId="319B8AE8">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易燃</w:t>
                  </w:r>
                </w:p>
              </w:tc>
              <w:tc>
                <w:tcPr>
                  <w:tcW w:w="803" w:type="pct"/>
                  <w:shd w:val="clear" w:color="auto" w:fill="auto"/>
                  <w:vAlign w:val="center"/>
                </w:tcPr>
                <w:p w14:paraId="5E21C9A2">
                  <w:pPr>
                    <w:widowControl/>
                    <w:jc w:val="center"/>
                    <w:rPr>
                      <w:color w:val="auto"/>
                      <w:sz w:val="18"/>
                      <w:szCs w:val="18"/>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w:t>
                  </w:r>
                </w:p>
                <w:p w14:paraId="0CF797D6">
                  <w:pPr>
                    <w:widowControl/>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1400mg/kg（大鼠经口）</w:t>
                  </w:r>
                </w:p>
              </w:tc>
            </w:tr>
            <w:tr w14:paraId="78BE7D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391" w:type="pct"/>
                  <w:vAlign w:val="center"/>
                </w:tcPr>
                <w:p w14:paraId="35B67D17">
                  <w:pPr>
                    <w:adjustRightInd w:val="0"/>
                    <w:snapToGrid w:val="0"/>
                    <w:jc w:val="center"/>
                    <w:rPr>
                      <w:color w:val="auto"/>
                      <w:sz w:val="18"/>
                      <w:szCs w:val="18"/>
                    </w:rPr>
                  </w:pPr>
                  <w:r>
                    <w:rPr>
                      <w:color w:val="auto"/>
                      <w:sz w:val="18"/>
                      <w:szCs w:val="18"/>
                    </w:rPr>
                    <w:t>95</w:t>
                  </w:r>
                </w:p>
              </w:tc>
              <w:tc>
                <w:tcPr>
                  <w:tcW w:w="706" w:type="pct"/>
                  <w:shd w:val="clear" w:color="auto" w:fill="auto"/>
                  <w:vAlign w:val="center"/>
                </w:tcPr>
                <w:p w14:paraId="34E9B8F1">
                  <w:pPr>
                    <w:jc w:val="center"/>
                    <w:rPr>
                      <w:rFonts w:ascii="Times New Roman" w:hAnsi="Times New Roman" w:eastAsia="宋体" w:cs="Times New Roman"/>
                      <w:color w:val="auto"/>
                      <w:kern w:val="2"/>
                      <w:sz w:val="18"/>
                      <w:szCs w:val="18"/>
                      <w:lang w:val="en-US" w:eastAsia="zh-CN" w:bidi="ar-SA"/>
                    </w:rPr>
                  </w:pPr>
                  <w:r>
                    <w:rPr>
                      <w:color w:val="auto"/>
                      <w:sz w:val="18"/>
                      <w:szCs w:val="18"/>
                    </w:rPr>
                    <w:t>对二甲苯</w:t>
                  </w:r>
                </w:p>
              </w:tc>
              <w:tc>
                <w:tcPr>
                  <w:tcW w:w="2508" w:type="pct"/>
                  <w:shd w:val="clear" w:color="auto" w:fill="auto"/>
                  <w:vAlign w:val="center"/>
                </w:tcPr>
                <w:p w14:paraId="0568CA60">
                  <w:pPr>
                    <w:adjustRightInd w:val="0"/>
                    <w:snapToGrid w:val="0"/>
                    <w:rPr>
                      <w:rFonts w:ascii="Times New Roman" w:hAnsi="Times New Roman" w:eastAsia="宋体" w:cs="Times New Roman"/>
                      <w:color w:val="auto"/>
                      <w:kern w:val="2"/>
                      <w:sz w:val="18"/>
                      <w:szCs w:val="18"/>
                      <w:lang w:val="en-US" w:eastAsia="zh-CN" w:bidi="ar-SA"/>
                    </w:rPr>
                  </w:pPr>
                  <w:r>
                    <w:rPr>
                      <w:color w:val="auto"/>
                      <w:sz w:val="18"/>
                      <w:szCs w:val="18"/>
                    </w:rPr>
                    <w:t>常温下为无色透明液体，具有芳香气味，熔点13.</w:t>
                  </w:r>
                  <w:r>
                    <w:rPr>
                      <w:rFonts w:hint="eastAsia"/>
                      <w:color w:val="auto"/>
                      <w:sz w:val="18"/>
                      <w:szCs w:val="18"/>
                    </w:rPr>
                    <w:t>3</w:t>
                  </w:r>
                  <w:r>
                    <w:rPr>
                      <w:color w:val="auto"/>
                      <w:sz w:val="18"/>
                      <w:szCs w:val="18"/>
                    </w:rPr>
                    <w:t>℃，沸点138.4℃，密度0.8</w:t>
                  </w:r>
                  <w:r>
                    <w:rPr>
                      <w:rFonts w:hint="eastAsia"/>
                      <w:color w:val="auto"/>
                      <w:sz w:val="18"/>
                      <w:szCs w:val="18"/>
                    </w:rPr>
                    <w:t>57</w:t>
                  </w:r>
                  <w:r>
                    <w:rPr>
                      <w:color w:val="auto"/>
                      <w:sz w:val="18"/>
                      <w:szCs w:val="18"/>
                    </w:rPr>
                    <w:t>g/cm</w:t>
                  </w:r>
                  <w:r>
                    <w:rPr>
                      <w:rFonts w:hint="eastAsia"/>
                      <w:color w:val="auto"/>
                      <w:sz w:val="18"/>
                      <w:szCs w:val="18"/>
                      <w:vertAlign w:val="superscript"/>
                    </w:rPr>
                    <w:t>3</w:t>
                  </w:r>
                  <w:r>
                    <w:rPr>
                      <w:color w:val="auto"/>
                      <w:sz w:val="18"/>
                      <w:szCs w:val="18"/>
                    </w:rPr>
                    <w:t>。‌不溶于水，可混溶于乙醇、乙醚、氯仿等有机溶剂。</w:t>
                  </w:r>
                </w:p>
              </w:tc>
              <w:tc>
                <w:tcPr>
                  <w:tcW w:w="589" w:type="pct"/>
                  <w:shd w:val="clear" w:color="auto" w:fill="auto"/>
                  <w:vAlign w:val="center"/>
                </w:tcPr>
                <w:p w14:paraId="202869AB">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易燃</w:t>
                  </w:r>
                </w:p>
              </w:tc>
              <w:tc>
                <w:tcPr>
                  <w:tcW w:w="803" w:type="pct"/>
                  <w:shd w:val="clear" w:color="auto" w:fill="auto"/>
                  <w:vAlign w:val="center"/>
                </w:tcPr>
                <w:p w14:paraId="23B1FCF1">
                  <w:pPr>
                    <w:widowControl/>
                    <w:jc w:val="center"/>
                    <w:rPr>
                      <w:color w:val="auto"/>
                      <w:sz w:val="18"/>
                      <w:szCs w:val="18"/>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w:t>
                  </w:r>
                </w:p>
                <w:p w14:paraId="60FF2C06">
                  <w:pPr>
                    <w:widowControl/>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5000mg/kg（大鼠经口）</w:t>
                  </w:r>
                </w:p>
              </w:tc>
            </w:tr>
            <w:tr w14:paraId="080033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391" w:type="pct"/>
                  <w:vAlign w:val="center"/>
                </w:tcPr>
                <w:p w14:paraId="3EE5E1DA">
                  <w:pPr>
                    <w:adjustRightInd w:val="0"/>
                    <w:snapToGrid w:val="0"/>
                    <w:jc w:val="center"/>
                    <w:rPr>
                      <w:color w:val="auto"/>
                      <w:sz w:val="18"/>
                      <w:szCs w:val="18"/>
                    </w:rPr>
                  </w:pPr>
                  <w:r>
                    <w:rPr>
                      <w:color w:val="auto"/>
                      <w:sz w:val="18"/>
                      <w:szCs w:val="18"/>
                    </w:rPr>
                    <w:t>96</w:t>
                  </w:r>
                </w:p>
              </w:tc>
              <w:tc>
                <w:tcPr>
                  <w:tcW w:w="706" w:type="pct"/>
                  <w:shd w:val="clear" w:color="auto" w:fill="auto"/>
                  <w:vAlign w:val="center"/>
                </w:tcPr>
                <w:p w14:paraId="14163EBE">
                  <w:pPr>
                    <w:jc w:val="center"/>
                    <w:rPr>
                      <w:rFonts w:ascii="Times New Roman" w:hAnsi="Times New Roman" w:eastAsia="宋体" w:cs="Times New Roman"/>
                      <w:color w:val="auto"/>
                      <w:kern w:val="2"/>
                      <w:sz w:val="18"/>
                      <w:szCs w:val="18"/>
                      <w:lang w:val="en-US" w:eastAsia="zh-CN" w:bidi="ar-SA"/>
                    </w:rPr>
                  </w:pPr>
                  <w:r>
                    <w:rPr>
                      <w:color w:val="auto"/>
                      <w:sz w:val="18"/>
                      <w:szCs w:val="18"/>
                    </w:rPr>
                    <w:t>邻二甲苯</w:t>
                  </w:r>
                </w:p>
              </w:tc>
              <w:tc>
                <w:tcPr>
                  <w:tcW w:w="2508" w:type="pct"/>
                  <w:shd w:val="clear" w:color="auto" w:fill="auto"/>
                  <w:vAlign w:val="top"/>
                </w:tcPr>
                <w:p w14:paraId="3471AAA2">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无色透明液体，熔点-2</w:t>
                  </w:r>
                  <w:r>
                    <w:rPr>
                      <w:rFonts w:hint="eastAsia"/>
                      <w:color w:val="auto"/>
                      <w:sz w:val="18"/>
                      <w:szCs w:val="18"/>
                    </w:rPr>
                    <w:t>6</w:t>
                  </w:r>
                  <w:r>
                    <w:rPr>
                      <w:color w:val="auto"/>
                      <w:sz w:val="18"/>
                      <w:szCs w:val="18"/>
                    </w:rPr>
                    <w:t>~</w:t>
                  </w:r>
                  <w:r>
                    <w:rPr>
                      <w:rFonts w:hint="eastAsia"/>
                      <w:color w:val="auto"/>
                      <w:sz w:val="18"/>
                      <w:szCs w:val="18"/>
                    </w:rPr>
                    <w:t>-23</w:t>
                  </w:r>
                  <w:r>
                    <w:rPr>
                      <w:color w:val="auto"/>
                      <w:sz w:val="18"/>
                      <w:szCs w:val="18"/>
                    </w:rPr>
                    <w:t>℃，沸点143~145℃，密度0.879 g/cm</w:t>
                  </w:r>
                  <w:r>
                    <w:rPr>
                      <w:rFonts w:hint="eastAsia"/>
                      <w:color w:val="auto"/>
                      <w:sz w:val="18"/>
                      <w:szCs w:val="18"/>
                      <w:vertAlign w:val="superscript"/>
                    </w:rPr>
                    <w:t>3</w:t>
                  </w:r>
                  <w:r>
                    <w:rPr>
                      <w:color w:val="auto"/>
                      <w:sz w:val="18"/>
                      <w:szCs w:val="18"/>
                    </w:rPr>
                    <w:t>‌。不溶于水，可混溶于乙醇、乙醚、氯仿等多数有机溶剂。</w:t>
                  </w:r>
                </w:p>
              </w:tc>
              <w:tc>
                <w:tcPr>
                  <w:tcW w:w="589" w:type="pct"/>
                  <w:shd w:val="clear" w:color="auto" w:fill="auto"/>
                  <w:vAlign w:val="center"/>
                </w:tcPr>
                <w:p w14:paraId="07ABD7C1">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易燃</w:t>
                  </w:r>
                </w:p>
              </w:tc>
              <w:tc>
                <w:tcPr>
                  <w:tcW w:w="803" w:type="pct"/>
                  <w:shd w:val="clear" w:color="auto" w:fill="auto"/>
                  <w:vAlign w:val="center"/>
                </w:tcPr>
                <w:p w14:paraId="3CD4C8D9">
                  <w:pPr>
                    <w:widowControl/>
                    <w:jc w:val="center"/>
                    <w:rPr>
                      <w:color w:val="auto"/>
                      <w:sz w:val="18"/>
                      <w:szCs w:val="18"/>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w:t>
                  </w:r>
                </w:p>
                <w:p w14:paraId="2EFFE267">
                  <w:pPr>
                    <w:adjustRightInd w:val="0"/>
                    <w:snapToGrid w:val="0"/>
                    <w:jc w:val="center"/>
                    <w:rPr>
                      <w:rFonts w:ascii="Times New Roman" w:hAnsi="Times New Roman" w:eastAsia="宋体" w:cs="Times New Roman"/>
                      <w:color w:val="auto"/>
                      <w:kern w:val="2"/>
                      <w:sz w:val="18"/>
                      <w:szCs w:val="18"/>
                      <w:lang w:val="en-US" w:eastAsia="zh-CN" w:bidi="ar-SA"/>
                    </w:rPr>
                  </w:pPr>
                  <w:r>
                    <w:rPr>
                      <w:rFonts w:hint="eastAsia"/>
                      <w:color w:val="auto"/>
                      <w:kern w:val="0"/>
                      <w:sz w:val="18"/>
                      <w:szCs w:val="18"/>
                      <w:lang w:bidi="ar"/>
                    </w:rPr>
                    <w:t>1364</w:t>
                  </w:r>
                  <w:r>
                    <w:rPr>
                      <w:color w:val="auto"/>
                      <w:kern w:val="0"/>
                      <w:sz w:val="18"/>
                      <w:szCs w:val="18"/>
                      <w:lang w:bidi="ar"/>
                    </w:rPr>
                    <w:t>mg/kg （小鼠静脉）</w:t>
                  </w:r>
                  <w:r>
                    <w:rPr>
                      <w:rStyle w:val="26"/>
                      <w:bCs/>
                      <w:color w:val="auto"/>
                      <w:sz w:val="18"/>
                      <w:szCs w:val="18"/>
                      <w:shd w:val="clear" w:color="auto" w:fill="FFFFFF"/>
                    </w:rPr>
                    <w:t>‌‌</w:t>
                  </w:r>
                  <w:r>
                    <w:rPr>
                      <w:color w:val="auto"/>
                      <w:sz w:val="18"/>
                      <w:szCs w:val="18"/>
                      <w:shd w:val="clear" w:color="auto" w:fill="FFFFFF"/>
                    </w:rPr>
                    <w:t>‌</w:t>
                  </w:r>
                </w:p>
              </w:tc>
            </w:tr>
            <w:tr w14:paraId="6A6FFA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391" w:type="pct"/>
                  <w:vAlign w:val="center"/>
                </w:tcPr>
                <w:p w14:paraId="0AC2C47B">
                  <w:pPr>
                    <w:adjustRightInd w:val="0"/>
                    <w:snapToGrid w:val="0"/>
                    <w:jc w:val="center"/>
                    <w:rPr>
                      <w:color w:val="auto"/>
                      <w:sz w:val="18"/>
                      <w:szCs w:val="18"/>
                    </w:rPr>
                  </w:pPr>
                  <w:r>
                    <w:rPr>
                      <w:color w:val="auto"/>
                      <w:sz w:val="18"/>
                      <w:szCs w:val="18"/>
                    </w:rPr>
                    <w:t>97</w:t>
                  </w:r>
                </w:p>
              </w:tc>
              <w:tc>
                <w:tcPr>
                  <w:tcW w:w="706" w:type="pct"/>
                  <w:shd w:val="clear" w:color="auto" w:fill="auto"/>
                  <w:vAlign w:val="center"/>
                </w:tcPr>
                <w:p w14:paraId="6CF86644">
                  <w:pPr>
                    <w:jc w:val="center"/>
                    <w:rPr>
                      <w:rFonts w:ascii="Times New Roman" w:hAnsi="Times New Roman" w:eastAsia="宋体" w:cs="Times New Roman"/>
                      <w:color w:val="auto"/>
                      <w:kern w:val="2"/>
                      <w:sz w:val="18"/>
                      <w:szCs w:val="18"/>
                      <w:lang w:val="en-US" w:eastAsia="zh-CN" w:bidi="ar-SA"/>
                    </w:rPr>
                  </w:pPr>
                  <w:r>
                    <w:rPr>
                      <w:color w:val="auto"/>
                      <w:sz w:val="18"/>
                      <w:szCs w:val="18"/>
                    </w:rPr>
                    <w:t>间二甲苯</w:t>
                  </w:r>
                </w:p>
              </w:tc>
              <w:tc>
                <w:tcPr>
                  <w:tcW w:w="2508" w:type="pct"/>
                  <w:shd w:val="clear" w:color="auto" w:fill="auto"/>
                  <w:vAlign w:val="center"/>
                </w:tcPr>
                <w:p w14:paraId="107838C4">
                  <w:pPr>
                    <w:adjustRightInd w:val="0"/>
                    <w:snapToGrid w:val="0"/>
                    <w:rPr>
                      <w:rFonts w:ascii="Times New Roman" w:hAnsi="Times New Roman" w:eastAsia="宋体" w:cs="Times New Roman"/>
                      <w:color w:val="auto"/>
                      <w:kern w:val="2"/>
                      <w:sz w:val="18"/>
                      <w:szCs w:val="18"/>
                      <w:lang w:val="en-US" w:eastAsia="zh-CN" w:bidi="ar-SA"/>
                    </w:rPr>
                  </w:pPr>
                  <w:r>
                    <w:rPr>
                      <w:color w:val="auto"/>
                      <w:sz w:val="18"/>
                      <w:szCs w:val="18"/>
                    </w:rPr>
                    <w:t>无色透明液体，有类似甲苯的芳香气味，熔点-4</w:t>
                  </w:r>
                  <w:r>
                    <w:rPr>
                      <w:rFonts w:hint="eastAsia"/>
                      <w:color w:val="auto"/>
                      <w:sz w:val="18"/>
                      <w:szCs w:val="18"/>
                    </w:rPr>
                    <w:t>8</w:t>
                  </w:r>
                  <w:r>
                    <w:rPr>
                      <w:color w:val="auto"/>
                      <w:sz w:val="18"/>
                      <w:szCs w:val="18"/>
                    </w:rPr>
                    <w:t>℃，沸点139℃，密度0.868 g/cm</w:t>
                  </w:r>
                  <w:r>
                    <w:rPr>
                      <w:rFonts w:hint="eastAsia"/>
                      <w:color w:val="auto"/>
                      <w:sz w:val="18"/>
                      <w:szCs w:val="18"/>
                      <w:vertAlign w:val="superscript"/>
                    </w:rPr>
                    <w:t>3</w:t>
                  </w:r>
                  <w:r>
                    <w:rPr>
                      <w:color w:val="auto"/>
                      <w:sz w:val="18"/>
                      <w:szCs w:val="18"/>
                    </w:rPr>
                    <w:t>‌。不溶于水可混溶于乙醇、乙醚、氯仿等多数有机溶剂‌。‌</w:t>
                  </w:r>
                </w:p>
              </w:tc>
              <w:tc>
                <w:tcPr>
                  <w:tcW w:w="589" w:type="pct"/>
                  <w:shd w:val="clear" w:color="auto" w:fill="auto"/>
                  <w:vAlign w:val="center"/>
                </w:tcPr>
                <w:p w14:paraId="2F3C2DDE">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易燃</w:t>
                  </w:r>
                </w:p>
              </w:tc>
              <w:tc>
                <w:tcPr>
                  <w:tcW w:w="803" w:type="pct"/>
                  <w:shd w:val="clear" w:color="auto" w:fill="auto"/>
                  <w:vAlign w:val="center"/>
                </w:tcPr>
                <w:p w14:paraId="70C45CC1">
                  <w:pPr>
                    <w:widowControl/>
                    <w:jc w:val="center"/>
                    <w:rPr>
                      <w:color w:val="auto"/>
                      <w:sz w:val="18"/>
                      <w:szCs w:val="18"/>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w:t>
                  </w:r>
                </w:p>
                <w:p w14:paraId="0EE21049">
                  <w:pPr>
                    <w:widowControl/>
                    <w:jc w:val="center"/>
                    <w:rPr>
                      <w:rFonts w:ascii="Times New Roman" w:hAnsi="Times New Roman" w:eastAsia="宋体" w:cs="Times New Roman"/>
                      <w:color w:val="auto"/>
                      <w:kern w:val="2"/>
                      <w:sz w:val="18"/>
                      <w:szCs w:val="18"/>
                      <w:lang w:val="en-US" w:eastAsia="zh-CN" w:bidi="ar-SA"/>
                    </w:rPr>
                  </w:pPr>
                  <w:r>
                    <w:rPr>
                      <w:rFonts w:hint="eastAsia"/>
                      <w:color w:val="auto"/>
                      <w:kern w:val="0"/>
                      <w:sz w:val="18"/>
                      <w:szCs w:val="18"/>
                      <w:lang w:bidi="ar"/>
                    </w:rPr>
                    <w:t>50</w:t>
                  </w:r>
                  <w:r>
                    <w:rPr>
                      <w:color w:val="auto"/>
                      <w:kern w:val="0"/>
                      <w:sz w:val="18"/>
                      <w:szCs w:val="18"/>
                      <w:lang w:bidi="ar"/>
                    </w:rPr>
                    <w:t>00mg/kg（大鼠经口）</w:t>
                  </w:r>
                </w:p>
              </w:tc>
            </w:tr>
            <w:tr w14:paraId="074667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64F66324">
                  <w:pPr>
                    <w:adjustRightInd w:val="0"/>
                    <w:snapToGrid w:val="0"/>
                    <w:jc w:val="center"/>
                    <w:rPr>
                      <w:color w:val="auto"/>
                      <w:sz w:val="18"/>
                      <w:szCs w:val="18"/>
                    </w:rPr>
                  </w:pPr>
                  <w:r>
                    <w:rPr>
                      <w:color w:val="auto"/>
                      <w:sz w:val="18"/>
                      <w:szCs w:val="18"/>
                    </w:rPr>
                    <w:t>98</w:t>
                  </w:r>
                </w:p>
              </w:tc>
              <w:tc>
                <w:tcPr>
                  <w:tcW w:w="706" w:type="pct"/>
                  <w:shd w:val="clear" w:color="auto" w:fill="auto"/>
                  <w:vAlign w:val="center"/>
                </w:tcPr>
                <w:p w14:paraId="5B464AE5">
                  <w:pPr>
                    <w:jc w:val="center"/>
                    <w:rPr>
                      <w:rFonts w:ascii="Times New Roman" w:hAnsi="Times New Roman" w:eastAsia="宋体" w:cs="Times New Roman"/>
                      <w:color w:val="auto"/>
                      <w:kern w:val="2"/>
                      <w:sz w:val="18"/>
                      <w:szCs w:val="18"/>
                      <w:lang w:val="en-US" w:eastAsia="zh-CN" w:bidi="ar-SA"/>
                    </w:rPr>
                  </w:pPr>
                  <w:r>
                    <w:rPr>
                      <w:color w:val="auto"/>
                      <w:sz w:val="18"/>
                      <w:szCs w:val="18"/>
                    </w:rPr>
                    <w:t>苯乙烯</w:t>
                  </w:r>
                </w:p>
              </w:tc>
              <w:tc>
                <w:tcPr>
                  <w:tcW w:w="2508" w:type="pct"/>
                  <w:shd w:val="clear" w:color="auto" w:fill="auto"/>
                  <w:vAlign w:val="center"/>
                </w:tcPr>
                <w:p w14:paraId="32B425D5">
                  <w:pPr>
                    <w:adjustRightInd w:val="0"/>
                    <w:snapToGrid w:val="0"/>
                    <w:rPr>
                      <w:rFonts w:ascii="Times New Roman" w:hAnsi="Times New Roman" w:eastAsia="宋体" w:cs="Times New Roman"/>
                      <w:color w:val="auto"/>
                      <w:kern w:val="2"/>
                      <w:sz w:val="18"/>
                      <w:szCs w:val="18"/>
                      <w:lang w:val="en-US" w:eastAsia="zh-CN" w:bidi="ar-SA"/>
                    </w:rPr>
                  </w:pPr>
                  <w:r>
                    <w:rPr>
                      <w:color w:val="auto"/>
                      <w:sz w:val="18"/>
                      <w:szCs w:val="18"/>
                    </w:rPr>
                    <w:t>常温下为无色透明油状液体，沸点145.2℃，熔点-3</w:t>
                  </w:r>
                  <w:r>
                    <w:rPr>
                      <w:rFonts w:hint="eastAsia"/>
                      <w:color w:val="auto"/>
                      <w:sz w:val="18"/>
                      <w:szCs w:val="18"/>
                    </w:rPr>
                    <w:t>1.5</w:t>
                  </w:r>
                  <w:r>
                    <w:rPr>
                      <w:color w:val="auto"/>
                      <w:sz w:val="18"/>
                      <w:szCs w:val="18"/>
                    </w:rPr>
                    <w:t>℃，密度0.906 g/cm</w:t>
                  </w:r>
                  <w:r>
                    <w:rPr>
                      <w:rFonts w:hint="eastAsia"/>
                      <w:color w:val="auto"/>
                      <w:sz w:val="18"/>
                      <w:szCs w:val="18"/>
                      <w:vertAlign w:val="superscript"/>
                    </w:rPr>
                    <w:t>3</w:t>
                  </w:r>
                  <w:r>
                    <w:rPr>
                      <w:color w:val="auto"/>
                      <w:sz w:val="18"/>
                      <w:szCs w:val="18"/>
                    </w:rPr>
                    <w:t>。不溶于水，溶于乙醇、乙醚等有机溶剂。</w:t>
                  </w:r>
                </w:p>
              </w:tc>
              <w:tc>
                <w:tcPr>
                  <w:tcW w:w="589" w:type="pct"/>
                  <w:shd w:val="clear" w:color="auto" w:fill="auto"/>
                  <w:vAlign w:val="center"/>
                </w:tcPr>
                <w:p w14:paraId="441C32C5">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易燃</w:t>
                  </w:r>
                </w:p>
              </w:tc>
              <w:tc>
                <w:tcPr>
                  <w:tcW w:w="803" w:type="pct"/>
                  <w:shd w:val="clear" w:color="auto" w:fill="auto"/>
                  <w:vAlign w:val="center"/>
                </w:tcPr>
                <w:p w14:paraId="458F98FA">
                  <w:pPr>
                    <w:widowControl/>
                    <w:jc w:val="center"/>
                    <w:rPr>
                      <w:color w:val="auto"/>
                      <w:sz w:val="18"/>
                      <w:szCs w:val="18"/>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w:t>
                  </w:r>
                </w:p>
                <w:p w14:paraId="7DF93CC0">
                  <w:pPr>
                    <w:widowControl/>
                    <w:jc w:val="center"/>
                    <w:rPr>
                      <w:rFonts w:ascii="Times New Roman" w:hAnsi="Times New Roman" w:eastAsia="宋体" w:cs="Times New Roman"/>
                      <w:color w:val="auto"/>
                      <w:kern w:val="2"/>
                      <w:sz w:val="18"/>
                      <w:szCs w:val="18"/>
                      <w:lang w:val="en-US" w:eastAsia="zh-CN" w:bidi="ar-SA"/>
                    </w:rPr>
                  </w:pPr>
                  <w:r>
                    <w:rPr>
                      <w:rFonts w:hint="eastAsia"/>
                      <w:color w:val="auto"/>
                      <w:kern w:val="0"/>
                      <w:sz w:val="18"/>
                      <w:szCs w:val="18"/>
                      <w:lang w:bidi="ar"/>
                    </w:rPr>
                    <w:t>1</w:t>
                  </w:r>
                  <w:r>
                    <w:rPr>
                      <w:color w:val="auto"/>
                      <w:kern w:val="0"/>
                      <w:sz w:val="18"/>
                      <w:szCs w:val="18"/>
                      <w:lang w:bidi="ar"/>
                    </w:rPr>
                    <w:t>000mg/kg（大鼠经口）</w:t>
                  </w:r>
                </w:p>
              </w:tc>
            </w:tr>
            <w:tr w14:paraId="7DB245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32FB413A">
                  <w:pPr>
                    <w:adjustRightInd w:val="0"/>
                    <w:snapToGrid w:val="0"/>
                    <w:jc w:val="center"/>
                    <w:rPr>
                      <w:color w:val="auto"/>
                      <w:sz w:val="18"/>
                      <w:szCs w:val="18"/>
                    </w:rPr>
                  </w:pPr>
                  <w:r>
                    <w:rPr>
                      <w:color w:val="auto"/>
                      <w:sz w:val="18"/>
                      <w:szCs w:val="18"/>
                    </w:rPr>
                    <w:t>99</w:t>
                  </w:r>
                </w:p>
              </w:tc>
              <w:tc>
                <w:tcPr>
                  <w:tcW w:w="706" w:type="pct"/>
                  <w:shd w:val="clear" w:color="auto" w:fill="auto"/>
                  <w:vAlign w:val="center"/>
                </w:tcPr>
                <w:p w14:paraId="6C022C7A">
                  <w:pPr>
                    <w:jc w:val="center"/>
                    <w:rPr>
                      <w:rFonts w:ascii="Times New Roman" w:hAnsi="Times New Roman" w:eastAsia="宋体" w:cs="Times New Roman"/>
                      <w:color w:val="auto"/>
                      <w:kern w:val="2"/>
                      <w:sz w:val="18"/>
                      <w:szCs w:val="18"/>
                      <w:lang w:val="en-US" w:eastAsia="zh-CN" w:bidi="ar-SA"/>
                    </w:rPr>
                  </w:pPr>
                  <w:r>
                    <w:rPr>
                      <w:color w:val="auto"/>
                      <w:sz w:val="18"/>
                      <w:szCs w:val="18"/>
                    </w:rPr>
                    <w:t>苯酚</w:t>
                  </w:r>
                </w:p>
              </w:tc>
              <w:tc>
                <w:tcPr>
                  <w:tcW w:w="2508" w:type="pct"/>
                  <w:shd w:val="clear" w:color="auto" w:fill="auto"/>
                  <w:vAlign w:val="top"/>
                </w:tcPr>
                <w:p w14:paraId="2A713F6E">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无色晶体，暴露于空气中易氧化呈粉红色。熔点43℃，沸点181.9℃，密度1.071 g/cm</w:t>
                  </w:r>
                  <w:r>
                    <w:rPr>
                      <w:rFonts w:hint="eastAsia"/>
                      <w:color w:val="auto"/>
                      <w:sz w:val="18"/>
                      <w:szCs w:val="18"/>
                      <w:vertAlign w:val="superscript"/>
                    </w:rPr>
                    <w:t>3</w:t>
                  </w:r>
                  <w:r>
                    <w:rPr>
                      <w:color w:val="auto"/>
                      <w:sz w:val="18"/>
                      <w:szCs w:val="18"/>
                    </w:rPr>
                    <w:t>，微溶于冷水（65℃以上与水任意混溶），易溶于乙醇、乙醚等有机溶剂‌。</w:t>
                  </w:r>
                </w:p>
              </w:tc>
              <w:tc>
                <w:tcPr>
                  <w:tcW w:w="589" w:type="pct"/>
                  <w:shd w:val="clear" w:color="auto" w:fill="auto"/>
                  <w:vAlign w:val="center"/>
                </w:tcPr>
                <w:p w14:paraId="559B2338">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可燃</w:t>
                  </w:r>
                </w:p>
              </w:tc>
              <w:tc>
                <w:tcPr>
                  <w:tcW w:w="803" w:type="pct"/>
                  <w:shd w:val="clear" w:color="auto" w:fill="auto"/>
                  <w:vAlign w:val="center"/>
                </w:tcPr>
                <w:p w14:paraId="270B6F14">
                  <w:pPr>
                    <w:widowControl/>
                    <w:jc w:val="center"/>
                    <w:rPr>
                      <w:color w:val="auto"/>
                      <w:sz w:val="18"/>
                      <w:szCs w:val="18"/>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w:t>
                  </w:r>
                </w:p>
                <w:p w14:paraId="6253109E">
                  <w:pPr>
                    <w:widowControl/>
                    <w:jc w:val="center"/>
                    <w:rPr>
                      <w:rFonts w:ascii="Times New Roman" w:hAnsi="Times New Roman" w:eastAsia="宋体" w:cs="Times New Roman"/>
                      <w:color w:val="auto"/>
                      <w:kern w:val="2"/>
                      <w:sz w:val="18"/>
                      <w:szCs w:val="18"/>
                      <w:lang w:val="en-US" w:eastAsia="zh-CN" w:bidi="ar-SA"/>
                    </w:rPr>
                  </w:pPr>
                  <w:r>
                    <w:rPr>
                      <w:rFonts w:hint="eastAsia"/>
                      <w:color w:val="auto"/>
                      <w:kern w:val="0"/>
                      <w:sz w:val="18"/>
                      <w:szCs w:val="18"/>
                      <w:lang w:bidi="ar"/>
                    </w:rPr>
                    <w:t>317</w:t>
                  </w:r>
                  <w:r>
                    <w:rPr>
                      <w:color w:val="auto"/>
                      <w:kern w:val="0"/>
                      <w:sz w:val="18"/>
                      <w:szCs w:val="18"/>
                      <w:lang w:bidi="ar"/>
                    </w:rPr>
                    <w:t>mg/kg（大鼠经口）</w:t>
                  </w:r>
                </w:p>
              </w:tc>
            </w:tr>
            <w:tr w14:paraId="43924F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3B15DECA">
                  <w:pPr>
                    <w:adjustRightInd w:val="0"/>
                    <w:snapToGrid w:val="0"/>
                    <w:jc w:val="center"/>
                    <w:rPr>
                      <w:color w:val="auto"/>
                      <w:sz w:val="18"/>
                      <w:szCs w:val="18"/>
                    </w:rPr>
                  </w:pPr>
                  <w:r>
                    <w:rPr>
                      <w:color w:val="auto"/>
                      <w:sz w:val="18"/>
                      <w:szCs w:val="18"/>
                    </w:rPr>
                    <w:t>100</w:t>
                  </w:r>
                </w:p>
              </w:tc>
              <w:tc>
                <w:tcPr>
                  <w:tcW w:w="706" w:type="pct"/>
                  <w:shd w:val="clear" w:color="auto" w:fill="auto"/>
                  <w:vAlign w:val="center"/>
                </w:tcPr>
                <w:p w14:paraId="5110D1CF">
                  <w:pPr>
                    <w:jc w:val="center"/>
                    <w:rPr>
                      <w:rFonts w:ascii="Times New Roman" w:hAnsi="Times New Roman" w:eastAsia="宋体" w:cs="Times New Roman"/>
                      <w:color w:val="auto"/>
                      <w:kern w:val="2"/>
                      <w:sz w:val="18"/>
                      <w:szCs w:val="18"/>
                      <w:lang w:val="en-US" w:eastAsia="zh-CN" w:bidi="ar-SA"/>
                    </w:rPr>
                  </w:pPr>
                  <w:r>
                    <w:rPr>
                      <w:color w:val="auto"/>
                      <w:sz w:val="18"/>
                      <w:szCs w:val="18"/>
                    </w:rPr>
                    <w:t>苯胺</w:t>
                  </w:r>
                </w:p>
              </w:tc>
              <w:tc>
                <w:tcPr>
                  <w:tcW w:w="2508" w:type="pct"/>
                  <w:shd w:val="clear" w:color="auto" w:fill="auto"/>
                  <w:vAlign w:val="top"/>
                </w:tcPr>
                <w:p w14:paraId="0D4DD7A8">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无色油状易燃液体，具有强烈气味，沸点184℃，熔点-6℃，密度1.022 g/cm</w:t>
                  </w:r>
                  <w:r>
                    <w:rPr>
                      <w:rFonts w:hint="eastAsia"/>
                      <w:color w:val="auto"/>
                      <w:sz w:val="18"/>
                      <w:szCs w:val="18"/>
                      <w:vertAlign w:val="superscript"/>
                    </w:rPr>
                    <w:t>3</w:t>
                  </w:r>
                  <w:r>
                    <w:rPr>
                      <w:color w:val="auto"/>
                      <w:sz w:val="18"/>
                      <w:szCs w:val="18"/>
                    </w:rPr>
                    <w:t>，稍溶于水，易溶于乙醇、乙醚、氯仿等有机溶剂。</w:t>
                  </w:r>
                </w:p>
              </w:tc>
              <w:tc>
                <w:tcPr>
                  <w:tcW w:w="589" w:type="pct"/>
                  <w:shd w:val="clear" w:color="auto" w:fill="auto"/>
                  <w:vAlign w:val="center"/>
                </w:tcPr>
                <w:p w14:paraId="7E56F941">
                  <w:pPr>
                    <w:adjustRightInd w:val="0"/>
                    <w:snapToGrid w:val="0"/>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易</w:t>
                  </w:r>
                  <w:r>
                    <w:rPr>
                      <w:color w:val="auto"/>
                      <w:sz w:val="18"/>
                      <w:szCs w:val="18"/>
                    </w:rPr>
                    <w:t>燃</w:t>
                  </w:r>
                </w:p>
              </w:tc>
              <w:tc>
                <w:tcPr>
                  <w:tcW w:w="803" w:type="pct"/>
                  <w:shd w:val="clear" w:color="auto" w:fill="auto"/>
                  <w:vAlign w:val="center"/>
                </w:tcPr>
                <w:p w14:paraId="12FA8AAF">
                  <w:pPr>
                    <w:widowControl/>
                    <w:jc w:val="center"/>
                    <w:rPr>
                      <w:color w:val="auto"/>
                      <w:sz w:val="18"/>
                      <w:szCs w:val="18"/>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w:t>
                  </w:r>
                </w:p>
                <w:p w14:paraId="2AEF7372">
                  <w:pPr>
                    <w:widowControl/>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250mg/kg（大鼠经口）</w:t>
                  </w:r>
                </w:p>
              </w:tc>
            </w:tr>
            <w:tr w14:paraId="6A386A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5EEFB4C2">
                  <w:pPr>
                    <w:adjustRightInd w:val="0"/>
                    <w:snapToGrid w:val="0"/>
                    <w:jc w:val="center"/>
                    <w:rPr>
                      <w:color w:val="auto"/>
                      <w:sz w:val="18"/>
                      <w:szCs w:val="18"/>
                    </w:rPr>
                  </w:pPr>
                  <w:r>
                    <w:rPr>
                      <w:color w:val="auto"/>
                      <w:sz w:val="18"/>
                      <w:szCs w:val="18"/>
                    </w:rPr>
                    <w:t>101</w:t>
                  </w:r>
                </w:p>
              </w:tc>
              <w:tc>
                <w:tcPr>
                  <w:tcW w:w="706" w:type="pct"/>
                  <w:shd w:val="clear" w:color="auto" w:fill="auto"/>
                  <w:vAlign w:val="center"/>
                </w:tcPr>
                <w:p w14:paraId="2CF66D2A">
                  <w:pPr>
                    <w:jc w:val="center"/>
                    <w:rPr>
                      <w:rFonts w:ascii="Times New Roman" w:hAnsi="Times New Roman" w:eastAsia="宋体" w:cs="Times New Roman"/>
                      <w:color w:val="auto"/>
                      <w:kern w:val="2"/>
                      <w:sz w:val="18"/>
                      <w:szCs w:val="18"/>
                      <w:lang w:val="en-US" w:eastAsia="zh-CN" w:bidi="ar-SA"/>
                    </w:rPr>
                  </w:pPr>
                  <w:r>
                    <w:rPr>
                      <w:color w:val="auto"/>
                      <w:sz w:val="18"/>
                      <w:szCs w:val="18"/>
                    </w:rPr>
                    <w:t>β-环柠檬醛</w:t>
                  </w:r>
                </w:p>
              </w:tc>
              <w:tc>
                <w:tcPr>
                  <w:tcW w:w="2508" w:type="pct"/>
                  <w:shd w:val="clear" w:color="auto" w:fill="auto"/>
                  <w:vAlign w:val="top"/>
                </w:tcPr>
                <w:p w14:paraId="04C6B350">
                  <w:pPr>
                    <w:adjustRightInd w:val="0"/>
                    <w:snapToGrid w:val="0"/>
                    <w:rPr>
                      <w:rFonts w:ascii="Times New Roman" w:hAnsi="Times New Roman" w:eastAsia="宋体" w:cs="Times New Roman"/>
                      <w:color w:val="auto"/>
                      <w:kern w:val="2"/>
                      <w:sz w:val="18"/>
                      <w:szCs w:val="18"/>
                      <w:lang w:val="en-US" w:eastAsia="zh-CN" w:bidi="ar-SA"/>
                    </w:rPr>
                  </w:pPr>
                  <w:r>
                    <w:rPr>
                      <w:color w:val="auto"/>
                      <w:sz w:val="18"/>
                      <w:szCs w:val="18"/>
                    </w:rPr>
                    <w:t>无色至淡黄色</w:t>
                  </w:r>
                  <w:r>
                    <w:rPr>
                      <w:rFonts w:hint="eastAsia"/>
                      <w:color w:val="auto"/>
                      <w:sz w:val="18"/>
                      <w:szCs w:val="18"/>
                    </w:rPr>
                    <w:t>，</w:t>
                  </w:r>
                  <w:r>
                    <w:rPr>
                      <w:color w:val="auto"/>
                      <w:sz w:val="18"/>
                      <w:szCs w:val="18"/>
                    </w:rPr>
                    <w:t>熔点：62-63℃，沸点：212.1℃。密度0.9</w:t>
                  </w:r>
                  <w:r>
                    <w:rPr>
                      <w:rFonts w:hint="eastAsia"/>
                      <w:color w:val="auto"/>
                      <w:sz w:val="18"/>
                      <w:szCs w:val="18"/>
                    </w:rPr>
                    <w:t>43</w:t>
                  </w:r>
                  <w:r>
                    <w:rPr>
                      <w:color w:val="auto"/>
                      <w:sz w:val="18"/>
                      <w:szCs w:val="18"/>
                    </w:rPr>
                    <w:t xml:space="preserve"> g/cm</w:t>
                  </w:r>
                  <w:r>
                    <w:rPr>
                      <w:rFonts w:hint="eastAsia"/>
                      <w:color w:val="auto"/>
                      <w:sz w:val="18"/>
                      <w:szCs w:val="18"/>
                      <w:vertAlign w:val="superscript"/>
                    </w:rPr>
                    <w:t>3</w:t>
                  </w:r>
                  <w:r>
                    <w:rPr>
                      <w:color w:val="auto"/>
                      <w:sz w:val="18"/>
                      <w:szCs w:val="18"/>
                    </w:rPr>
                    <w:t>。</w:t>
                  </w:r>
                </w:p>
              </w:tc>
              <w:tc>
                <w:tcPr>
                  <w:tcW w:w="589" w:type="pct"/>
                  <w:shd w:val="clear" w:color="auto" w:fill="auto"/>
                  <w:vAlign w:val="center"/>
                </w:tcPr>
                <w:p w14:paraId="55D9A960">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32405CE4">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r>
            <w:tr w14:paraId="6B2EDA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391" w:type="pct"/>
                  <w:vAlign w:val="center"/>
                </w:tcPr>
                <w:p w14:paraId="116CABA0">
                  <w:pPr>
                    <w:adjustRightInd w:val="0"/>
                    <w:snapToGrid w:val="0"/>
                    <w:jc w:val="center"/>
                    <w:rPr>
                      <w:color w:val="auto"/>
                      <w:sz w:val="18"/>
                      <w:szCs w:val="18"/>
                    </w:rPr>
                  </w:pPr>
                  <w:r>
                    <w:rPr>
                      <w:color w:val="auto"/>
                      <w:sz w:val="18"/>
                      <w:szCs w:val="18"/>
                    </w:rPr>
                    <w:t>102</w:t>
                  </w:r>
                </w:p>
              </w:tc>
              <w:tc>
                <w:tcPr>
                  <w:tcW w:w="706" w:type="pct"/>
                  <w:shd w:val="clear" w:color="auto" w:fill="auto"/>
                  <w:vAlign w:val="center"/>
                </w:tcPr>
                <w:p w14:paraId="1100D273">
                  <w:pPr>
                    <w:jc w:val="center"/>
                    <w:rPr>
                      <w:rFonts w:ascii="Times New Roman" w:hAnsi="Times New Roman" w:eastAsia="宋体" w:cs="Times New Roman"/>
                      <w:color w:val="auto"/>
                      <w:kern w:val="2"/>
                      <w:sz w:val="18"/>
                      <w:szCs w:val="18"/>
                      <w:lang w:val="en-US" w:eastAsia="zh-CN" w:bidi="ar-SA"/>
                    </w:rPr>
                  </w:pPr>
                  <w:r>
                    <w:rPr>
                      <w:color w:val="auto"/>
                      <w:sz w:val="18"/>
                      <w:szCs w:val="18"/>
                    </w:rPr>
                    <w:t>2，4-二溴酚</w:t>
                  </w:r>
                </w:p>
              </w:tc>
              <w:tc>
                <w:tcPr>
                  <w:tcW w:w="2508" w:type="pct"/>
                  <w:shd w:val="clear" w:color="auto" w:fill="auto"/>
                  <w:vAlign w:val="top"/>
                </w:tcPr>
                <w:p w14:paraId="67963787">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白色至淡黄色结晶块、粉末、晶体或块状，熔点36-39℃，沸点</w:t>
                  </w:r>
                  <w:r>
                    <w:rPr>
                      <w:rFonts w:hint="eastAsia"/>
                      <w:color w:val="auto"/>
                      <w:sz w:val="18"/>
                      <w:szCs w:val="18"/>
                    </w:rPr>
                    <w:t>154</w:t>
                  </w:r>
                  <w:r>
                    <w:rPr>
                      <w:color w:val="auto"/>
                      <w:sz w:val="18"/>
                      <w:szCs w:val="18"/>
                    </w:rPr>
                    <w:t>℃，密度2.0</w:t>
                  </w:r>
                  <w:r>
                    <w:rPr>
                      <w:rFonts w:hint="eastAsia"/>
                      <w:color w:val="auto"/>
                      <w:sz w:val="18"/>
                      <w:szCs w:val="18"/>
                    </w:rPr>
                    <w:t>7</w:t>
                  </w:r>
                  <w:r>
                    <w:rPr>
                      <w:color w:val="auto"/>
                      <w:sz w:val="18"/>
                      <w:szCs w:val="18"/>
                    </w:rPr>
                    <w:t>g/cm</w:t>
                  </w:r>
                  <w:r>
                    <w:rPr>
                      <w:rFonts w:hint="eastAsia"/>
                      <w:color w:val="auto"/>
                      <w:sz w:val="18"/>
                      <w:szCs w:val="18"/>
                      <w:vertAlign w:val="superscript"/>
                    </w:rPr>
                    <w:t>3</w:t>
                  </w:r>
                  <w:r>
                    <w:rPr>
                      <w:color w:val="auto"/>
                      <w:sz w:val="18"/>
                      <w:szCs w:val="18"/>
                    </w:rPr>
                    <w:t>。微溶于水，易溶于乙醇、乙醚、苯等有机溶剂。</w:t>
                  </w:r>
                </w:p>
              </w:tc>
              <w:tc>
                <w:tcPr>
                  <w:tcW w:w="589" w:type="pct"/>
                  <w:shd w:val="clear" w:color="auto" w:fill="auto"/>
                  <w:vAlign w:val="center"/>
                </w:tcPr>
                <w:p w14:paraId="08DD2743">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298EED35">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r>
            <w:tr w14:paraId="693911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7F78AF54">
                  <w:pPr>
                    <w:adjustRightInd w:val="0"/>
                    <w:snapToGrid w:val="0"/>
                    <w:jc w:val="center"/>
                    <w:rPr>
                      <w:color w:val="auto"/>
                      <w:sz w:val="18"/>
                      <w:szCs w:val="18"/>
                    </w:rPr>
                  </w:pPr>
                  <w:r>
                    <w:rPr>
                      <w:color w:val="auto"/>
                      <w:sz w:val="18"/>
                      <w:szCs w:val="18"/>
                    </w:rPr>
                    <w:t>103</w:t>
                  </w:r>
                </w:p>
              </w:tc>
              <w:tc>
                <w:tcPr>
                  <w:tcW w:w="706" w:type="pct"/>
                  <w:shd w:val="clear" w:color="auto" w:fill="auto"/>
                  <w:vAlign w:val="center"/>
                </w:tcPr>
                <w:p w14:paraId="53EB2C1D">
                  <w:pPr>
                    <w:jc w:val="center"/>
                    <w:rPr>
                      <w:rFonts w:ascii="Times New Roman" w:hAnsi="Times New Roman" w:eastAsia="宋体" w:cs="Times New Roman"/>
                      <w:color w:val="auto"/>
                      <w:kern w:val="2"/>
                      <w:sz w:val="18"/>
                      <w:szCs w:val="18"/>
                      <w:lang w:val="en-US" w:eastAsia="zh-CN" w:bidi="ar-SA"/>
                    </w:rPr>
                  </w:pPr>
                  <w:r>
                    <w:rPr>
                      <w:color w:val="auto"/>
                      <w:sz w:val="18"/>
                      <w:szCs w:val="18"/>
                    </w:rPr>
                    <w:t>异氟尔酮</w:t>
                  </w:r>
                </w:p>
              </w:tc>
              <w:tc>
                <w:tcPr>
                  <w:tcW w:w="2508" w:type="pct"/>
                  <w:shd w:val="clear" w:color="auto" w:fill="auto"/>
                  <w:vAlign w:val="top"/>
                </w:tcPr>
                <w:p w14:paraId="00084575">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无色至淡黄色液体，有类似樟脑或薄荷的气味；熔点-8.1℃，沸点215.3℃，密度0.9</w:t>
                  </w:r>
                  <w:r>
                    <w:rPr>
                      <w:rFonts w:hint="eastAsia"/>
                      <w:color w:val="auto"/>
                      <w:sz w:val="18"/>
                      <w:szCs w:val="18"/>
                    </w:rPr>
                    <w:t>0</w:t>
                  </w:r>
                  <w:r>
                    <w:rPr>
                      <w:color w:val="auto"/>
                      <w:sz w:val="18"/>
                      <w:szCs w:val="18"/>
                    </w:rPr>
                    <w:t>5 g/cm</w:t>
                  </w:r>
                  <w:r>
                    <w:rPr>
                      <w:rFonts w:hint="eastAsia"/>
                      <w:color w:val="auto"/>
                      <w:sz w:val="18"/>
                      <w:szCs w:val="18"/>
                      <w:vertAlign w:val="superscript"/>
                    </w:rPr>
                    <w:t>3</w:t>
                  </w:r>
                  <w:r>
                    <w:rPr>
                      <w:color w:val="auto"/>
                      <w:sz w:val="18"/>
                      <w:szCs w:val="18"/>
                    </w:rPr>
                    <w:t>，闪点84</w:t>
                  </w:r>
                  <w:r>
                    <w:rPr>
                      <w:rFonts w:hint="eastAsia"/>
                      <w:color w:val="auto"/>
                      <w:sz w:val="18"/>
                      <w:szCs w:val="18"/>
                    </w:rPr>
                    <w:t>.4</w:t>
                  </w:r>
                  <w:r>
                    <w:rPr>
                      <w:color w:val="auto"/>
                      <w:sz w:val="18"/>
                      <w:szCs w:val="18"/>
                    </w:rPr>
                    <w:t>℃。不溶于水，溶于乙醇、乙醚、丙酮等多数有机溶剂。</w:t>
                  </w:r>
                </w:p>
              </w:tc>
              <w:tc>
                <w:tcPr>
                  <w:tcW w:w="589" w:type="pct"/>
                  <w:shd w:val="clear" w:color="auto" w:fill="auto"/>
                  <w:vAlign w:val="center"/>
                </w:tcPr>
                <w:p w14:paraId="585D42B7">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可燃</w:t>
                  </w:r>
                </w:p>
              </w:tc>
              <w:tc>
                <w:tcPr>
                  <w:tcW w:w="803" w:type="pct"/>
                  <w:shd w:val="clear" w:color="auto" w:fill="auto"/>
                  <w:vAlign w:val="center"/>
                </w:tcPr>
                <w:p w14:paraId="663342DC">
                  <w:pPr>
                    <w:widowControl/>
                    <w:jc w:val="center"/>
                    <w:rPr>
                      <w:color w:val="auto"/>
                      <w:sz w:val="18"/>
                      <w:szCs w:val="18"/>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 xml:space="preserve"> ：</w:t>
                  </w:r>
                </w:p>
                <w:p w14:paraId="2CAF6C00">
                  <w:pPr>
                    <w:widowControl/>
                    <w:jc w:val="center"/>
                    <w:rPr>
                      <w:color w:val="auto"/>
                      <w:sz w:val="18"/>
                      <w:szCs w:val="18"/>
                    </w:rPr>
                  </w:pPr>
                  <w:r>
                    <w:rPr>
                      <w:color w:val="auto"/>
                      <w:kern w:val="0"/>
                      <w:sz w:val="18"/>
                      <w:szCs w:val="18"/>
                      <w:lang w:bidi="ar"/>
                    </w:rPr>
                    <w:t>2330mg/kg</w:t>
                  </w:r>
                </w:p>
                <w:p w14:paraId="1FA55A90">
                  <w:pPr>
                    <w:widowControl/>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（大鼠经口）</w:t>
                  </w:r>
                </w:p>
              </w:tc>
            </w:tr>
            <w:tr w14:paraId="1FA79C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4D552B3D">
                  <w:pPr>
                    <w:adjustRightInd w:val="0"/>
                    <w:snapToGrid w:val="0"/>
                    <w:jc w:val="center"/>
                    <w:rPr>
                      <w:color w:val="auto"/>
                      <w:sz w:val="18"/>
                      <w:szCs w:val="18"/>
                    </w:rPr>
                  </w:pPr>
                  <w:r>
                    <w:rPr>
                      <w:color w:val="auto"/>
                      <w:sz w:val="18"/>
                      <w:szCs w:val="18"/>
                    </w:rPr>
                    <w:t>104</w:t>
                  </w:r>
                </w:p>
              </w:tc>
              <w:tc>
                <w:tcPr>
                  <w:tcW w:w="706" w:type="pct"/>
                  <w:shd w:val="clear" w:color="auto" w:fill="auto"/>
                  <w:vAlign w:val="center"/>
                </w:tcPr>
                <w:p w14:paraId="5768A3F7">
                  <w:pPr>
                    <w:jc w:val="center"/>
                    <w:rPr>
                      <w:rFonts w:ascii="Times New Roman" w:hAnsi="Times New Roman" w:eastAsia="宋体" w:cs="Times New Roman"/>
                      <w:color w:val="auto"/>
                      <w:kern w:val="2"/>
                      <w:sz w:val="18"/>
                      <w:szCs w:val="18"/>
                      <w:lang w:val="en-US" w:eastAsia="zh-CN" w:bidi="ar-SA"/>
                    </w:rPr>
                  </w:pPr>
                  <w:r>
                    <w:rPr>
                      <w:color w:val="auto"/>
                      <w:sz w:val="18"/>
                      <w:szCs w:val="18"/>
                    </w:rPr>
                    <w:t>1，2-二溴丙烷</w:t>
                  </w:r>
                </w:p>
              </w:tc>
              <w:tc>
                <w:tcPr>
                  <w:tcW w:w="2508" w:type="pct"/>
                  <w:shd w:val="clear" w:color="auto" w:fill="auto"/>
                  <w:vAlign w:val="center"/>
                </w:tcPr>
                <w:p w14:paraId="64672EA5">
                  <w:pPr>
                    <w:adjustRightInd w:val="0"/>
                    <w:snapToGrid w:val="0"/>
                    <w:rPr>
                      <w:rFonts w:ascii="Times New Roman" w:hAnsi="Times New Roman" w:eastAsia="宋体" w:cs="Times New Roman"/>
                      <w:color w:val="auto"/>
                      <w:kern w:val="2"/>
                      <w:sz w:val="18"/>
                      <w:szCs w:val="18"/>
                      <w:lang w:val="en-US" w:eastAsia="zh-CN" w:bidi="ar-SA"/>
                    </w:rPr>
                  </w:pPr>
                  <w:r>
                    <w:rPr>
                      <w:color w:val="auto"/>
                      <w:sz w:val="18"/>
                      <w:szCs w:val="18"/>
                    </w:rPr>
                    <w:t>无色至黄色液体，密度1.937g/</w:t>
                  </w:r>
                  <w:r>
                    <w:rPr>
                      <w:rFonts w:hint="eastAsia"/>
                      <w:color w:val="auto"/>
                      <w:sz w:val="18"/>
                      <w:szCs w:val="18"/>
                    </w:rPr>
                    <w:t>cm</w:t>
                  </w:r>
                  <w:r>
                    <w:rPr>
                      <w:rFonts w:hint="eastAsia"/>
                      <w:color w:val="auto"/>
                      <w:sz w:val="18"/>
                      <w:szCs w:val="18"/>
                      <w:vertAlign w:val="superscript"/>
                    </w:rPr>
                    <w:t>3</w:t>
                  </w:r>
                  <w:r>
                    <w:rPr>
                      <w:color w:val="auto"/>
                      <w:sz w:val="18"/>
                      <w:szCs w:val="18"/>
                    </w:rPr>
                    <w:t>，沸点</w:t>
                  </w:r>
                  <w:r>
                    <w:rPr>
                      <w:rFonts w:hint="eastAsia"/>
                      <w:color w:val="auto"/>
                      <w:sz w:val="18"/>
                      <w:szCs w:val="18"/>
                    </w:rPr>
                    <w:t>1</w:t>
                  </w:r>
                  <w:r>
                    <w:rPr>
                      <w:color w:val="auto"/>
                      <w:sz w:val="18"/>
                      <w:szCs w:val="18"/>
                    </w:rPr>
                    <w:t>40-142°C，熔点-55°C。难溶于水，溶于乙醇、</w:t>
                  </w:r>
                  <w:r>
                    <w:rPr>
                      <w:rFonts w:hint="eastAsia"/>
                      <w:color w:val="auto"/>
                      <w:sz w:val="18"/>
                      <w:szCs w:val="18"/>
                    </w:rPr>
                    <w:t>乙</w:t>
                  </w:r>
                  <w:r>
                    <w:rPr>
                      <w:color w:val="auto"/>
                      <w:sz w:val="18"/>
                      <w:szCs w:val="18"/>
                    </w:rPr>
                    <w:t>醚和氯仿，微溶于四氯化碳。闪点35°C。</w:t>
                  </w:r>
                </w:p>
              </w:tc>
              <w:tc>
                <w:tcPr>
                  <w:tcW w:w="589" w:type="pct"/>
                  <w:shd w:val="clear" w:color="auto" w:fill="auto"/>
                  <w:vAlign w:val="center"/>
                </w:tcPr>
                <w:p w14:paraId="657549B4">
                  <w:pPr>
                    <w:adjustRightInd w:val="0"/>
                    <w:snapToGrid w:val="0"/>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易燃</w:t>
                  </w:r>
                </w:p>
              </w:tc>
              <w:tc>
                <w:tcPr>
                  <w:tcW w:w="803" w:type="pct"/>
                  <w:shd w:val="clear" w:color="auto" w:fill="auto"/>
                  <w:vAlign w:val="center"/>
                </w:tcPr>
                <w:p w14:paraId="73CC83C5">
                  <w:pPr>
                    <w:widowControl/>
                    <w:jc w:val="center"/>
                    <w:rPr>
                      <w:color w:val="auto"/>
                      <w:sz w:val="18"/>
                      <w:szCs w:val="18"/>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w:t>
                  </w:r>
                </w:p>
                <w:p w14:paraId="797C2A1B">
                  <w:pPr>
                    <w:widowControl/>
                    <w:jc w:val="center"/>
                    <w:rPr>
                      <w:color w:val="auto"/>
                      <w:sz w:val="18"/>
                      <w:szCs w:val="18"/>
                    </w:rPr>
                  </w:pPr>
                  <w:r>
                    <w:rPr>
                      <w:rFonts w:hint="eastAsia"/>
                      <w:color w:val="auto"/>
                      <w:kern w:val="0"/>
                      <w:sz w:val="18"/>
                      <w:szCs w:val="18"/>
                      <w:lang w:bidi="ar"/>
                    </w:rPr>
                    <w:t>741</w:t>
                  </w:r>
                  <w:r>
                    <w:rPr>
                      <w:color w:val="auto"/>
                      <w:kern w:val="0"/>
                      <w:sz w:val="18"/>
                      <w:szCs w:val="18"/>
                      <w:lang w:bidi="ar"/>
                    </w:rPr>
                    <w:t>mg/kg</w:t>
                  </w:r>
                </w:p>
                <w:p w14:paraId="7AC381FC">
                  <w:pPr>
                    <w:widowControl/>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（大鼠经口）</w:t>
                  </w:r>
                </w:p>
              </w:tc>
            </w:tr>
            <w:tr w14:paraId="74F7C4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391" w:type="pct"/>
                  <w:vAlign w:val="center"/>
                </w:tcPr>
                <w:p w14:paraId="7C242B9B">
                  <w:pPr>
                    <w:adjustRightInd w:val="0"/>
                    <w:snapToGrid w:val="0"/>
                    <w:jc w:val="center"/>
                    <w:rPr>
                      <w:color w:val="auto"/>
                      <w:sz w:val="18"/>
                      <w:szCs w:val="18"/>
                    </w:rPr>
                  </w:pPr>
                  <w:r>
                    <w:rPr>
                      <w:color w:val="auto"/>
                      <w:sz w:val="18"/>
                      <w:szCs w:val="18"/>
                    </w:rPr>
                    <w:t>105</w:t>
                  </w:r>
                </w:p>
              </w:tc>
              <w:tc>
                <w:tcPr>
                  <w:tcW w:w="706" w:type="pct"/>
                  <w:shd w:val="clear" w:color="auto" w:fill="auto"/>
                  <w:vAlign w:val="center"/>
                </w:tcPr>
                <w:p w14:paraId="12A9E042">
                  <w:pPr>
                    <w:jc w:val="center"/>
                    <w:rPr>
                      <w:rFonts w:ascii="Times New Roman" w:hAnsi="Times New Roman" w:eastAsia="宋体" w:cs="Times New Roman"/>
                      <w:color w:val="auto"/>
                      <w:kern w:val="2"/>
                      <w:sz w:val="18"/>
                      <w:szCs w:val="18"/>
                      <w:lang w:val="en-US" w:eastAsia="zh-CN" w:bidi="ar-SA"/>
                    </w:rPr>
                  </w:pPr>
                  <w:r>
                    <w:rPr>
                      <w:color w:val="auto"/>
                      <w:sz w:val="18"/>
                      <w:szCs w:val="18"/>
                    </w:rPr>
                    <w:t>4-溴氟苯</w:t>
                  </w:r>
                </w:p>
              </w:tc>
              <w:tc>
                <w:tcPr>
                  <w:tcW w:w="2508" w:type="pct"/>
                  <w:shd w:val="clear" w:color="auto" w:fill="auto"/>
                  <w:vAlign w:val="top"/>
                </w:tcPr>
                <w:p w14:paraId="1A0CFCB3">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无色透明液体。密度：1.59</w:t>
                  </w:r>
                  <w:r>
                    <w:rPr>
                      <w:rFonts w:hint="eastAsia"/>
                      <w:color w:val="auto"/>
                      <w:sz w:val="18"/>
                      <w:szCs w:val="18"/>
                    </w:rPr>
                    <w:t>7</w:t>
                  </w:r>
                  <w:r>
                    <w:rPr>
                      <w:color w:val="auto"/>
                      <w:sz w:val="18"/>
                      <w:szCs w:val="18"/>
                    </w:rPr>
                    <w:t>g/</w:t>
                  </w:r>
                  <w:r>
                    <w:rPr>
                      <w:rFonts w:hint="eastAsia"/>
                      <w:color w:val="auto"/>
                      <w:sz w:val="18"/>
                      <w:szCs w:val="18"/>
                    </w:rPr>
                    <w:t>cm</w:t>
                  </w:r>
                  <w:r>
                    <w:rPr>
                      <w:rFonts w:hint="eastAsia"/>
                      <w:color w:val="auto"/>
                      <w:sz w:val="18"/>
                      <w:szCs w:val="18"/>
                      <w:vertAlign w:val="superscript"/>
                    </w:rPr>
                    <w:t>3</w:t>
                  </w:r>
                  <w:r>
                    <w:rPr>
                      <w:color w:val="auto"/>
                      <w:sz w:val="18"/>
                      <w:szCs w:val="18"/>
                    </w:rPr>
                    <w:t>。熔点：-17.4°C。沸点：15</w:t>
                  </w:r>
                  <w:r>
                    <w:rPr>
                      <w:rFonts w:hint="eastAsia"/>
                      <w:color w:val="auto"/>
                      <w:sz w:val="18"/>
                      <w:szCs w:val="18"/>
                    </w:rPr>
                    <w:t>2</w:t>
                  </w:r>
                  <w:r>
                    <w:rPr>
                      <w:color w:val="auto"/>
                      <w:sz w:val="18"/>
                      <w:szCs w:val="18"/>
                    </w:rPr>
                    <w:t>°C。闪点：60°C。不溶于水，溶于乙醇、乙醚、苯等有机溶剂。</w:t>
                  </w:r>
                </w:p>
              </w:tc>
              <w:tc>
                <w:tcPr>
                  <w:tcW w:w="589" w:type="pct"/>
                  <w:shd w:val="clear" w:color="auto" w:fill="auto"/>
                  <w:vAlign w:val="center"/>
                </w:tcPr>
                <w:p w14:paraId="7F4725C2">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易燃</w:t>
                  </w:r>
                </w:p>
              </w:tc>
              <w:tc>
                <w:tcPr>
                  <w:tcW w:w="803" w:type="pct"/>
                  <w:shd w:val="clear" w:color="auto" w:fill="auto"/>
                  <w:vAlign w:val="top"/>
                </w:tcPr>
                <w:p w14:paraId="1A3EAE46">
                  <w:pPr>
                    <w:widowControl/>
                    <w:jc w:val="center"/>
                    <w:rPr>
                      <w:color w:val="auto"/>
                      <w:sz w:val="18"/>
                      <w:szCs w:val="18"/>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w:t>
                  </w:r>
                </w:p>
                <w:p w14:paraId="11F5499B">
                  <w:pPr>
                    <w:widowControl/>
                    <w:jc w:val="center"/>
                    <w:rPr>
                      <w:color w:val="auto"/>
                      <w:sz w:val="18"/>
                      <w:szCs w:val="18"/>
                    </w:rPr>
                  </w:pPr>
                  <w:r>
                    <w:rPr>
                      <w:rFonts w:hint="eastAsia"/>
                      <w:color w:val="auto"/>
                      <w:kern w:val="0"/>
                      <w:sz w:val="18"/>
                      <w:szCs w:val="18"/>
                      <w:lang w:bidi="ar"/>
                    </w:rPr>
                    <w:t>2700</w:t>
                  </w:r>
                  <w:r>
                    <w:rPr>
                      <w:color w:val="auto"/>
                      <w:kern w:val="0"/>
                      <w:sz w:val="18"/>
                      <w:szCs w:val="18"/>
                      <w:lang w:bidi="ar"/>
                    </w:rPr>
                    <w:t>mg/kg</w:t>
                  </w:r>
                </w:p>
                <w:p w14:paraId="45B49A39">
                  <w:pPr>
                    <w:adjustRightInd w:val="0"/>
                    <w:snapToGrid w:val="0"/>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（大鼠经口）</w:t>
                  </w:r>
                </w:p>
              </w:tc>
            </w:tr>
            <w:tr w14:paraId="7641D8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391" w:type="pct"/>
                  <w:vAlign w:val="center"/>
                </w:tcPr>
                <w:p w14:paraId="602AF0BC">
                  <w:pPr>
                    <w:adjustRightInd w:val="0"/>
                    <w:snapToGrid w:val="0"/>
                    <w:jc w:val="center"/>
                    <w:rPr>
                      <w:color w:val="auto"/>
                      <w:sz w:val="18"/>
                      <w:szCs w:val="18"/>
                    </w:rPr>
                  </w:pPr>
                  <w:r>
                    <w:rPr>
                      <w:color w:val="auto"/>
                      <w:sz w:val="18"/>
                      <w:szCs w:val="18"/>
                    </w:rPr>
                    <w:t>106</w:t>
                  </w:r>
                </w:p>
              </w:tc>
              <w:tc>
                <w:tcPr>
                  <w:tcW w:w="706" w:type="pct"/>
                  <w:shd w:val="clear" w:color="auto" w:fill="auto"/>
                  <w:vAlign w:val="center"/>
                </w:tcPr>
                <w:p w14:paraId="6A624DA9">
                  <w:pPr>
                    <w:jc w:val="center"/>
                    <w:rPr>
                      <w:rFonts w:ascii="Times New Roman" w:hAnsi="Times New Roman" w:eastAsia="宋体" w:cs="Times New Roman"/>
                      <w:color w:val="auto"/>
                      <w:kern w:val="2"/>
                      <w:sz w:val="18"/>
                      <w:szCs w:val="18"/>
                      <w:lang w:val="en-US" w:eastAsia="zh-CN" w:bidi="ar-SA"/>
                    </w:rPr>
                  </w:pPr>
                  <w:r>
                    <w:rPr>
                      <w:color w:val="auto"/>
                      <w:sz w:val="18"/>
                      <w:szCs w:val="18"/>
                    </w:rPr>
                    <w:t>2-异丁基-3-甲氧基吡嗪</w:t>
                  </w:r>
                </w:p>
              </w:tc>
              <w:tc>
                <w:tcPr>
                  <w:tcW w:w="2508" w:type="pct"/>
                  <w:shd w:val="clear" w:color="auto" w:fill="auto"/>
                  <w:vAlign w:val="center"/>
                </w:tcPr>
                <w:p w14:paraId="584A45C7">
                  <w:pPr>
                    <w:adjustRightInd w:val="0"/>
                    <w:snapToGrid w:val="0"/>
                    <w:rPr>
                      <w:rFonts w:ascii="Times New Roman" w:hAnsi="Times New Roman" w:eastAsia="宋体" w:cs="Times New Roman"/>
                      <w:color w:val="auto"/>
                      <w:kern w:val="2"/>
                      <w:sz w:val="18"/>
                      <w:szCs w:val="18"/>
                      <w:lang w:val="en-US" w:eastAsia="zh-CN" w:bidi="ar-SA"/>
                    </w:rPr>
                  </w:pPr>
                  <w:r>
                    <w:rPr>
                      <w:color w:val="auto"/>
                      <w:sz w:val="18"/>
                      <w:szCs w:val="18"/>
                    </w:rPr>
                    <w:t>无色至淡黄色透明液体，具有强烈的青椒或豌豆香气。密度：0.99 g/mL（25°C），沸点</w:t>
                  </w:r>
                  <w:r>
                    <w:rPr>
                      <w:rFonts w:hint="eastAsia"/>
                      <w:color w:val="auto"/>
                      <w:sz w:val="18"/>
                      <w:szCs w:val="18"/>
                    </w:rPr>
                    <w:t>294.44</w:t>
                  </w:r>
                  <w:r>
                    <w:rPr>
                      <w:color w:val="auto"/>
                      <w:sz w:val="18"/>
                      <w:szCs w:val="18"/>
                    </w:rPr>
                    <w:t>°C。</w:t>
                  </w:r>
                </w:p>
              </w:tc>
              <w:tc>
                <w:tcPr>
                  <w:tcW w:w="589" w:type="pct"/>
                  <w:shd w:val="clear" w:color="auto" w:fill="auto"/>
                  <w:vAlign w:val="center"/>
                </w:tcPr>
                <w:p w14:paraId="3463C706">
                  <w:pPr>
                    <w:adjustRightInd w:val="0"/>
                    <w:snapToGrid w:val="0"/>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w:t>
                  </w:r>
                </w:p>
              </w:tc>
              <w:tc>
                <w:tcPr>
                  <w:tcW w:w="803" w:type="pct"/>
                  <w:shd w:val="clear" w:color="auto" w:fill="auto"/>
                  <w:vAlign w:val="center"/>
                </w:tcPr>
                <w:p w14:paraId="3D72C023">
                  <w:pPr>
                    <w:adjustRightInd w:val="0"/>
                    <w:snapToGrid w:val="0"/>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w:t>
                  </w:r>
                </w:p>
              </w:tc>
            </w:tr>
            <w:tr w14:paraId="21CCB5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570C5208">
                  <w:pPr>
                    <w:adjustRightInd w:val="0"/>
                    <w:snapToGrid w:val="0"/>
                    <w:jc w:val="center"/>
                    <w:rPr>
                      <w:color w:val="auto"/>
                      <w:sz w:val="18"/>
                      <w:szCs w:val="18"/>
                    </w:rPr>
                  </w:pPr>
                  <w:r>
                    <w:rPr>
                      <w:color w:val="auto"/>
                      <w:sz w:val="18"/>
                      <w:szCs w:val="18"/>
                    </w:rPr>
                    <w:t>107</w:t>
                  </w:r>
                </w:p>
              </w:tc>
              <w:tc>
                <w:tcPr>
                  <w:tcW w:w="706" w:type="pct"/>
                  <w:shd w:val="clear" w:color="auto" w:fill="auto"/>
                  <w:vAlign w:val="center"/>
                </w:tcPr>
                <w:p w14:paraId="0EB3EF06">
                  <w:pPr>
                    <w:jc w:val="center"/>
                    <w:rPr>
                      <w:rFonts w:ascii="Times New Roman" w:hAnsi="Times New Roman" w:eastAsia="宋体" w:cs="Times New Roman"/>
                      <w:color w:val="auto"/>
                      <w:kern w:val="2"/>
                      <w:sz w:val="18"/>
                      <w:szCs w:val="18"/>
                      <w:lang w:val="en-US" w:eastAsia="zh-CN" w:bidi="ar-SA"/>
                    </w:rPr>
                  </w:pPr>
                  <w:r>
                    <w:rPr>
                      <w:color w:val="auto"/>
                      <w:sz w:val="18"/>
                      <w:szCs w:val="18"/>
                    </w:rPr>
                    <w:t>2-异丙基-3-甲氧基吡嗪</w:t>
                  </w:r>
                </w:p>
              </w:tc>
              <w:tc>
                <w:tcPr>
                  <w:tcW w:w="2508" w:type="pct"/>
                  <w:shd w:val="clear" w:color="auto" w:fill="auto"/>
                  <w:vAlign w:val="top"/>
                </w:tcPr>
                <w:p w14:paraId="27E58529">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无色透明液体，密度：0.996 g/mL（25°C），沸点120-125°C（20 mmHg），闪点66.67°C（闭杯）。折射率：1.494（20°C），水溶性低，易溶于乙醇、乙醚等有机溶剂。</w:t>
                  </w:r>
                </w:p>
              </w:tc>
              <w:tc>
                <w:tcPr>
                  <w:tcW w:w="589" w:type="pct"/>
                  <w:shd w:val="clear" w:color="auto" w:fill="auto"/>
                  <w:vAlign w:val="center"/>
                </w:tcPr>
                <w:p w14:paraId="2B32306A">
                  <w:pPr>
                    <w:adjustRightInd w:val="0"/>
                    <w:snapToGrid w:val="0"/>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w:t>
                  </w:r>
                </w:p>
              </w:tc>
              <w:tc>
                <w:tcPr>
                  <w:tcW w:w="803" w:type="pct"/>
                  <w:shd w:val="clear" w:color="auto" w:fill="auto"/>
                  <w:vAlign w:val="center"/>
                </w:tcPr>
                <w:p w14:paraId="7F7E0D2F">
                  <w:pPr>
                    <w:adjustRightInd w:val="0"/>
                    <w:snapToGrid w:val="0"/>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w:t>
                  </w:r>
                </w:p>
              </w:tc>
            </w:tr>
            <w:tr w14:paraId="05E79E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455C6318">
                  <w:pPr>
                    <w:adjustRightInd w:val="0"/>
                    <w:snapToGrid w:val="0"/>
                    <w:jc w:val="center"/>
                    <w:rPr>
                      <w:color w:val="auto"/>
                      <w:sz w:val="18"/>
                      <w:szCs w:val="18"/>
                    </w:rPr>
                  </w:pPr>
                  <w:r>
                    <w:rPr>
                      <w:color w:val="auto"/>
                      <w:sz w:val="18"/>
                      <w:szCs w:val="18"/>
                    </w:rPr>
                    <w:t>108</w:t>
                  </w:r>
                </w:p>
              </w:tc>
              <w:tc>
                <w:tcPr>
                  <w:tcW w:w="706" w:type="pct"/>
                  <w:shd w:val="clear" w:color="auto" w:fill="auto"/>
                  <w:vAlign w:val="center"/>
                </w:tcPr>
                <w:p w14:paraId="045256E8">
                  <w:pPr>
                    <w:jc w:val="center"/>
                    <w:rPr>
                      <w:rFonts w:ascii="Times New Roman" w:hAnsi="Times New Roman" w:eastAsia="宋体" w:cs="Times New Roman"/>
                      <w:color w:val="auto"/>
                      <w:kern w:val="2"/>
                      <w:sz w:val="18"/>
                      <w:szCs w:val="18"/>
                      <w:lang w:val="en-US" w:eastAsia="zh-CN" w:bidi="ar-SA"/>
                    </w:rPr>
                  </w:pPr>
                  <w:r>
                    <w:rPr>
                      <w:color w:val="auto"/>
                      <w:sz w:val="18"/>
                      <w:szCs w:val="18"/>
                    </w:rPr>
                    <w:t>β-紫罗兰酮</w:t>
                  </w:r>
                </w:p>
              </w:tc>
              <w:tc>
                <w:tcPr>
                  <w:tcW w:w="2508" w:type="pct"/>
                  <w:shd w:val="clear" w:color="auto" w:fill="auto"/>
                  <w:vAlign w:val="top"/>
                </w:tcPr>
                <w:p w14:paraId="65DCA4D2">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淡黄色至黄色油状液体。密度：0.945 g/</w:t>
                  </w:r>
                  <w:r>
                    <w:rPr>
                      <w:rFonts w:hint="eastAsia"/>
                      <w:color w:val="auto"/>
                      <w:sz w:val="18"/>
                      <w:szCs w:val="18"/>
                    </w:rPr>
                    <w:t>cm</w:t>
                  </w:r>
                  <w:r>
                    <w:rPr>
                      <w:rFonts w:hint="eastAsia"/>
                      <w:color w:val="auto"/>
                      <w:sz w:val="18"/>
                      <w:szCs w:val="18"/>
                      <w:vertAlign w:val="superscript"/>
                    </w:rPr>
                    <w:t>3</w:t>
                  </w:r>
                  <w:r>
                    <w:rPr>
                      <w:color w:val="auto"/>
                      <w:sz w:val="18"/>
                      <w:szCs w:val="18"/>
                    </w:rPr>
                    <w:t>（25℃），沸点126-128℃（12 mmHg）。熔点：-49℃，闪点122℃（闭杯），溶于乙醇,二乙酯和二氯甲烷中</w:t>
                  </w:r>
                  <w:r>
                    <w:rPr>
                      <w:rFonts w:hint="eastAsia"/>
                      <w:color w:val="auto"/>
                      <w:sz w:val="18"/>
                      <w:szCs w:val="18"/>
                    </w:rPr>
                    <w:t>，</w:t>
                  </w:r>
                  <w:r>
                    <w:rPr>
                      <w:color w:val="auto"/>
                      <w:sz w:val="18"/>
                      <w:szCs w:val="18"/>
                    </w:rPr>
                    <w:t>微溶于水。</w:t>
                  </w:r>
                </w:p>
              </w:tc>
              <w:tc>
                <w:tcPr>
                  <w:tcW w:w="589" w:type="pct"/>
                  <w:shd w:val="clear" w:color="auto" w:fill="auto"/>
                  <w:vAlign w:val="center"/>
                </w:tcPr>
                <w:p w14:paraId="5CAC0260">
                  <w:pPr>
                    <w:adjustRightInd w:val="0"/>
                    <w:snapToGrid w:val="0"/>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w:t>
                  </w:r>
                </w:p>
              </w:tc>
              <w:tc>
                <w:tcPr>
                  <w:tcW w:w="803" w:type="pct"/>
                  <w:shd w:val="clear" w:color="auto" w:fill="auto"/>
                  <w:vAlign w:val="center"/>
                </w:tcPr>
                <w:p w14:paraId="7E243903">
                  <w:pPr>
                    <w:widowControl/>
                    <w:jc w:val="center"/>
                    <w:rPr>
                      <w:color w:val="auto"/>
                      <w:sz w:val="18"/>
                      <w:szCs w:val="18"/>
                    </w:rPr>
                  </w:pPr>
                  <w:r>
                    <w:rPr>
                      <w:color w:val="auto"/>
                      <w:kern w:val="0"/>
                      <w:sz w:val="18"/>
                      <w:szCs w:val="18"/>
                      <w:lang w:bidi="ar"/>
                    </w:rPr>
                    <w:t>LD</w:t>
                  </w:r>
                  <w:r>
                    <w:rPr>
                      <w:color w:val="auto"/>
                      <w:kern w:val="0"/>
                      <w:sz w:val="18"/>
                      <w:szCs w:val="18"/>
                      <w:vertAlign w:val="subscript"/>
                      <w:lang w:bidi="ar"/>
                    </w:rPr>
                    <w:t xml:space="preserve">50 </w:t>
                  </w:r>
                  <w:r>
                    <w:rPr>
                      <w:color w:val="auto"/>
                      <w:kern w:val="0"/>
                      <w:sz w:val="18"/>
                      <w:szCs w:val="18"/>
                      <w:lang w:bidi="ar"/>
                    </w:rPr>
                    <w:t>：</w:t>
                  </w:r>
                </w:p>
                <w:p w14:paraId="78B5D741">
                  <w:pPr>
                    <w:widowControl/>
                    <w:jc w:val="center"/>
                    <w:rPr>
                      <w:color w:val="auto"/>
                      <w:sz w:val="18"/>
                      <w:szCs w:val="18"/>
                    </w:rPr>
                  </w:pPr>
                  <w:r>
                    <w:rPr>
                      <w:color w:val="auto"/>
                      <w:kern w:val="0"/>
                      <w:sz w:val="18"/>
                      <w:szCs w:val="18"/>
                      <w:lang w:bidi="ar"/>
                    </w:rPr>
                    <w:t>4590mg/kg</w:t>
                  </w:r>
                </w:p>
                <w:p w14:paraId="111F480C">
                  <w:pPr>
                    <w:widowControl/>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（大鼠经口）</w:t>
                  </w:r>
                </w:p>
              </w:tc>
            </w:tr>
            <w:tr w14:paraId="228C78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21BFA0C1">
                  <w:pPr>
                    <w:adjustRightInd w:val="0"/>
                    <w:snapToGrid w:val="0"/>
                    <w:jc w:val="center"/>
                    <w:rPr>
                      <w:color w:val="auto"/>
                      <w:sz w:val="18"/>
                      <w:szCs w:val="18"/>
                    </w:rPr>
                  </w:pPr>
                  <w:r>
                    <w:rPr>
                      <w:color w:val="auto"/>
                      <w:sz w:val="18"/>
                      <w:szCs w:val="18"/>
                    </w:rPr>
                    <w:t>109</w:t>
                  </w:r>
                </w:p>
              </w:tc>
              <w:tc>
                <w:tcPr>
                  <w:tcW w:w="706" w:type="pct"/>
                  <w:shd w:val="clear" w:color="auto" w:fill="auto"/>
                  <w:vAlign w:val="center"/>
                </w:tcPr>
                <w:p w14:paraId="4F86C548">
                  <w:pPr>
                    <w:jc w:val="center"/>
                    <w:rPr>
                      <w:rFonts w:ascii="Times New Roman" w:hAnsi="Times New Roman" w:eastAsia="宋体" w:cs="Times New Roman"/>
                      <w:color w:val="auto"/>
                      <w:kern w:val="2"/>
                      <w:sz w:val="18"/>
                      <w:szCs w:val="18"/>
                      <w:lang w:val="en-US" w:eastAsia="zh-CN" w:bidi="ar-SA"/>
                    </w:rPr>
                  </w:pPr>
                  <w:r>
                    <w:rPr>
                      <w:color w:val="auto"/>
                      <w:sz w:val="18"/>
                      <w:szCs w:val="18"/>
                    </w:rPr>
                    <w:t>N-亚硝基正丙胺-D14</w:t>
                  </w:r>
                </w:p>
              </w:tc>
              <w:tc>
                <w:tcPr>
                  <w:tcW w:w="2508" w:type="pct"/>
                  <w:shd w:val="clear" w:color="auto" w:fill="auto"/>
                  <w:vAlign w:val="top"/>
                </w:tcPr>
                <w:p w14:paraId="004B4BB4">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无色至淡黄色油状液体。密度：1.013 g/mL</w:t>
                  </w:r>
                  <w:r>
                    <w:rPr>
                      <w:rFonts w:hint="eastAsia"/>
                      <w:color w:val="auto"/>
                      <w:sz w:val="18"/>
                      <w:szCs w:val="18"/>
                    </w:rPr>
                    <w:t>(</w:t>
                  </w:r>
                  <w:r>
                    <w:rPr>
                      <w:color w:val="auto"/>
                      <w:sz w:val="18"/>
                      <w:szCs w:val="18"/>
                    </w:rPr>
                    <w:t>25℃），沸点206℃（常压）。微溶于水，易溶于二氯甲烷、甲醇等有机溶剂。</w:t>
                  </w:r>
                </w:p>
              </w:tc>
              <w:tc>
                <w:tcPr>
                  <w:tcW w:w="589" w:type="pct"/>
                  <w:shd w:val="clear" w:color="auto" w:fill="auto"/>
                  <w:vAlign w:val="center"/>
                </w:tcPr>
                <w:p w14:paraId="63A3E51F">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2199C0F7">
                  <w:pPr>
                    <w:adjustRightInd w:val="0"/>
                    <w:snapToGrid w:val="0"/>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w:t>
                  </w:r>
                </w:p>
              </w:tc>
            </w:tr>
            <w:tr w14:paraId="38E34A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391" w:type="pct"/>
                  <w:vAlign w:val="center"/>
                </w:tcPr>
                <w:p w14:paraId="01F3FBDC">
                  <w:pPr>
                    <w:adjustRightInd w:val="0"/>
                    <w:snapToGrid w:val="0"/>
                    <w:jc w:val="center"/>
                    <w:rPr>
                      <w:color w:val="auto"/>
                      <w:sz w:val="18"/>
                      <w:szCs w:val="18"/>
                    </w:rPr>
                  </w:pPr>
                  <w:r>
                    <w:rPr>
                      <w:color w:val="auto"/>
                      <w:sz w:val="18"/>
                      <w:szCs w:val="18"/>
                    </w:rPr>
                    <w:t>110</w:t>
                  </w:r>
                </w:p>
              </w:tc>
              <w:tc>
                <w:tcPr>
                  <w:tcW w:w="706" w:type="pct"/>
                  <w:shd w:val="clear" w:color="auto" w:fill="auto"/>
                  <w:vAlign w:val="center"/>
                </w:tcPr>
                <w:p w14:paraId="0811E4BE">
                  <w:pPr>
                    <w:jc w:val="center"/>
                    <w:rPr>
                      <w:rFonts w:ascii="Times New Roman" w:hAnsi="Times New Roman" w:eastAsia="宋体" w:cs="Times New Roman"/>
                      <w:color w:val="auto"/>
                      <w:kern w:val="2"/>
                      <w:sz w:val="18"/>
                      <w:szCs w:val="18"/>
                      <w:lang w:val="en-US" w:eastAsia="zh-CN" w:bidi="ar-SA"/>
                    </w:rPr>
                  </w:pPr>
                  <w:r>
                    <w:rPr>
                      <w:color w:val="auto"/>
                      <w:sz w:val="18"/>
                      <w:szCs w:val="18"/>
                    </w:rPr>
                    <w:t>1,2,3,5-四氯苯</w:t>
                  </w:r>
                </w:p>
              </w:tc>
              <w:tc>
                <w:tcPr>
                  <w:tcW w:w="2508" w:type="pct"/>
                  <w:shd w:val="clear" w:color="auto" w:fill="auto"/>
                  <w:vAlign w:val="top"/>
                </w:tcPr>
                <w:p w14:paraId="5DC7FE8A">
                  <w:pPr>
                    <w:adjustRightInd w:val="0"/>
                    <w:snapToGrid w:val="0"/>
                    <w:jc w:val="left"/>
                    <w:rPr>
                      <w:color w:val="auto"/>
                      <w:sz w:val="18"/>
                      <w:szCs w:val="18"/>
                    </w:rPr>
                  </w:pPr>
                  <w:r>
                    <w:rPr>
                      <w:color w:val="auto"/>
                      <w:sz w:val="18"/>
                      <w:szCs w:val="18"/>
                    </w:rPr>
                    <w:t>白色结晶性粉末，密度1.573 g/cm</w:t>
                  </w:r>
                  <w:r>
                    <w:rPr>
                      <w:rFonts w:hint="eastAsia"/>
                      <w:color w:val="auto"/>
                      <w:sz w:val="18"/>
                      <w:szCs w:val="18"/>
                      <w:vertAlign w:val="superscript"/>
                    </w:rPr>
                    <w:t>3</w:t>
                  </w:r>
                  <w:r>
                    <w:rPr>
                      <w:color w:val="auto"/>
                      <w:sz w:val="18"/>
                      <w:szCs w:val="18"/>
                    </w:rPr>
                    <w:t>（25℃）。</w:t>
                  </w:r>
                </w:p>
                <w:p w14:paraId="0AC03CA8">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熔点54.5℃，沸点246℃，闪点113℃。溶于苯、乙醚、二硫化碳，微溶于热水。</w:t>
                  </w:r>
                </w:p>
              </w:tc>
              <w:tc>
                <w:tcPr>
                  <w:tcW w:w="589" w:type="pct"/>
                  <w:shd w:val="clear" w:color="auto" w:fill="auto"/>
                  <w:vAlign w:val="center"/>
                </w:tcPr>
                <w:p w14:paraId="3C2580DE">
                  <w:pPr>
                    <w:adjustRightInd w:val="0"/>
                    <w:snapToGrid w:val="0"/>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w:t>
                  </w:r>
                </w:p>
              </w:tc>
              <w:tc>
                <w:tcPr>
                  <w:tcW w:w="803" w:type="pct"/>
                  <w:shd w:val="clear" w:color="auto" w:fill="auto"/>
                  <w:vAlign w:val="center"/>
                </w:tcPr>
                <w:p w14:paraId="156EF0A5">
                  <w:pPr>
                    <w:widowControl/>
                    <w:jc w:val="center"/>
                    <w:rPr>
                      <w:color w:val="auto"/>
                      <w:sz w:val="18"/>
                      <w:szCs w:val="18"/>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w:t>
                  </w:r>
                </w:p>
                <w:p w14:paraId="50174224">
                  <w:pPr>
                    <w:widowControl/>
                    <w:jc w:val="center"/>
                    <w:rPr>
                      <w:color w:val="auto"/>
                      <w:sz w:val="18"/>
                      <w:szCs w:val="18"/>
                    </w:rPr>
                  </w:pPr>
                  <w:r>
                    <w:rPr>
                      <w:color w:val="auto"/>
                      <w:kern w:val="0"/>
                      <w:sz w:val="18"/>
                      <w:szCs w:val="18"/>
                      <w:lang w:bidi="ar"/>
                    </w:rPr>
                    <w:t>1727mg/kg</w:t>
                  </w:r>
                </w:p>
                <w:p w14:paraId="73235B6B">
                  <w:pPr>
                    <w:widowControl/>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（大鼠经口）</w:t>
                  </w:r>
                </w:p>
              </w:tc>
            </w:tr>
            <w:tr w14:paraId="071471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029C200D">
                  <w:pPr>
                    <w:adjustRightInd w:val="0"/>
                    <w:snapToGrid w:val="0"/>
                    <w:jc w:val="center"/>
                    <w:rPr>
                      <w:color w:val="auto"/>
                      <w:sz w:val="18"/>
                      <w:szCs w:val="18"/>
                    </w:rPr>
                  </w:pPr>
                  <w:r>
                    <w:rPr>
                      <w:color w:val="auto"/>
                      <w:sz w:val="18"/>
                      <w:szCs w:val="18"/>
                    </w:rPr>
                    <w:t>111</w:t>
                  </w:r>
                </w:p>
              </w:tc>
              <w:tc>
                <w:tcPr>
                  <w:tcW w:w="706" w:type="pct"/>
                  <w:shd w:val="clear" w:color="auto" w:fill="auto"/>
                  <w:vAlign w:val="center"/>
                </w:tcPr>
                <w:p w14:paraId="3A8651F6">
                  <w:pPr>
                    <w:jc w:val="center"/>
                    <w:rPr>
                      <w:rFonts w:ascii="Times New Roman" w:hAnsi="Times New Roman" w:eastAsia="宋体" w:cs="Times New Roman"/>
                      <w:color w:val="auto"/>
                      <w:kern w:val="2"/>
                      <w:sz w:val="18"/>
                      <w:szCs w:val="18"/>
                      <w:lang w:val="en-US" w:eastAsia="zh-CN" w:bidi="ar-SA"/>
                    </w:rPr>
                  </w:pPr>
                  <w:r>
                    <w:rPr>
                      <w:color w:val="auto"/>
                      <w:sz w:val="18"/>
                      <w:szCs w:val="18"/>
                    </w:rPr>
                    <w:t>十氟联苯</w:t>
                  </w:r>
                </w:p>
              </w:tc>
              <w:tc>
                <w:tcPr>
                  <w:tcW w:w="2508" w:type="pct"/>
                  <w:shd w:val="clear" w:color="auto" w:fill="auto"/>
                  <w:vAlign w:val="top"/>
                </w:tcPr>
                <w:p w14:paraId="4E032FE6">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白色晶体或粉末。‌熔点‌：68-70°C。‌沸点‌：206°C，另有数据标注为317.5°C（760 mmHg）。‌密度‌：1.785 g/cm</w:t>
                  </w:r>
                  <w:r>
                    <w:rPr>
                      <w:rFonts w:hint="eastAsia"/>
                      <w:color w:val="auto"/>
                      <w:sz w:val="18"/>
                      <w:szCs w:val="18"/>
                      <w:vertAlign w:val="superscript"/>
                    </w:rPr>
                    <w:t>3</w:t>
                  </w:r>
                  <w:r>
                    <w:rPr>
                      <w:color w:val="auto"/>
                      <w:sz w:val="18"/>
                      <w:szCs w:val="18"/>
                    </w:rPr>
                    <w:t>。微溶于氯仿、甲醇，不溶于水。需避免与强氧化剂接触。</w:t>
                  </w:r>
                </w:p>
              </w:tc>
              <w:tc>
                <w:tcPr>
                  <w:tcW w:w="589" w:type="pct"/>
                  <w:shd w:val="clear" w:color="auto" w:fill="auto"/>
                  <w:vAlign w:val="center"/>
                </w:tcPr>
                <w:p w14:paraId="6B5159C0">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2C1D9CC8">
                  <w:pPr>
                    <w:adjustRightInd w:val="0"/>
                    <w:snapToGrid w:val="0"/>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w:t>
                  </w:r>
                </w:p>
              </w:tc>
            </w:tr>
            <w:tr w14:paraId="1890DD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365CF5CB">
                  <w:pPr>
                    <w:adjustRightInd w:val="0"/>
                    <w:snapToGrid w:val="0"/>
                    <w:jc w:val="center"/>
                    <w:rPr>
                      <w:color w:val="auto"/>
                      <w:sz w:val="18"/>
                      <w:szCs w:val="18"/>
                    </w:rPr>
                  </w:pPr>
                  <w:r>
                    <w:rPr>
                      <w:color w:val="auto"/>
                      <w:sz w:val="18"/>
                      <w:szCs w:val="18"/>
                    </w:rPr>
                    <w:t>112</w:t>
                  </w:r>
                </w:p>
              </w:tc>
              <w:tc>
                <w:tcPr>
                  <w:tcW w:w="706" w:type="pct"/>
                  <w:shd w:val="clear" w:color="auto" w:fill="auto"/>
                  <w:vAlign w:val="center"/>
                </w:tcPr>
                <w:p w14:paraId="274E502E">
                  <w:pPr>
                    <w:jc w:val="center"/>
                    <w:rPr>
                      <w:rFonts w:ascii="Times New Roman" w:hAnsi="Times New Roman" w:eastAsia="宋体" w:cs="Times New Roman"/>
                      <w:color w:val="auto"/>
                      <w:kern w:val="2"/>
                      <w:sz w:val="18"/>
                      <w:szCs w:val="18"/>
                      <w:lang w:val="en-US" w:eastAsia="zh-CN" w:bidi="ar-SA"/>
                    </w:rPr>
                  </w:pPr>
                  <w:r>
                    <w:rPr>
                      <w:color w:val="auto"/>
                      <w:sz w:val="18"/>
                      <w:szCs w:val="18"/>
                    </w:rPr>
                    <w:t>乙草胺</w:t>
                  </w:r>
                </w:p>
              </w:tc>
              <w:tc>
                <w:tcPr>
                  <w:tcW w:w="2508" w:type="pct"/>
                  <w:shd w:val="clear" w:color="auto" w:fill="auto"/>
                  <w:vAlign w:val="center"/>
                </w:tcPr>
                <w:p w14:paraId="0266A99D">
                  <w:pPr>
                    <w:adjustRightInd w:val="0"/>
                    <w:snapToGrid w:val="0"/>
                    <w:rPr>
                      <w:rFonts w:ascii="Times New Roman" w:hAnsi="Times New Roman" w:eastAsia="宋体" w:cs="Times New Roman"/>
                      <w:color w:val="auto"/>
                      <w:kern w:val="2"/>
                      <w:sz w:val="18"/>
                      <w:szCs w:val="18"/>
                      <w:lang w:val="en-US" w:eastAsia="zh-CN" w:bidi="ar-SA"/>
                    </w:rPr>
                  </w:pPr>
                  <w:r>
                    <w:rPr>
                      <w:color w:val="auto"/>
                      <w:sz w:val="18"/>
                      <w:szCs w:val="18"/>
                    </w:rPr>
                    <w:t>浅棕色液体，沸点391.5℃，密度1.1 g/cm</w:t>
                  </w:r>
                  <w:r>
                    <w:rPr>
                      <w:rFonts w:hint="eastAsia"/>
                      <w:color w:val="auto"/>
                      <w:sz w:val="18"/>
                      <w:szCs w:val="18"/>
                      <w:vertAlign w:val="superscript"/>
                    </w:rPr>
                    <w:t>3</w:t>
                  </w:r>
                  <w:r>
                    <w:rPr>
                      <w:color w:val="auto"/>
                      <w:sz w:val="18"/>
                      <w:szCs w:val="18"/>
                    </w:rPr>
                    <w:t>，微溶于水，易溶于有机溶剂。</w:t>
                  </w:r>
                </w:p>
              </w:tc>
              <w:tc>
                <w:tcPr>
                  <w:tcW w:w="589" w:type="pct"/>
                  <w:shd w:val="clear" w:color="auto" w:fill="auto"/>
                  <w:vAlign w:val="center"/>
                </w:tcPr>
                <w:p w14:paraId="3785A8A7">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1CD76C5F">
                  <w:pPr>
                    <w:widowControl/>
                    <w:jc w:val="center"/>
                    <w:rPr>
                      <w:color w:val="auto"/>
                      <w:sz w:val="18"/>
                      <w:szCs w:val="18"/>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 xml:space="preserve"> ：</w:t>
                  </w:r>
                </w:p>
                <w:p w14:paraId="7DB13E2F">
                  <w:pPr>
                    <w:widowControl/>
                    <w:jc w:val="center"/>
                    <w:rPr>
                      <w:color w:val="auto"/>
                      <w:sz w:val="18"/>
                      <w:szCs w:val="18"/>
                    </w:rPr>
                  </w:pPr>
                  <w:r>
                    <w:rPr>
                      <w:rFonts w:hint="eastAsia"/>
                      <w:color w:val="auto"/>
                      <w:kern w:val="0"/>
                      <w:sz w:val="18"/>
                      <w:szCs w:val="18"/>
                      <w:lang w:bidi="ar"/>
                    </w:rPr>
                    <w:t>76</w:t>
                  </w:r>
                  <w:r>
                    <w:rPr>
                      <w:color w:val="auto"/>
                      <w:kern w:val="0"/>
                      <w:sz w:val="18"/>
                      <w:szCs w:val="18"/>
                      <w:lang w:bidi="ar"/>
                    </w:rPr>
                    <w:t>3mg/kg</w:t>
                  </w:r>
                </w:p>
                <w:p w14:paraId="7FF0CCA2">
                  <w:pPr>
                    <w:adjustRightInd w:val="0"/>
                    <w:snapToGrid w:val="0"/>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（大鼠经口）</w:t>
                  </w:r>
                </w:p>
              </w:tc>
            </w:tr>
            <w:tr w14:paraId="7EAD1D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087EE620">
                  <w:pPr>
                    <w:adjustRightInd w:val="0"/>
                    <w:snapToGrid w:val="0"/>
                    <w:jc w:val="center"/>
                    <w:rPr>
                      <w:color w:val="auto"/>
                      <w:sz w:val="18"/>
                      <w:szCs w:val="18"/>
                    </w:rPr>
                  </w:pPr>
                  <w:r>
                    <w:rPr>
                      <w:color w:val="auto"/>
                      <w:sz w:val="18"/>
                      <w:szCs w:val="18"/>
                    </w:rPr>
                    <w:t>113</w:t>
                  </w:r>
                </w:p>
              </w:tc>
              <w:tc>
                <w:tcPr>
                  <w:tcW w:w="706" w:type="pct"/>
                  <w:shd w:val="clear" w:color="auto" w:fill="auto"/>
                  <w:vAlign w:val="center"/>
                </w:tcPr>
                <w:p w14:paraId="074EFC2C">
                  <w:pPr>
                    <w:jc w:val="center"/>
                    <w:rPr>
                      <w:rFonts w:ascii="Times New Roman" w:hAnsi="Times New Roman" w:eastAsia="宋体" w:cs="Times New Roman"/>
                      <w:color w:val="auto"/>
                      <w:kern w:val="2"/>
                      <w:sz w:val="18"/>
                      <w:szCs w:val="18"/>
                      <w:lang w:val="en-US" w:eastAsia="zh-CN" w:bidi="ar-SA"/>
                    </w:rPr>
                  </w:pPr>
                  <w:r>
                    <w:rPr>
                      <w:color w:val="auto"/>
                      <w:sz w:val="18"/>
                      <w:szCs w:val="18"/>
                    </w:rPr>
                    <w:t>己二酸二-2-乙基己基酯（A)</w:t>
                  </w:r>
                </w:p>
              </w:tc>
              <w:tc>
                <w:tcPr>
                  <w:tcW w:w="2508" w:type="pct"/>
                  <w:shd w:val="clear" w:color="auto" w:fill="auto"/>
                  <w:vAlign w:val="top"/>
                </w:tcPr>
                <w:p w14:paraId="7C2CCD57">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无色或淡黄色油状液体，微具特殊气味，密度约0.927 g/cm</w:t>
                  </w:r>
                  <w:r>
                    <w:rPr>
                      <w:rFonts w:hint="eastAsia"/>
                      <w:color w:val="auto"/>
                      <w:sz w:val="18"/>
                      <w:szCs w:val="18"/>
                      <w:vertAlign w:val="superscript"/>
                    </w:rPr>
                    <w:t>3</w:t>
                  </w:r>
                  <w:r>
                    <w:rPr>
                      <w:color w:val="auto"/>
                      <w:sz w:val="18"/>
                      <w:szCs w:val="18"/>
                    </w:rPr>
                    <w:t>，沸点374.4（760mmHg），熔点-67.8℃，溶于甲醇、甲苯、氯溶剂、醋酸乙酯、矿物油、植物油等有机溶剂，不溶于水，微溶于乙二</w:t>
                  </w:r>
                  <w:r>
                    <w:rPr>
                      <w:rFonts w:hint="eastAsia"/>
                      <w:color w:val="auto"/>
                      <w:sz w:val="18"/>
                      <w:szCs w:val="18"/>
                    </w:rPr>
                    <w:t>醇。</w:t>
                  </w:r>
                </w:p>
              </w:tc>
              <w:tc>
                <w:tcPr>
                  <w:tcW w:w="589" w:type="pct"/>
                  <w:shd w:val="clear" w:color="auto" w:fill="auto"/>
                  <w:vAlign w:val="center"/>
                </w:tcPr>
                <w:p w14:paraId="5DCE8CFF">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34D5871C">
                  <w:pPr>
                    <w:adjustRightInd w:val="0"/>
                    <w:snapToGrid w:val="0"/>
                    <w:jc w:val="center"/>
                    <w:rPr>
                      <w:rFonts w:ascii="Times New Roman" w:hAnsi="Times New Roman" w:eastAsia="宋体" w:cs="Times New Roman"/>
                      <w:color w:val="auto"/>
                      <w:kern w:val="2"/>
                      <w:sz w:val="18"/>
                      <w:szCs w:val="18"/>
                      <w:lang w:val="en-US" w:eastAsia="zh-CN" w:bidi="ar-SA"/>
                    </w:rPr>
                  </w:pPr>
                  <w:r>
                    <w:rPr>
                      <w:rFonts w:hint="eastAsia"/>
                      <w:color w:val="auto"/>
                      <w:kern w:val="0"/>
                      <w:sz w:val="18"/>
                      <w:szCs w:val="18"/>
                      <w:lang w:bidi="ar"/>
                    </w:rPr>
                    <w:t>/</w:t>
                  </w:r>
                </w:p>
              </w:tc>
            </w:tr>
            <w:tr w14:paraId="7E2D5B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391" w:type="pct"/>
                  <w:vAlign w:val="center"/>
                </w:tcPr>
                <w:p w14:paraId="52417549">
                  <w:pPr>
                    <w:adjustRightInd w:val="0"/>
                    <w:snapToGrid w:val="0"/>
                    <w:jc w:val="center"/>
                    <w:rPr>
                      <w:color w:val="auto"/>
                      <w:sz w:val="18"/>
                      <w:szCs w:val="18"/>
                    </w:rPr>
                  </w:pPr>
                  <w:r>
                    <w:rPr>
                      <w:color w:val="auto"/>
                      <w:sz w:val="18"/>
                      <w:szCs w:val="18"/>
                    </w:rPr>
                    <w:t>114</w:t>
                  </w:r>
                </w:p>
              </w:tc>
              <w:tc>
                <w:tcPr>
                  <w:tcW w:w="706" w:type="pct"/>
                  <w:shd w:val="clear" w:color="auto" w:fill="auto"/>
                  <w:vAlign w:val="center"/>
                </w:tcPr>
                <w:p w14:paraId="343D5673">
                  <w:pPr>
                    <w:jc w:val="center"/>
                    <w:rPr>
                      <w:rFonts w:ascii="Times New Roman" w:hAnsi="Times New Roman" w:eastAsia="宋体" w:cs="Times New Roman"/>
                      <w:color w:val="auto"/>
                      <w:kern w:val="2"/>
                      <w:sz w:val="18"/>
                      <w:szCs w:val="18"/>
                      <w:lang w:val="en-US" w:eastAsia="zh-CN" w:bidi="ar-SA"/>
                    </w:rPr>
                  </w:pPr>
                  <w:r>
                    <w:rPr>
                      <w:color w:val="auto"/>
                      <w:sz w:val="18"/>
                      <w:szCs w:val="18"/>
                    </w:rPr>
                    <w:t>2,4,6-三氯苯甲醚</w:t>
                  </w:r>
                </w:p>
              </w:tc>
              <w:tc>
                <w:tcPr>
                  <w:tcW w:w="2508" w:type="pct"/>
                  <w:shd w:val="clear" w:color="auto" w:fill="auto"/>
                  <w:vAlign w:val="center"/>
                </w:tcPr>
                <w:p w14:paraId="3CF54223">
                  <w:pPr>
                    <w:adjustRightInd w:val="0"/>
                    <w:snapToGrid w:val="0"/>
                    <w:rPr>
                      <w:color w:val="auto"/>
                      <w:sz w:val="18"/>
                      <w:szCs w:val="18"/>
                    </w:rPr>
                  </w:pPr>
                  <w:r>
                    <w:rPr>
                      <w:color w:val="auto"/>
                      <w:sz w:val="18"/>
                      <w:szCs w:val="18"/>
                    </w:rPr>
                    <w:t>淡黄色至白色结晶性粉末。密度：1.41</w:t>
                  </w:r>
                  <w:r>
                    <w:rPr>
                      <w:rFonts w:hint="eastAsia"/>
                      <w:color w:val="auto"/>
                      <w:sz w:val="18"/>
                      <w:szCs w:val="18"/>
                    </w:rPr>
                    <w:t>7</w:t>
                  </w:r>
                  <w:r>
                    <w:rPr>
                      <w:color w:val="auto"/>
                      <w:sz w:val="18"/>
                      <w:szCs w:val="18"/>
                    </w:rPr>
                    <w:t>g/cm</w:t>
                  </w:r>
                  <w:r>
                    <w:rPr>
                      <w:rFonts w:hint="eastAsia"/>
                      <w:color w:val="auto"/>
                      <w:sz w:val="18"/>
                      <w:szCs w:val="18"/>
                      <w:vertAlign w:val="superscript"/>
                    </w:rPr>
                    <w:t>3</w:t>
                  </w:r>
                  <w:r>
                    <w:rPr>
                      <w:color w:val="auto"/>
                      <w:sz w:val="18"/>
                      <w:szCs w:val="18"/>
                    </w:rPr>
                    <w:t>；</w:t>
                  </w:r>
                </w:p>
                <w:p w14:paraId="2879D0A2">
                  <w:pPr>
                    <w:adjustRightInd w:val="0"/>
                    <w:snapToGrid w:val="0"/>
                    <w:rPr>
                      <w:color w:val="auto"/>
                      <w:sz w:val="18"/>
                      <w:szCs w:val="18"/>
                    </w:rPr>
                  </w:pPr>
                  <w:r>
                    <w:rPr>
                      <w:color w:val="auto"/>
                      <w:sz w:val="18"/>
                      <w:szCs w:val="18"/>
                    </w:rPr>
                    <w:t>熔点：60-62°C；沸点：132°C（28 mmHg）。</w:t>
                  </w:r>
                </w:p>
                <w:p w14:paraId="3AC595D6">
                  <w:pPr>
                    <w:adjustRightInd w:val="0"/>
                    <w:snapToGrid w:val="0"/>
                    <w:rPr>
                      <w:rFonts w:ascii="Times New Roman" w:hAnsi="Times New Roman" w:eastAsia="宋体" w:cs="Times New Roman"/>
                      <w:color w:val="auto"/>
                      <w:kern w:val="2"/>
                      <w:sz w:val="18"/>
                      <w:szCs w:val="18"/>
                      <w:lang w:val="en-US" w:eastAsia="zh-CN" w:bidi="ar-SA"/>
                    </w:rPr>
                  </w:pPr>
                  <w:r>
                    <w:rPr>
                      <w:color w:val="auto"/>
                      <w:sz w:val="18"/>
                      <w:szCs w:val="18"/>
                    </w:rPr>
                    <w:t>‌微溶于水，易溶于甲醇、乙醇等有机溶剂。</w:t>
                  </w:r>
                </w:p>
              </w:tc>
              <w:tc>
                <w:tcPr>
                  <w:tcW w:w="589" w:type="pct"/>
                  <w:shd w:val="clear" w:color="auto" w:fill="auto"/>
                  <w:vAlign w:val="center"/>
                </w:tcPr>
                <w:p w14:paraId="60F0DBED">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1331F269">
                  <w:pPr>
                    <w:adjustRightInd w:val="0"/>
                    <w:snapToGrid w:val="0"/>
                    <w:jc w:val="center"/>
                    <w:rPr>
                      <w:rFonts w:ascii="Times New Roman" w:hAnsi="Times New Roman" w:eastAsia="宋体" w:cs="Times New Roman"/>
                      <w:color w:val="auto"/>
                      <w:kern w:val="2"/>
                      <w:sz w:val="18"/>
                      <w:szCs w:val="18"/>
                      <w:lang w:val="en-US" w:eastAsia="zh-CN" w:bidi="ar-SA"/>
                    </w:rPr>
                  </w:pPr>
                  <w:r>
                    <w:rPr>
                      <w:rFonts w:hint="eastAsia"/>
                      <w:color w:val="auto"/>
                      <w:kern w:val="0"/>
                      <w:sz w:val="18"/>
                      <w:szCs w:val="18"/>
                      <w:lang w:bidi="ar"/>
                    </w:rPr>
                    <w:t>/</w:t>
                  </w:r>
                </w:p>
              </w:tc>
            </w:tr>
            <w:tr w14:paraId="31E0AB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391" w:type="pct"/>
                  <w:vAlign w:val="center"/>
                </w:tcPr>
                <w:p w14:paraId="2D18F755">
                  <w:pPr>
                    <w:adjustRightInd w:val="0"/>
                    <w:snapToGrid w:val="0"/>
                    <w:jc w:val="center"/>
                    <w:rPr>
                      <w:color w:val="auto"/>
                      <w:sz w:val="18"/>
                      <w:szCs w:val="18"/>
                    </w:rPr>
                  </w:pPr>
                  <w:r>
                    <w:rPr>
                      <w:color w:val="auto"/>
                      <w:sz w:val="18"/>
                      <w:szCs w:val="18"/>
                    </w:rPr>
                    <w:t>115</w:t>
                  </w:r>
                </w:p>
              </w:tc>
              <w:tc>
                <w:tcPr>
                  <w:tcW w:w="706" w:type="pct"/>
                  <w:shd w:val="clear" w:color="auto" w:fill="auto"/>
                  <w:vAlign w:val="center"/>
                </w:tcPr>
                <w:p w14:paraId="31D53B3E">
                  <w:pPr>
                    <w:jc w:val="center"/>
                    <w:rPr>
                      <w:rFonts w:ascii="Times New Roman" w:hAnsi="Times New Roman" w:eastAsia="宋体" w:cs="Times New Roman"/>
                      <w:color w:val="auto"/>
                      <w:kern w:val="2"/>
                      <w:sz w:val="18"/>
                      <w:szCs w:val="18"/>
                      <w:lang w:val="en-US" w:eastAsia="zh-CN" w:bidi="ar-SA"/>
                    </w:rPr>
                  </w:pPr>
                  <w:r>
                    <w:rPr>
                      <w:color w:val="auto"/>
                      <w:sz w:val="18"/>
                      <w:szCs w:val="18"/>
                    </w:rPr>
                    <w:t>2,3,6-三氯苯甲醚</w:t>
                  </w:r>
                </w:p>
              </w:tc>
              <w:tc>
                <w:tcPr>
                  <w:tcW w:w="2508" w:type="pct"/>
                  <w:shd w:val="clear" w:color="auto" w:fill="auto"/>
                  <w:vAlign w:val="center"/>
                </w:tcPr>
                <w:p w14:paraId="38B485A5">
                  <w:pPr>
                    <w:adjustRightInd w:val="0"/>
                    <w:snapToGrid w:val="0"/>
                    <w:rPr>
                      <w:color w:val="auto"/>
                      <w:sz w:val="18"/>
                      <w:szCs w:val="18"/>
                    </w:rPr>
                  </w:pPr>
                  <w:r>
                    <w:rPr>
                      <w:color w:val="auto"/>
                      <w:sz w:val="18"/>
                      <w:szCs w:val="18"/>
                    </w:rPr>
                    <w:t>白色至淡黄色结晶或粉末；密度：1.416 g/cm</w:t>
                  </w:r>
                  <w:r>
                    <w:rPr>
                      <w:rFonts w:hint="eastAsia"/>
                      <w:color w:val="auto"/>
                      <w:sz w:val="18"/>
                      <w:szCs w:val="18"/>
                      <w:vertAlign w:val="superscript"/>
                    </w:rPr>
                    <w:t>3</w:t>
                  </w:r>
                  <w:r>
                    <w:rPr>
                      <w:color w:val="auto"/>
                      <w:sz w:val="18"/>
                      <w:szCs w:val="18"/>
                    </w:rPr>
                    <w:t>；</w:t>
                  </w:r>
                </w:p>
                <w:p w14:paraId="1D03FC4E">
                  <w:pPr>
                    <w:adjustRightInd w:val="0"/>
                    <w:snapToGrid w:val="0"/>
                    <w:rPr>
                      <w:rFonts w:ascii="Times New Roman" w:hAnsi="Times New Roman" w:eastAsia="宋体" w:cs="Times New Roman"/>
                      <w:color w:val="auto"/>
                      <w:kern w:val="2"/>
                      <w:sz w:val="18"/>
                      <w:szCs w:val="18"/>
                      <w:lang w:val="en-US" w:eastAsia="zh-CN" w:bidi="ar-SA"/>
                    </w:rPr>
                  </w:pPr>
                  <w:r>
                    <w:rPr>
                      <w:color w:val="auto"/>
                      <w:sz w:val="18"/>
                      <w:szCs w:val="18"/>
                    </w:rPr>
                    <w:t>熔点：45°C。‌微溶于水，易溶于甲醇、乙醚等有机溶剂。</w:t>
                  </w:r>
                </w:p>
              </w:tc>
              <w:tc>
                <w:tcPr>
                  <w:tcW w:w="589" w:type="pct"/>
                  <w:shd w:val="clear" w:color="auto" w:fill="auto"/>
                  <w:vAlign w:val="center"/>
                </w:tcPr>
                <w:p w14:paraId="496A7725">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1469975E">
                  <w:pPr>
                    <w:adjustRightInd w:val="0"/>
                    <w:snapToGrid w:val="0"/>
                    <w:jc w:val="center"/>
                    <w:rPr>
                      <w:rFonts w:ascii="Times New Roman" w:hAnsi="Times New Roman" w:eastAsia="宋体" w:cs="Times New Roman"/>
                      <w:color w:val="auto"/>
                      <w:kern w:val="2"/>
                      <w:sz w:val="18"/>
                      <w:szCs w:val="18"/>
                      <w:lang w:val="en-US" w:eastAsia="zh-CN" w:bidi="ar-SA"/>
                    </w:rPr>
                  </w:pPr>
                  <w:r>
                    <w:rPr>
                      <w:rFonts w:hint="eastAsia"/>
                      <w:color w:val="auto"/>
                      <w:kern w:val="0"/>
                      <w:sz w:val="18"/>
                      <w:szCs w:val="18"/>
                      <w:lang w:bidi="ar"/>
                    </w:rPr>
                    <w:t>/</w:t>
                  </w:r>
                </w:p>
              </w:tc>
            </w:tr>
            <w:tr w14:paraId="52CB2B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1315546B">
                  <w:pPr>
                    <w:adjustRightInd w:val="0"/>
                    <w:snapToGrid w:val="0"/>
                    <w:jc w:val="center"/>
                    <w:rPr>
                      <w:color w:val="auto"/>
                      <w:sz w:val="18"/>
                      <w:szCs w:val="18"/>
                    </w:rPr>
                  </w:pPr>
                  <w:r>
                    <w:rPr>
                      <w:color w:val="auto"/>
                      <w:sz w:val="18"/>
                      <w:szCs w:val="18"/>
                    </w:rPr>
                    <w:t>116</w:t>
                  </w:r>
                </w:p>
              </w:tc>
              <w:tc>
                <w:tcPr>
                  <w:tcW w:w="706" w:type="pct"/>
                  <w:shd w:val="clear" w:color="auto" w:fill="auto"/>
                  <w:vAlign w:val="center"/>
                </w:tcPr>
                <w:p w14:paraId="345454E1">
                  <w:pPr>
                    <w:jc w:val="center"/>
                    <w:rPr>
                      <w:rFonts w:ascii="Times New Roman" w:hAnsi="Times New Roman" w:eastAsia="宋体" w:cs="Times New Roman"/>
                      <w:color w:val="auto"/>
                      <w:kern w:val="2"/>
                      <w:sz w:val="18"/>
                      <w:szCs w:val="18"/>
                      <w:lang w:val="en-US" w:eastAsia="zh-CN" w:bidi="ar-SA"/>
                    </w:rPr>
                  </w:pPr>
                  <w:r>
                    <w:rPr>
                      <w:color w:val="auto"/>
                      <w:sz w:val="18"/>
                      <w:szCs w:val="18"/>
                    </w:rPr>
                    <w:t>2,3,4-三氯苯甲醚</w:t>
                  </w:r>
                </w:p>
              </w:tc>
              <w:tc>
                <w:tcPr>
                  <w:tcW w:w="2508" w:type="pct"/>
                  <w:shd w:val="clear" w:color="auto" w:fill="auto"/>
                  <w:vAlign w:val="center"/>
                </w:tcPr>
                <w:p w14:paraId="22490492">
                  <w:pPr>
                    <w:adjustRightInd w:val="0"/>
                    <w:snapToGrid w:val="0"/>
                    <w:rPr>
                      <w:rFonts w:ascii="Times New Roman" w:hAnsi="Times New Roman" w:eastAsia="宋体" w:cs="Times New Roman"/>
                      <w:color w:val="auto"/>
                      <w:kern w:val="2"/>
                      <w:sz w:val="18"/>
                      <w:szCs w:val="18"/>
                      <w:lang w:val="en-US" w:eastAsia="zh-CN" w:bidi="ar-SA"/>
                    </w:rPr>
                  </w:pPr>
                  <w:r>
                    <w:rPr>
                      <w:color w:val="auto"/>
                      <w:sz w:val="18"/>
                      <w:szCs w:val="18"/>
                    </w:rPr>
                    <w:t>灰白色固体（常温）熔点：70.5°C</w:t>
                  </w:r>
                  <w:r>
                    <w:rPr>
                      <w:rFonts w:hint="eastAsia"/>
                      <w:color w:val="auto"/>
                      <w:sz w:val="18"/>
                      <w:szCs w:val="18"/>
                    </w:rPr>
                    <w:t>，</w:t>
                  </w:r>
                  <w:r>
                    <w:rPr>
                      <w:color w:val="auto"/>
                      <w:sz w:val="18"/>
                      <w:szCs w:val="18"/>
                    </w:rPr>
                    <w:t>部分数据为151-154°C，可能因纯度差异。密度：1.416 g/cm</w:t>
                  </w:r>
                  <w:r>
                    <w:rPr>
                      <w:rFonts w:hint="eastAsia"/>
                      <w:color w:val="auto"/>
                      <w:sz w:val="18"/>
                      <w:szCs w:val="18"/>
                      <w:vertAlign w:val="superscript"/>
                    </w:rPr>
                    <w:t>3</w:t>
                  </w:r>
                  <w:r>
                    <w:rPr>
                      <w:color w:val="auto"/>
                      <w:sz w:val="18"/>
                      <w:szCs w:val="18"/>
                    </w:rPr>
                    <w:t>。微溶于甲醇，易溶于有机溶剂如乙醚。‌结构‌：苯环上1、2、3位被氯取代，4位为甲氧基（-OCH₃）。常温稳定，需避光保存，避免与氧化剂接触。</w:t>
                  </w:r>
                </w:p>
              </w:tc>
              <w:tc>
                <w:tcPr>
                  <w:tcW w:w="589" w:type="pct"/>
                  <w:shd w:val="clear" w:color="auto" w:fill="auto"/>
                  <w:vAlign w:val="center"/>
                </w:tcPr>
                <w:p w14:paraId="66411DCB">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018E7FD8">
                  <w:pPr>
                    <w:adjustRightInd w:val="0"/>
                    <w:snapToGrid w:val="0"/>
                    <w:jc w:val="center"/>
                    <w:rPr>
                      <w:rFonts w:ascii="Times New Roman" w:hAnsi="Times New Roman" w:eastAsia="宋体" w:cs="Times New Roman"/>
                      <w:color w:val="auto"/>
                      <w:kern w:val="2"/>
                      <w:sz w:val="18"/>
                      <w:szCs w:val="18"/>
                      <w:lang w:val="en-US" w:eastAsia="zh-CN" w:bidi="ar-SA"/>
                    </w:rPr>
                  </w:pPr>
                  <w:r>
                    <w:rPr>
                      <w:rFonts w:hint="eastAsia"/>
                      <w:color w:val="auto"/>
                      <w:kern w:val="0"/>
                      <w:sz w:val="18"/>
                      <w:szCs w:val="18"/>
                      <w:lang w:bidi="ar"/>
                    </w:rPr>
                    <w:t>/</w:t>
                  </w:r>
                </w:p>
              </w:tc>
            </w:tr>
            <w:tr w14:paraId="30EC4E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57426A87">
                  <w:pPr>
                    <w:adjustRightInd w:val="0"/>
                    <w:snapToGrid w:val="0"/>
                    <w:jc w:val="center"/>
                    <w:rPr>
                      <w:color w:val="auto"/>
                      <w:sz w:val="18"/>
                      <w:szCs w:val="18"/>
                    </w:rPr>
                  </w:pPr>
                  <w:r>
                    <w:rPr>
                      <w:color w:val="auto"/>
                      <w:sz w:val="18"/>
                      <w:szCs w:val="18"/>
                    </w:rPr>
                    <w:t>117</w:t>
                  </w:r>
                </w:p>
              </w:tc>
              <w:tc>
                <w:tcPr>
                  <w:tcW w:w="706" w:type="pct"/>
                  <w:shd w:val="clear" w:color="auto" w:fill="auto"/>
                  <w:vAlign w:val="center"/>
                </w:tcPr>
                <w:p w14:paraId="29FDA4AC">
                  <w:pPr>
                    <w:jc w:val="center"/>
                    <w:rPr>
                      <w:rFonts w:ascii="Times New Roman" w:hAnsi="Times New Roman" w:eastAsia="宋体" w:cs="Times New Roman"/>
                      <w:color w:val="auto"/>
                      <w:kern w:val="2"/>
                      <w:sz w:val="18"/>
                      <w:szCs w:val="18"/>
                      <w:lang w:val="en-US" w:eastAsia="zh-CN" w:bidi="ar-SA"/>
                    </w:rPr>
                  </w:pPr>
                  <w:r>
                    <w:rPr>
                      <w:color w:val="auto"/>
                      <w:sz w:val="18"/>
                      <w:szCs w:val="18"/>
                    </w:rPr>
                    <w:t>铅</w:t>
                  </w:r>
                </w:p>
              </w:tc>
              <w:tc>
                <w:tcPr>
                  <w:tcW w:w="2508" w:type="pct"/>
                  <w:shd w:val="clear" w:color="auto" w:fill="auto"/>
                  <w:vAlign w:val="top"/>
                </w:tcPr>
                <w:p w14:paraId="02A315FB">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纯净铅呈银白色略带蓝色金属光泽，在空气中迅速氧化形成暗灰色保护膜（碱式碳酸铅或氧化铅）‌。密度高达11.34</w:t>
                  </w:r>
                  <w:r>
                    <w:rPr>
                      <w:rFonts w:hint="eastAsia"/>
                      <w:color w:val="auto"/>
                      <w:sz w:val="18"/>
                      <w:szCs w:val="18"/>
                    </w:rPr>
                    <w:t>37</w:t>
                  </w:r>
                  <w:r>
                    <w:rPr>
                      <w:color w:val="auto"/>
                      <w:sz w:val="18"/>
                      <w:szCs w:val="18"/>
                    </w:rPr>
                    <w:t>g/cm</w:t>
                  </w:r>
                  <w:r>
                    <w:rPr>
                      <w:rFonts w:hint="eastAsia"/>
                      <w:color w:val="auto"/>
                      <w:sz w:val="18"/>
                      <w:szCs w:val="18"/>
                      <w:vertAlign w:val="superscript"/>
                    </w:rPr>
                    <w:t>3</w:t>
                  </w:r>
                  <w:r>
                    <w:rPr>
                      <w:color w:val="auto"/>
                      <w:sz w:val="18"/>
                      <w:szCs w:val="18"/>
                    </w:rPr>
                    <w:t>，熔点327.4</w:t>
                  </w:r>
                  <w:r>
                    <w:rPr>
                      <w:rFonts w:hint="eastAsia"/>
                      <w:color w:val="auto"/>
                      <w:sz w:val="18"/>
                      <w:szCs w:val="18"/>
                    </w:rPr>
                    <w:t>6</w:t>
                  </w:r>
                  <w:r>
                    <w:rPr>
                      <w:color w:val="auto"/>
                      <w:sz w:val="18"/>
                      <w:szCs w:val="18"/>
                    </w:rPr>
                    <w:t>℃，沸点</w:t>
                  </w:r>
                  <w:r>
                    <w:rPr>
                      <w:rFonts w:hint="eastAsia"/>
                      <w:color w:val="auto"/>
                      <w:sz w:val="18"/>
                      <w:szCs w:val="18"/>
                    </w:rPr>
                    <w:t>1740</w:t>
                  </w:r>
                  <w:r>
                    <w:rPr>
                      <w:color w:val="auto"/>
                      <w:sz w:val="18"/>
                      <w:szCs w:val="18"/>
                    </w:rPr>
                    <w:t>℃‌。‌</w:t>
                  </w:r>
                </w:p>
              </w:tc>
              <w:tc>
                <w:tcPr>
                  <w:tcW w:w="589" w:type="pct"/>
                  <w:shd w:val="clear" w:color="auto" w:fill="auto"/>
                  <w:vAlign w:val="center"/>
                </w:tcPr>
                <w:p w14:paraId="458EFA33">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19216354">
                  <w:pPr>
                    <w:adjustRightInd w:val="0"/>
                    <w:snapToGrid w:val="0"/>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w:t>
                  </w:r>
                </w:p>
              </w:tc>
            </w:tr>
            <w:tr w14:paraId="350996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747D2B4F">
                  <w:pPr>
                    <w:adjustRightInd w:val="0"/>
                    <w:snapToGrid w:val="0"/>
                    <w:jc w:val="center"/>
                    <w:rPr>
                      <w:color w:val="auto"/>
                      <w:sz w:val="18"/>
                      <w:szCs w:val="18"/>
                    </w:rPr>
                  </w:pPr>
                  <w:r>
                    <w:rPr>
                      <w:color w:val="auto"/>
                      <w:sz w:val="18"/>
                      <w:szCs w:val="18"/>
                    </w:rPr>
                    <w:t>118</w:t>
                  </w:r>
                </w:p>
              </w:tc>
              <w:tc>
                <w:tcPr>
                  <w:tcW w:w="706" w:type="pct"/>
                  <w:shd w:val="clear" w:color="auto" w:fill="auto"/>
                  <w:vAlign w:val="center"/>
                </w:tcPr>
                <w:p w14:paraId="00F37D2C">
                  <w:pPr>
                    <w:jc w:val="center"/>
                    <w:rPr>
                      <w:rFonts w:ascii="Times New Roman" w:hAnsi="Times New Roman" w:eastAsia="宋体" w:cs="Times New Roman"/>
                      <w:color w:val="auto"/>
                      <w:kern w:val="2"/>
                      <w:sz w:val="18"/>
                      <w:szCs w:val="18"/>
                      <w:lang w:val="en-US" w:eastAsia="zh-CN" w:bidi="ar-SA"/>
                    </w:rPr>
                  </w:pPr>
                  <w:r>
                    <w:rPr>
                      <w:color w:val="auto"/>
                      <w:sz w:val="18"/>
                      <w:szCs w:val="18"/>
                    </w:rPr>
                    <w:t>镉</w:t>
                  </w:r>
                </w:p>
              </w:tc>
              <w:tc>
                <w:tcPr>
                  <w:tcW w:w="2508" w:type="pct"/>
                  <w:shd w:val="clear" w:color="auto" w:fill="auto"/>
                  <w:vAlign w:val="top"/>
                </w:tcPr>
                <w:p w14:paraId="160EC9A5">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银白色有韧性金属，六方晶系，带淡蓝色光泽，莫氏硬度2.0（比指甲软）。密度：8.65 g/cm</w:t>
                  </w:r>
                  <w:r>
                    <w:rPr>
                      <w:rFonts w:hint="eastAsia"/>
                      <w:color w:val="auto"/>
                      <w:sz w:val="18"/>
                      <w:szCs w:val="18"/>
                      <w:vertAlign w:val="superscript"/>
                    </w:rPr>
                    <w:t>3</w:t>
                  </w:r>
                  <w:r>
                    <w:rPr>
                      <w:color w:val="auto"/>
                      <w:sz w:val="18"/>
                      <w:szCs w:val="18"/>
                    </w:rPr>
                    <w:t>，熔点321℃，沸点765℃，导电性优于多数常见金属。延展性：可拉制成0.01mm金属丝，耐磨系数为铁的3倍。不溶于水，易溶于酸（如稀硝酸、热盐酸）并释放氢气。不与碱反应，氧化镉和氢氧化镉可溶于酸但不溶于碱。</w:t>
                  </w:r>
                </w:p>
              </w:tc>
              <w:tc>
                <w:tcPr>
                  <w:tcW w:w="589" w:type="pct"/>
                  <w:shd w:val="clear" w:color="auto" w:fill="auto"/>
                  <w:vAlign w:val="center"/>
                </w:tcPr>
                <w:p w14:paraId="505A7048">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4585B1FA">
                  <w:pPr>
                    <w:adjustRightInd w:val="0"/>
                    <w:snapToGrid w:val="0"/>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w:t>
                  </w:r>
                </w:p>
              </w:tc>
            </w:tr>
            <w:tr w14:paraId="318AD6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4BCFDB21">
                  <w:pPr>
                    <w:adjustRightInd w:val="0"/>
                    <w:snapToGrid w:val="0"/>
                    <w:jc w:val="center"/>
                    <w:rPr>
                      <w:color w:val="auto"/>
                      <w:sz w:val="18"/>
                      <w:szCs w:val="18"/>
                    </w:rPr>
                  </w:pPr>
                  <w:r>
                    <w:rPr>
                      <w:color w:val="auto"/>
                      <w:sz w:val="18"/>
                      <w:szCs w:val="18"/>
                    </w:rPr>
                    <w:t>119</w:t>
                  </w:r>
                </w:p>
              </w:tc>
              <w:tc>
                <w:tcPr>
                  <w:tcW w:w="706" w:type="pct"/>
                  <w:shd w:val="clear" w:color="auto" w:fill="auto"/>
                  <w:vAlign w:val="center"/>
                </w:tcPr>
                <w:p w14:paraId="0016549D">
                  <w:pPr>
                    <w:jc w:val="center"/>
                    <w:rPr>
                      <w:rFonts w:ascii="Times New Roman" w:hAnsi="Times New Roman" w:eastAsia="宋体" w:cs="Times New Roman"/>
                      <w:color w:val="auto"/>
                      <w:kern w:val="2"/>
                      <w:sz w:val="18"/>
                      <w:szCs w:val="18"/>
                      <w:lang w:val="en-US" w:eastAsia="zh-CN" w:bidi="ar-SA"/>
                    </w:rPr>
                  </w:pPr>
                  <w:r>
                    <w:rPr>
                      <w:color w:val="auto"/>
                      <w:sz w:val="18"/>
                      <w:szCs w:val="18"/>
                    </w:rPr>
                    <w:t>铜</w:t>
                  </w:r>
                </w:p>
              </w:tc>
              <w:tc>
                <w:tcPr>
                  <w:tcW w:w="2508" w:type="pct"/>
                  <w:shd w:val="clear" w:color="auto" w:fill="auto"/>
                  <w:vAlign w:val="top"/>
                </w:tcPr>
                <w:p w14:paraId="73B8B36B">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紫红色金属，密度8.92 g/cm</w:t>
                  </w:r>
                  <w:r>
                    <w:rPr>
                      <w:rFonts w:hint="eastAsia"/>
                      <w:color w:val="auto"/>
                      <w:sz w:val="18"/>
                      <w:szCs w:val="18"/>
                      <w:vertAlign w:val="superscript"/>
                    </w:rPr>
                    <w:t>3</w:t>
                  </w:r>
                  <w:r>
                    <w:rPr>
                      <w:color w:val="auto"/>
                      <w:sz w:val="18"/>
                      <w:szCs w:val="18"/>
                    </w:rPr>
                    <w:t>，熔点1083.4℃，沸点2567℃，导电性和导热性仅次于银。延展性极佳，可拉成细丝或压成薄箔。与酸反应：溶于氧化性酸（如硝酸、浓硫酸），不溶于非氧化性酸（如稀盐酸）。</w:t>
                  </w:r>
                </w:p>
              </w:tc>
              <w:tc>
                <w:tcPr>
                  <w:tcW w:w="589" w:type="pct"/>
                  <w:shd w:val="clear" w:color="auto" w:fill="auto"/>
                  <w:vAlign w:val="center"/>
                </w:tcPr>
                <w:p w14:paraId="0FC80C68">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粉状易燃</w:t>
                  </w:r>
                </w:p>
              </w:tc>
              <w:tc>
                <w:tcPr>
                  <w:tcW w:w="803" w:type="pct"/>
                  <w:shd w:val="clear" w:color="auto" w:fill="auto"/>
                  <w:vAlign w:val="center"/>
                </w:tcPr>
                <w:p w14:paraId="0890AEB4">
                  <w:pPr>
                    <w:adjustRightInd w:val="0"/>
                    <w:snapToGrid w:val="0"/>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w:t>
                  </w:r>
                </w:p>
              </w:tc>
            </w:tr>
            <w:tr w14:paraId="2903B1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364E25EB">
                  <w:pPr>
                    <w:adjustRightInd w:val="0"/>
                    <w:snapToGrid w:val="0"/>
                    <w:jc w:val="center"/>
                    <w:rPr>
                      <w:color w:val="auto"/>
                      <w:sz w:val="18"/>
                      <w:szCs w:val="18"/>
                    </w:rPr>
                  </w:pPr>
                  <w:r>
                    <w:rPr>
                      <w:color w:val="auto"/>
                      <w:sz w:val="18"/>
                      <w:szCs w:val="18"/>
                    </w:rPr>
                    <w:t>120</w:t>
                  </w:r>
                </w:p>
              </w:tc>
              <w:tc>
                <w:tcPr>
                  <w:tcW w:w="706" w:type="pct"/>
                  <w:shd w:val="clear" w:color="auto" w:fill="auto"/>
                  <w:vAlign w:val="center"/>
                </w:tcPr>
                <w:p w14:paraId="6F117F6F">
                  <w:pPr>
                    <w:jc w:val="center"/>
                    <w:rPr>
                      <w:rFonts w:ascii="Times New Roman" w:hAnsi="Times New Roman" w:eastAsia="宋体" w:cs="Times New Roman"/>
                      <w:color w:val="auto"/>
                      <w:kern w:val="2"/>
                      <w:sz w:val="18"/>
                      <w:szCs w:val="18"/>
                      <w:lang w:val="en-US" w:eastAsia="zh-CN" w:bidi="ar-SA"/>
                    </w:rPr>
                  </w:pPr>
                  <w:r>
                    <w:rPr>
                      <w:color w:val="auto"/>
                      <w:sz w:val="18"/>
                      <w:szCs w:val="18"/>
                    </w:rPr>
                    <w:t>锶</w:t>
                  </w:r>
                </w:p>
              </w:tc>
              <w:tc>
                <w:tcPr>
                  <w:tcW w:w="2508" w:type="pct"/>
                  <w:shd w:val="clear" w:color="auto" w:fill="auto"/>
                  <w:vAlign w:val="top"/>
                </w:tcPr>
                <w:p w14:paraId="0D52C814">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银白色带黄色光泽的软金属，密度2.54 g/cm</w:t>
                  </w:r>
                  <w:r>
                    <w:rPr>
                      <w:rFonts w:hint="eastAsia"/>
                      <w:color w:val="auto"/>
                      <w:sz w:val="18"/>
                      <w:szCs w:val="18"/>
                      <w:vertAlign w:val="superscript"/>
                    </w:rPr>
                    <w:t>3</w:t>
                  </w:r>
                  <w:r>
                    <w:rPr>
                      <w:color w:val="auto"/>
                      <w:sz w:val="18"/>
                      <w:szCs w:val="18"/>
                    </w:rPr>
                    <w:t>，熔点769℃，沸点1384℃，导电性和延展性良好。燃烧时呈红色火焰，常用于烟火信号弹。</w:t>
                  </w:r>
                </w:p>
              </w:tc>
              <w:tc>
                <w:tcPr>
                  <w:tcW w:w="589" w:type="pct"/>
                  <w:shd w:val="clear" w:color="auto" w:fill="auto"/>
                  <w:vAlign w:val="center"/>
                </w:tcPr>
                <w:p w14:paraId="3BD25965">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易燃</w:t>
                  </w:r>
                </w:p>
              </w:tc>
              <w:tc>
                <w:tcPr>
                  <w:tcW w:w="803" w:type="pct"/>
                  <w:shd w:val="clear" w:color="auto" w:fill="auto"/>
                  <w:vAlign w:val="center"/>
                </w:tcPr>
                <w:p w14:paraId="4F69CDA9">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r>
            <w:tr w14:paraId="03409A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0DB0CA97">
                  <w:pPr>
                    <w:adjustRightInd w:val="0"/>
                    <w:snapToGrid w:val="0"/>
                    <w:jc w:val="center"/>
                    <w:rPr>
                      <w:color w:val="auto"/>
                      <w:sz w:val="18"/>
                      <w:szCs w:val="18"/>
                    </w:rPr>
                  </w:pPr>
                  <w:r>
                    <w:rPr>
                      <w:color w:val="auto"/>
                      <w:sz w:val="18"/>
                      <w:szCs w:val="18"/>
                    </w:rPr>
                    <w:t>121</w:t>
                  </w:r>
                </w:p>
              </w:tc>
              <w:tc>
                <w:tcPr>
                  <w:tcW w:w="706" w:type="pct"/>
                  <w:shd w:val="clear" w:color="auto" w:fill="auto"/>
                  <w:vAlign w:val="center"/>
                </w:tcPr>
                <w:p w14:paraId="5258C205">
                  <w:pPr>
                    <w:jc w:val="center"/>
                    <w:rPr>
                      <w:rFonts w:ascii="Times New Roman" w:hAnsi="Times New Roman" w:eastAsia="宋体" w:cs="Times New Roman"/>
                      <w:color w:val="auto"/>
                      <w:kern w:val="2"/>
                      <w:sz w:val="18"/>
                      <w:szCs w:val="18"/>
                      <w:lang w:val="en-US" w:eastAsia="zh-CN" w:bidi="ar-SA"/>
                    </w:rPr>
                  </w:pPr>
                  <w:r>
                    <w:rPr>
                      <w:color w:val="auto"/>
                      <w:sz w:val="18"/>
                      <w:szCs w:val="18"/>
                    </w:rPr>
                    <w:t>钯</w:t>
                  </w:r>
                </w:p>
              </w:tc>
              <w:tc>
                <w:tcPr>
                  <w:tcW w:w="2508" w:type="pct"/>
                  <w:shd w:val="clear" w:color="auto" w:fill="auto"/>
                  <w:vAlign w:val="top"/>
                </w:tcPr>
                <w:p w14:paraId="32181861">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银白色金属，面心立方晶体结构，密度12.02 g/cm</w:t>
                  </w:r>
                  <w:r>
                    <w:rPr>
                      <w:rFonts w:hint="eastAsia"/>
                      <w:color w:val="auto"/>
                      <w:sz w:val="18"/>
                      <w:szCs w:val="18"/>
                      <w:vertAlign w:val="superscript"/>
                    </w:rPr>
                    <w:t>3</w:t>
                  </w:r>
                  <w:r>
                    <w:rPr>
                      <w:color w:val="auto"/>
                      <w:sz w:val="18"/>
                      <w:szCs w:val="18"/>
                    </w:rPr>
                    <w:t>（20℃），熔点1554℃，沸点2970℃。稳定性：常温下耐空气和潮湿腐蚀，加热至800℃表面形成一氧化钯薄膜；溶于王水、热浓硫酸及硝酸，不溶于非氧化性酸‌。</w:t>
                  </w:r>
                </w:p>
              </w:tc>
              <w:tc>
                <w:tcPr>
                  <w:tcW w:w="589" w:type="pct"/>
                  <w:shd w:val="clear" w:color="auto" w:fill="auto"/>
                  <w:vAlign w:val="center"/>
                </w:tcPr>
                <w:p w14:paraId="616BFD8E">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粉状易燃</w:t>
                  </w:r>
                </w:p>
              </w:tc>
              <w:tc>
                <w:tcPr>
                  <w:tcW w:w="803" w:type="pct"/>
                  <w:shd w:val="clear" w:color="auto" w:fill="auto"/>
                  <w:vAlign w:val="center"/>
                </w:tcPr>
                <w:p w14:paraId="06EB12E5">
                  <w:pPr>
                    <w:adjustRightInd w:val="0"/>
                    <w:snapToGrid w:val="0"/>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w:t>
                  </w:r>
                </w:p>
              </w:tc>
            </w:tr>
            <w:tr w14:paraId="355F39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6079F319">
                  <w:pPr>
                    <w:adjustRightInd w:val="0"/>
                    <w:snapToGrid w:val="0"/>
                    <w:jc w:val="center"/>
                    <w:rPr>
                      <w:color w:val="auto"/>
                      <w:sz w:val="18"/>
                      <w:szCs w:val="18"/>
                    </w:rPr>
                  </w:pPr>
                  <w:r>
                    <w:rPr>
                      <w:color w:val="auto"/>
                      <w:sz w:val="18"/>
                      <w:szCs w:val="18"/>
                    </w:rPr>
                    <w:t>122</w:t>
                  </w:r>
                </w:p>
              </w:tc>
              <w:tc>
                <w:tcPr>
                  <w:tcW w:w="706" w:type="pct"/>
                  <w:shd w:val="clear" w:color="auto" w:fill="auto"/>
                  <w:vAlign w:val="center"/>
                </w:tcPr>
                <w:p w14:paraId="416FFEA5">
                  <w:pPr>
                    <w:jc w:val="center"/>
                    <w:rPr>
                      <w:rFonts w:ascii="Times New Roman" w:hAnsi="Times New Roman" w:eastAsia="宋体" w:cs="Times New Roman"/>
                      <w:color w:val="auto"/>
                      <w:kern w:val="2"/>
                      <w:sz w:val="18"/>
                      <w:szCs w:val="18"/>
                      <w:lang w:val="en-US" w:eastAsia="zh-CN" w:bidi="ar-SA"/>
                    </w:rPr>
                  </w:pPr>
                  <w:r>
                    <w:rPr>
                      <w:color w:val="auto"/>
                      <w:sz w:val="18"/>
                      <w:szCs w:val="18"/>
                    </w:rPr>
                    <w:t>钴</w:t>
                  </w:r>
                </w:p>
              </w:tc>
              <w:tc>
                <w:tcPr>
                  <w:tcW w:w="2508" w:type="pct"/>
                  <w:shd w:val="clear" w:color="auto" w:fill="auto"/>
                  <w:vAlign w:val="top"/>
                </w:tcPr>
                <w:p w14:paraId="0088D464">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银白色金属，表面抛光后呈淡蓝光泽，质地硬而脆，密度8.9 g/cm</w:t>
                  </w:r>
                  <w:r>
                    <w:rPr>
                      <w:rFonts w:hint="eastAsia"/>
                      <w:color w:val="auto"/>
                      <w:sz w:val="18"/>
                      <w:szCs w:val="18"/>
                      <w:vertAlign w:val="superscript"/>
                    </w:rPr>
                    <w:t>3</w:t>
                  </w:r>
                  <w:r>
                    <w:rPr>
                      <w:color w:val="auto"/>
                      <w:sz w:val="18"/>
                      <w:szCs w:val="18"/>
                    </w:rPr>
                    <w:t>，熔点1495℃，沸点2870℃‌。磁性：具有铁磁性，加热至1150℃时磁性消失，导电性和导热性较低‌。常温下耐腐蚀，不与水反应；高温下与氧、硫、卤素等剧烈反应生成氧化物或盐类。‌</w:t>
                  </w:r>
                </w:p>
              </w:tc>
              <w:tc>
                <w:tcPr>
                  <w:tcW w:w="589" w:type="pct"/>
                  <w:shd w:val="clear" w:color="auto" w:fill="auto"/>
                  <w:vAlign w:val="center"/>
                </w:tcPr>
                <w:p w14:paraId="1C48A8A4">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粉状易燃</w:t>
                  </w:r>
                </w:p>
              </w:tc>
              <w:tc>
                <w:tcPr>
                  <w:tcW w:w="803" w:type="pct"/>
                  <w:shd w:val="clear" w:color="auto" w:fill="auto"/>
                  <w:vAlign w:val="center"/>
                </w:tcPr>
                <w:p w14:paraId="2A7A6AC8">
                  <w:pPr>
                    <w:adjustRightInd w:val="0"/>
                    <w:snapToGrid w:val="0"/>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w:t>
                  </w:r>
                </w:p>
              </w:tc>
            </w:tr>
            <w:tr w14:paraId="4860BF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212A3C90">
                  <w:pPr>
                    <w:adjustRightInd w:val="0"/>
                    <w:snapToGrid w:val="0"/>
                    <w:jc w:val="center"/>
                    <w:rPr>
                      <w:color w:val="auto"/>
                      <w:sz w:val="18"/>
                      <w:szCs w:val="18"/>
                    </w:rPr>
                  </w:pPr>
                  <w:r>
                    <w:rPr>
                      <w:color w:val="auto"/>
                      <w:sz w:val="18"/>
                      <w:szCs w:val="18"/>
                    </w:rPr>
                    <w:t>123</w:t>
                  </w:r>
                </w:p>
              </w:tc>
              <w:tc>
                <w:tcPr>
                  <w:tcW w:w="706" w:type="pct"/>
                  <w:shd w:val="clear" w:color="auto" w:fill="auto"/>
                  <w:vAlign w:val="center"/>
                </w:tcPr>
                <w:p w14:paraId="6C62201D">
                  <w:pPr>
                    <w:jc w:val="center"/>
                    <w:rPr>
                      <w:rFonts w:ascii="Times New Roman" w:hAnsi="Times New Roman" w:eastAsia="宋体" w:cs="Times New Roman"/>
                      <w:color w:val="auto"/>
                      <w:kern w:val="2"/>
                      <w:sz w:val="18"/>
                      <w:szCs w:val="18"/>
                      <w:lang w:val="en-US" w:eastAsia="zh-CN" w:bidi="ar-SA"/>
                    </w:rPr>
                  </w:pPr>
                  <w:r>
                    <w:rPr>
                      <w:color w:val="auto"/>
                      <w:sz w:val="18"/>
                      <w:szCs w:val="18"/>
                    </w:rPr>
                    <w:t>钼</w:t>
                  </w:r>
                </w:p>
              </w:tc>
              <w:tc>
                <w:tcPr>
                  <w:tcW w:w="2508" w:type="pct"/>
                  <w:shd w:val="clear" w:color="auto" w:fill="auto"/>
                  <w:vAlign w:val="top"/>
                </w:tcPr>
                <w:p w14:paraId="4BD1AACD">
                  <w:pPr>
                    <w:adjustRightInd w:val="0"/>
                    <w:snapToGrid w:val="0"/>
                    <w:jc w:val="left"/>
                    <w:rPr>
                      <w:color w:val="auto"/>
                      <w:sz w:val="18"/>
                      <w:szCs w:val="18"/>
                    </w:rPr>
                  </w:pPr>
                  <w:r>
                    <w:rPr>
                      <w:color w:val="auto"/>
                      <w:sz w:val="18"/>
                      <w:szCs w:val="18"/>
                    </w:rPr>
                    <w:t>银白色金属，硬度高（莫氏硬度5-5.5），密度10.2 g/cm</w:t>
                  </w:r>
                  <w:r>
                    <w:rPr>
                      <w:rFonts w:hint="eastAsia"/>
                      <w:color w:val="auto"/>
                      <w:sz w:val="18"/>
                      <w:szCs w:val="18"/>
                      <w:vertAlign w:val="superscript"/>
                    </w:rPr>
                    <w:t>3</w:t>
                  </w:r>
                  <w:r>
                    <w:rPr>
                      <w:color w:val="auto"/>
                      <w:sz w:val="18"/>
                      <w:szCs w:val="18"/>
                    </w:rPr>
                    <w:t>，熔点2610℃，沸点4612℃‌。导电导热性：电导率约为铜的1/3，热膨胀系数低，高温下尺寸稳定性优异‌。延展性：可加工成极薄的箔材（如半导体电极）或细丝（如高温电炉发热体）‌。</w:t>
                  </w:r>
                </w:p>
                <w:p w14:paraId="34D33343">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耐腐蚀性：常温下因表面氧化膜抗腐蚀，不溶于盐酸或氢氟酸，但溶于热浓硫酸、硝酸‌。</w:t>
                  </w:r>
                </w:p>
              </w:tc>
              <w:tc>
                <w:tcPr>
                  <w:tcW w:w="589" w:type="pct"/>
                  <w:shd w:val="clear" w:color="auto" w:fill="auto"/>
                  <w:vAlign w:val="center"/>
                </w:tcPr>
                <w:p w14:paraId="6967439A">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粉状易燃</w:t>
                  </w:r>
                </w:p>
              </w:tc>
              <w:tc>
                <w:tcPr>
                  <w:tcW w:w="803" w:type="pct"/>
                  <w:shd w:val="clear" w:color="auto" w:fill="auto"/>
                  <w:vAlign w:val="center"/>
                </w:tcPr>
                <w:p w14:paraId="399947B5">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r>
            <w:tr w14:paraId="11AE49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42A5156D">
                  <w:pPr>
                    <w:adjustRightInd w:val="0"/>
                    <w:snapToGrid w:val="0"/>
                    <w:jc w:val="center"/>
                    <w:rPr>
                      <w:color w:val="auto"/>
                      <w:sz w:val="18"/>
                      <w:szCs w:val="18"/>
                    </w:rPr>
                  </w:pPr>
                  <w:r>
                    <w:rPr>
                      <w:color w:val="auto"/>
                      <w:sz w:val="18"/>
                      <w:szCs w:val="18"/>
                    </w:rPr>
                    <w:t>124</w:t>
                  </w:r>
                </w:p>
              </w:tc>
              <w:tc>
                <w:tcPr>
                  <w:tcW w:w="706" w:type="pct"/>
                  <w:shd w:val="clear" w:color="auto" w:fill="auto"/>
                  <w:vAlign w:val="center"/>
                </w:tcPr>
                <w:p w14:paraId="5233D36F">
                  <w:pPr>
                    <w:jc w:val="center"/>
                    <w:rPr>
                      <w:rFonts w:ascii="Times New Roman" w:hAnsi="Times New Roman" w:eastAsia="宋体" w:cs="Times New Roman"/>
                      <w:color w:val="auto"/>
                      <w:kern w:val="2"/>
                      <w:sz w:val="18"/>
                      <w:szCs w:val="18"/>
                      <w:lang w:val="en-US" w:eastAsia="zh-CN" w:bidi="ar-SA"/>
                    </w:rPr>
                  </w:pPr>
                  <w:r>
                    <w:rPr>
                      <w:color w:val="auto"/>
                      <w:sz w:val="18"/>
                      <w:szCs w:val="18"/>
                    </w:rPr>
                    <w:t>锡</w:t>
                  </w:r>
                </w:p>
              </w:tc>
              <w:tc>
                <w:tcPr>
                  <w:tcW w:w="2508" w:type="pct"/>
                  <w:shd w:val="clear" w:color="auto" w:fill="auto"/>
                  <w:vAlign w:val="top"/>
                </w:tcPr>
                <w:p w14:paraId="45B5CEF2">
                  <w:pPr>
                    <w:adjustRightInd w:val="0"/>
                    <w:snapToGrid w:val="0"/>
                    <w:jc w:val="left"/>
                    <w:rPr>
                      <w:color w:val="auto"/>
                      <w:sz w:val="18"/>
                      <w:szCs w:val="18"/>
                    </w:rPr>
                  </w:pPr>
                  <w:r>
                    <w:rPr>
                      <w:color w:val="auto"/>
                      <w:sz w:val="18"/>
                      <w:szCs w:val="18"/>
                    </w:rPr>
                    <w:t>银白色金属（白锡），常温下延展性强，密度7.3g/cm</w:t>
                  </w:r>
                  <w:r>
                    <w:rPr>
                      <w:rFonts w:hint="eastAsia"/>
                      <w:color w:val="auto"/>
                      <w:sz w:val="18"/>
                      <w:szCs w:val="18"/>
                      <w:vertAlign w:val="superscript"/>
                    </w:rPr>
                    <w:t>3</w:t>
                  </w:r>
                  <w:r>
                    <w:rPr>
                      <w:color w:val="auto"/>
                      <w:sz w:val="18"/>
                      <w:szCs w:val="18"/>
                    </w:rPr>
                    <w:t>，熔点232℃，沸点2270℃。同素异形体：白锡（β-Sn，13.2~161℃稳定）、灰锡（α-Sn，&lt;13.2℃时粉末状）、脆锡（γ-Sn，&gt;161℃）。</w:t>
                  </w:r>
                </w:p>
                <w:p w14:paraId="6384053A">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常温下耐氧化（表面形成二氧化锡保护膜），溶于强酸/碱，不与非氧化性酸反应。</w:t>
                  </w:r>
                </w:p>
              </w:tc>
              <w:tc>
                <w:tcPr>
                  <w:tcW w:w="589" w:type="pct"/>
                  <w:shd w:val="clear" w:color="auto" w:fill="auto"/>
                  <w:vAlign w:val="center"/>
                </w:tcPr>
                <w:p w14:paraId="0FF67071">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易燃</w:t>
                  </w:r>
                </w:p>
              </w:tc>
              <w:tc>
                <w:tcPr>
                  <w:tcW w:w="803" w:type="pct"/>
                  <w:shd w:val="clear" w:color="auto" w:fill="auto"/>
                  <w:vAlign w:val="center"/>
                </w:tcPr>
                <w:p w14:paraId="7080A106">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r>
            <w:tr w14:paraId="1606EC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663C458E">
                  <w:pPr>
                    <w:adjustRightInd w:val="0"/>
                    <w:snapToGrid w:val="0"/>
                    <w:jc w:val="center"/>
                    <w:rPr>
                      <w:color w:val="auto"/>
                      <w:sz w:val="18"/>
                      <w:szCs w:val="18"/>
                    </w:rPr>
                  </w:pPr>
                  <w:r>
                    <w:rPr>
                      <w:color w:val="auto"/>
                      <w:sz w:val="18"/>
                      <w:szCs w:val="18"/>
                    </w:rPr>
                    <w:t>125</w:t>
                  </w:r>
                </w:p>
              </w:tc>
              <w:tc>
                <w:tcPr>
                  <w:tcW w:w="706" w:type="pct"/>
                  <w:shd w:val="clear" w:color="auto" w:fill="auto"/>
                  <w:vAlign w:val="center"/>
                </w:tcPr>
                <w:p w14:paraId="314552B8">
                  <w:pPr>
                    <w:jc w:val="center"/>
                    <w:rPr>
                      <w:rFonts w:ascii="Times New Roman" w:hAnsi="Times New Roman" w:eastAsia="宋体" w:cs="Times New Roman"/>
                      <w:color w:val="auto"/>
                      <w:kern w:val="2"/>
                      <w:sz w:val="18"/>
                      <w:szCs w:val="18"/>
                      <w:lang w:val="en-US" w:eastAsia="zh-CN" w:bidi="ar-SA"/>
                    </w:rPr>
                  </w:pPr>
                  <w:r>
                    <w:rPr>
                      <w:color w:val="auto"/>
                      <w:sz w:val="18"/>
                      <w:szCs w:val="18"/>
                    </w:rPr>
                    <w:t>碘</w:t>
                  </w:r>
                </w:p>
              </w:tc>
              <w:tc>
                <w:tcPr>
                  <w:tcW w:w="2508" w:type="pct"/>
                  <w:shd w:val="clear" w:color="auto" w:fill="auto"/>
                  <w:vAlign w:val="top"/>
                </w:tcPr>
                <w:p w14:paraId="4B833988">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紫黑色有金属光泽的片状晶体，常温下易升华（直接由固体变为紫色气体），熔点113℃，沸点184℃‌。溶解性：微溶于水（0.3g/L），易溶于有机溶剂（如乙醇、乙醚），遇淀粉显蓝紫色。‌</w:t>
                  </w:r>
                </w:p>
              </w:tc>
              <w:tc>
                <w:tcPr>
                  <w:tcW w:w="589" w:type="pct"/>
                  <w:shd w:val="clear" w:color="auto" w:fill="auto"/>
                  <w:vAlign w:val="center"/>
                </w:tcPr>
                <w:p w14:paraId="0442E456">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064FA202">
                  <w:pPr>
                    <w:widowControl/>
                    <w:jc w:val="center"/>
                    <w:rPr>
                      <w:color w:val="auto"/>
                      <w:sz w:val="18"/>
                      <w:szCs w:val="18"/>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 xml:space="preserve"> ：</w:t>
                  </w:r>
                </w:p>
                <w:p w14:paraId="7410FF5A">
                  <w:pPr>
                    <w:widowControl/>
                    <w:jc w:val="center"/>
                    <w:rPr>
                      <w:color w:val="auto"/>
                      <w:sz w:val="18"/>
                      <w:szCs w:val="18"/>
                    </w:rPr>
                  </w:pPr>
                  <w:r>
                    <w:rPr>
                      <w:color w:val="auto"/>
                      <w:kern w:val="0"/>
                      <w:sz w:val="18"/>
                      <w:szCs w:val="18"/>
                      <w:lang w:bidi="ar"/>
                    </w:rPr>
                    <w:t>14</w:t>
                  </w:r>
                  <w:r>
                    <w:rPr>
                      <w:rFonts w:hint="eastAsia"/>
                      <w:color w:val="auto"/>
                      <w:kern w:val="0"/>
                      <w:sz w:val="18"/>
                      <w:szCs w:val="18"/>
                      <w:lang w:bidi="ar"/>
                    </w:rPr>
                    <w:t>000m</w:t>
                  </w:r>
                  <w:r>
                    <w:rPr>
                      <w:color w:val="auto"/>
                      <w:kern w:val="0"/>
                      <w:sz w:val="18"/>
                      <w:szCs w:val="18"/>
                      <w:lang w:bidi="ar"/>
                    </w:rPr>
                    <w:t>g/kg</w:t>
                  </w:r>
                </w:p>
                <w:p w14:paraId="31C6BD7A">
                  <w:pPr>
                    <w:adjustRightInd w:val="0"/>
                    <w:snapToGrid w:val="0"/>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（大鼠经口）</w:t>
                  </w:r>
                </w:p>
              </w:tc>
            </w:tr>
            <w:tr w14:paraId="024B10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22B45498">
                  <w:pPr>
                    <w:adjustRightInd w:val="0"/>
                    <w:snapToGrid w:val="0"/>
                    <w:jc w:val="center"/>
                    <w:rPr>
                      <w:color w:val="auto"/>
                      <w:sz w:val="18"/>
                      <w:szCs w:val="18"/>
                    </w:rPr>
                  </w:pPr>
                  <w:r>
                    <w:rPr>
                      <w:color w:val="auto"/>
                      <w:sz w:val="18"/>
                      <w:szCs w:val="18"/>
                    </w:rPr>
                    <w:t>126</w:t>
                  </w:r>
                </w:p>
              </w:tc>
              <w:tc>
                <w:tcPr>
                  <w:tcW w:w="706" w:type="pct"/>
                  <w:shd w:val="clear" w:color="auto" w:fill="auto"/>
                  <w:vAlign w:val="center"/>
                </w:tcPr>
                <w:p w14:paraId="7B1E0775">
                  <w:pPr>
                    <w:jc w:val="center"/>
                    <w:rPr>
                      <w:rFonts w:ascii="Times New Roman" w:hAnsi="Times New Roman" w:eastAsia="宋体" w:cs="Times New Roman"/>
                      <w:color w:val="auto"/>
                      <w:kern w:val="2"/>
                      <w:sz w:val="18"/>
                      <w:szCs w:val="18"/>
                      <w:lang w:val="en-US" w:eastAsia="zh-CN" w:bidi="ar-SA"/>
                    </w:rPr>
                  </w:pPr>
                  <w:r>
                    <w:rPr>
                      <w:color w:val="auto"/>
                      <w:sz w:val="18"/>
                      <w:szCs w:val="18"/>
                    </w:rPr>
                    <w:t>钨</w:t>
                  </w:r>
                </w:p>
              </w:tc>
              <w:tc>
                <w:tcPr>
                  <w:tcW w:w="2508" w:type="pct"/>
                  <w:shd w:val="clear" w:color="auto" w:fill="auto"/>
                  <w:vAlign w:val="center"/>
                </w:tcPr>
                <w:p w14:paraId="7357CCAB">
                  <w:pPr>
                    <w:adjustRightInd w:val="0"/>
                    <w:snapToGrid w:val="0"/>
                    <w:jc w:val="both"/>
                    <w:rPr>
                      <w:rFonts w:ascii="Times New Roman" w:hAnsi="Times New Roman" w:eastAsia="宋体" w:cs="Times New Roman"/>
                      <w:color w:val="auto"/>
                      <w:kern w:val="2"/>
                      <w:sz w:val="18"/>
                      <w:szCs w:val="18"/>
                      <w:lang w:val="en-US" w:eastAsia="zh-CN" w:bidi="ar-SA"/>
                    </w:rPr>
                  </w:pPr>
                  <w:r>
                    <w:rPr>
                      <w:color w:val="auto"/>
                      <w:sz w:val="18"/>
                      <w:szCs w:val="18"/>
                    </w:rPr>
                    <w:t>银白色金属，硬度极高（莫氏硬度7.5），密度19.35 g/cm</w:t>
                  </w:r>
                  <w:r>
                    <w:rPr>
                      <w:rFonts w:hint="eastAsia"/>
                      <w:color w:val="auto"/>
                      <w:sz w:val="18"/>
                      <w:szCs w:val="18"/>
                      <w:vertAlign w:val="superscript"/>
                    </w:rPr>
                    <w:t>3</w:t>
                  </w:r>
                  <w:r>
                    <w:rPr>
                      <w:color w:val="auto"/>
                      <w:sz w:val="18"/>
                      <w:szCs w:val="18"/>
                    </w:rPr>
                    <w:t>（接近黄金），熔点3410℃（所有金属中最高），沸点5930℃‌。耐腐蚀，不溶于盐酸、硫酸，仅溶于王水或氢氟酸-硝酸混合液。‌</w:t>
                  </w:r>
                </w:p>
              </w:tc>
              <w:tc>
                <w:tcPr>
                  <w:tcW w:w="589" w:type="pct"/>
                  <w:shd w:val="clear" w:color="auto" w:fill="auto"/>
                  <w:vAlign w:val="center"/>
                </w:tcPr>
                <w:p w14:paraId="0A53B416">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粉状易燃</w:t>
                  </w:r>
                </w:p>
              </w:tc>
              <w:tc>
                <w:tcPr>
                  <w:tcW w:w="803" w:type="pct"/>
                  <w:shd w:val="clear" w:color="auto" w:fill="auto"/>
                  <w:vAlign w:val="center"/>
                </w:tcPr>
                <w:p w14:paraId="246F8D80">
                  <w:pPr>
                    <w:widowControl/>
                    <w:jc w:val="center"/>
                    <w:rPr>
                      <w:color w:val="auto"/>
                      <w:sz w:val="18"/>
                      <w:szCs w:val="18"/>
                    </w:rPr>
                  </w:pPr>
                  <w:r>
                    <w:rPr>
                      <w:color w:val="auto"/>
                      <w:kern w:val="0"/>
                      <w:sz w:val="18"/>
                      <w:szCs w:val="18"/>
                      <w:lang w:bidi="ar"/>
                    </w:rPr>
                    <w:t>LD</w:t>
                  </w:r>
                  <w:r>
                    <w:rPr>
                      <w:color w:val="auto"/>
                      <w:kern w:val="0"/>
                      <w:sz w:val="18"/>
                      <w:szCs w:val="18"/>
                      <w:vertAlign w:val="subscript"/>
                      <w:lang w:bidi="ar"/>
                    </w:rPr>
                    <w:t xml:space="preserve">50 </w:t>
                  </w:r>
                  <w:r>
                    <w:rPr>
                      <w:color w:val="auto"/>
                      <w:kern w:val="0"/>
                      <w:sz w:val="18"/>
                      <w:szCs w:val="18"/>
                      <w:lang w:bidi="ar"/>
                    </w:rPr>
                    <w:t>：</w:t>
                  </w:r>
                </w:p>
                <w:p w14:paraId="399CCE51">
                  <w:pPr>
                    <w:widowControl/>
                    <w:jc w:val="center"/>
                    <w:rPr>
                      <w:color w:val="auto"/>
                      <w:sz w:val="18"/>
                      <w:szCs w:val="18"/>
                    </w:rPr>
                  </w:pPr>
                  <w:r>
                    <w:rPr>
                      <w:rFonts w:hint="eastAsia"/>
                      <w:color w:val="auto"/>
                      <w:kern w:val="0"/>
                      <w:sz w:val="18"/>
                      <w:szCs w:val="18"/>
                      <w:lang w:bidi="ar"/>
                    </w:rPr>
                    <w:t>5000</w:t>
                  </w:r>
                  <w:r>
                    <w:rPr>
                      <w:color w:val="auto"/>
                      <w:kern w:val="0"/>
                      <w:sz w:val="18"/>
                      <w:szCs w:val="18"/>
                      <w:lang w:bidi="ar"/>
                    </w:rPr>
                    <w:t>mg/kg</w:t>
                  </w:r>
                </w:p>
                <w:p w14:paraId="3BF38202">
                  <w:pPr>
                    <w:adjustRightInd w:val="0"/>
                    <w:snapToGrid w:val="0"/>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（大鼠</w:t>
                  </w:r>
                  <w:r>
                    <w:rPr>
                      <w:rFonts w:hint="eastAsia"/>
                      <w:color w:val="auto"/>
                      <w:kern w:val="0"/>
                      <w:sz w:val="18"/>
                      <w:szCs w:val="18"/>
                      <w:lang w:bidi="ar"/>
                    </w:rPr>
                    <w:t>腹腔</w:t>
                  </w:r>
                  <w:r>
                    <w:rPr>
                      <w:color w:val="auto"/>
                      <w:kern w:val="0"/>
                      <w:sz w:val="18"/>
                      <w:szCs w:val="18"/>
                      <w:lang w:bidi="ar"/>
                    </w:rPr>
                    <w:t>）</w:t>
                  </w:r>
                </w:p>
              </w:tc>
            </w:tr>
            <w:tr w14:paraId="6470E1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391" w:type="pct"/>
                  <w:vAlign w:val="center"/>
                </w:tcPr>
                <w:p w14:paraId="14D5B4D0">
                  <w:pPr>
                    <w:adjustRightInd w:val="0"/>
                    <w:snapToGrid w:val="0"/>
                    <w:jc w:val="center"/>
                    <w:rPr>
                      <w:color w:val="auto"/>
                      <w:sz w:val="18"/>
                      <w:szCs w:val="18"/>
                    </w:rPr>
                  </w:pPr>
                  <w:r>
                    <w:rPr>
                      <w:color w:val="auto"/>
                      <w:sz w:val="18"/>
                      <w:szCs w:val="18"/>
                    </w:rPr>
                    <w:t>127</w:t>
                  </w:r>
                </w:p>
              </w:tc>
              <w:tc>
                <w:tcPr>
                  <w:tcW w:w="706" w:type="pct"/>
                  <w:shd w:val="clear" w:color="auto" w:fill="auto"/>
                  <w:vAlign w:val="center"/>
                </w:tcPr>
                <w:p w14:paraId="65863913">
                  <w:pPr>
                    <w:jc w:val="center"/>
                    <w:rPr>
                      <w:rFonts w:ascii="Times New Roman" w:hAnsi="Times New Roman" w:eastAsia="宋体" w:cs="Times New Roman"/>
                      <w:color w:val="auto"/>
                      <w:kern w:val="2"/>
                      <w:sz w:val="18"/>
                      <w:szCs w:val="18"/>
                      <w:lang w:val="en-US" w:eastAsia="zh-CN" w:bidi="ar-SA"/>
                    </w:rPr>
                  </w:pPr>
                  <w:r>
                    <w:rPr>
                      <w:color w:val="auto"/>
                      <w:sz w:val="18"/>
                      <w:szCs w:val="18"/>
                    </w:rPr>
                    <w:t>银</w:t>
                  </w:r>
                </w:p>
              </w:tc>
              <w:tc>
                <w:tcPr>
                  <w:tcW w:w="2508" w:type="pct"/>
                  <w:shd w:val="clear" w:color="auto" w:fill="auto"/>
                  <w:vAlign w:val="center"/>
                </w:tcPr>
                <w:p w14:paraId="1B110691">
                  <w:pPr>
                    <w:adjustRightInd w:val="0"/>
                    <w:snapToGrid w:val="0"/>
                    <w:jc w:val="both"/>
                    <w:rPr>
                      <w:rFonts w:ascii="Times New Roman" w:hAnsi="Times New Roman" w:eastAsia="宋体" w:cs="Times New Roman"/>
                      <w:color w:val="auto"/>
                      <w:kern w:val="2"/>
                      <w:sz w:val="18"/>
                      <w:szCs w:val="18"/>
                      <w:lang w:val="en-US" w:eastAsia="zh-CN" w:bidi="ar-SA"/>
                    </w:rPr>
                  </w:pPr>
                  <w:r>
                    <w:rPr>
                      <w:color w:val="auto"/>
                      <w:sz w:val="18"/>
                      <w:szCs w:val="18"/>
                    </w:rPr>
                    <w:t>银白色金属，具有明亮光泽，延展性极佳‌。导电导热性：所有金属中最佳，导电率为铜的1.6倍，导热系数429 W/(m·K)‌。密度10.49 g/cm</w:t>
                  </w:r>
                  <w:r>
                    <w:rPr>
                      <w:rFonts w:hint="eastAsia"/>
                      <w:color w:val="auto"/>
                      <w:sz w:val="18"/>
                      <w:szCs w:val="18"/>
                      <w:vertAlign w:val="superscript"/>
                    </w:rPr>
                    <w:t>3</w:t>
                  </w:r>
                  <w:r>
                    <w:rPr>
                      <w:color w:val="auto"/>
                      <w:sz w:val="18"/>
                      <w:szCs w:val="18"/>
                    </w:rPr>
                    <w:t>，熔点961.78℃，沸点2212℃‌。常温下不与水、氧反应，但遇硫化氢（H₂S）生成黑色硫化银（Ag₂S），导致银器变暗‌。溶于硝酸和热浓硫酸，不溶于稀盐酸和冷硫酸。‌</w:t>
                  </w:r>
                </w:p>
              </w:tc>
              <w:tc>
                <w:tcPr>
                  <w:tcW w:w="589" w:type="pct"/>
                  <w:shd w:val="clear" w:color="auto" w:fill="auto"/>
                  <w:vAlign w:val="center"/>
                </w:tcPr>
                <w:p w14:paraId="7735AC42">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粉状易燃</w:t>
                  </w:r>
                </w:p>
              </w:tc>
              <w:tc>
                <w:tcPr>
                  <w:tcW w:w="803" w:type="pct"/>
                  <w:shd w:val="clear" w:color="auto" w:fill="auto"/>
                  <w:vAlign w:val="center"/>
                </w:tcPr>
                <w:p w14:paraId="611E5A08">
                  <w:pPr>
                    <w:adjustRightInd w:val="0"/>
                    <w:snapToGrid w:val="0"/>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w:t>
                  </w:r>
                </w:p>
              </w:tc>
            </w:tr>
            <w:tr w14:paraId="162E7F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391" w:type="pct"/>
                  <w:vAlign w:val="center"/>
                </w:tcPr>
                <w:p w14:paraId="5976FBD3">
                  <w:pPr>
                    <w:adjustRightInd w:val="0"/>
                    <w:snapToGrid w:val="0"/>
                    <w:jc w:val="center"/>
                    <w:rPr>
                      <w:color w:val="auto"/>
                      <w:sz w:val="18"/>
                      <w:szCs w:val="18"/>
                    </w:rPr>
                  </w:pPr>
                  <w:r>
                    <w:rPr>
                      <w:color w:val="auto"/>
                      <w:sz w:val="18"/>
                      <w:szCs w:val="18"/>
                    </w:rPr>
                    <w:t>128</w:t>
                  </w:r>
                </w:p>
              </w:tc>
              <w:tc>
                <w:tcPr>
                  <w:tcW w:w="706" w:type="pct"/>
                  <w:shd w:val="clear" w:color="auto" w:fill="auto"/>
                  <w:vAlign w:val="center"/>
                </w:tcPr>
                <w:p w14:paraId="44A7C5C3">
                  <w:pPr>
                    <w:jc w:val="center"/>
                    <w:rPr>
                      <w:rFonts w:ascii="Times New Roman" w:hAnsi="Times New Roman" w:eastAsia="宋体" w:cs="Times New Roman"/>
                      <w:color w:val="auto"/>
                      <w:kern w:val="2"/>
                      <w:sz w:val="18"/>
                      <w:szCs w:val="18"/>
                      <w:lang w:val="en-US" w:eastAsia="zh-CN" w:bidi="ar-SA"/>
                    </w:rPr>
                  </w:pPr>
                  <w:r>
                    <w:rPr>
                      <w:color w:val="auto"/>
                      <w:sz w:val="18"/>
                      <w:szCs w:val="18"/>
                    </w:rPr>
                    <w:t>锰</w:t>
                  </w:r>
                </w:p>
              </w:tc>
              <w:tc>
                <w:tcPr>
                  <w:tcW w:w="2508" w:type="pct"/>
                  <w:shd w:val="clear" w:color="auto" w:fill="auto"/>
                  <w:vAlign w:val="center"/>
                </w:tcPr>
                <w:p w14:paraId="735AAA32">
                  <w:pPr>
                    <w:adjustRightInd w:val="0"/>
                    <w:snapToGrid w:val="0"/>
                    <w:jc w:val="both"/>
                    <w:rPr>
                      <w:rFonts w:ascii="Times New Roman" w:hAnsi="Times New Roman" w:eastAsia="宋体" w:cs="Times New Roman"/>
                      <w:color w:val="auto"/>
                      <w:kern w:val="2"/>
                      <w:sz w:val="18"/>
                      <w:szCs w:val="18"/>
                      <w:lang w:val="en-US" w:eastAsia="zh-CN" w:bidi="ar-SA"/>
                    </w:rPr>
                  </w:pPr>
                  <w:r>
                    <w:rPr>
                      <w:color w:val="auto"/>
                      <w:sz w:val="18"/>
                      <w:szCs w:val="18"/>
                    </w:rPr>
                    <w:t>灰白色、硬脆、有光泽的过渡金属，密度7.21 g/cm</w:t>
                  </w:r>
                  <w:r>
                    <w:rPr>
                      <w:rFonts w:hint="eastAsia"/>
                      <w:color w:val="auto"/>
                      <w:sz w:val="18"/>
                      <w:szCs w:val="18"/>
                      <w:vertAlign w:val="superscript"/>
                    </w:rPr>
                    <w:t>3</w:t>
                  </w:r>
                  <w:r>
                    <w:rPr>
                      <w:color w:val="auto"/>
                      <w:sz w:val="18"/>
                      <w:szCs w:val="18"/>
                    </w:rPr>
                    <w:t>（γ-Mn，20℃），熔点1244℃，沸点2095℃‌。与卤素直接反应生成卤化物（如MnCl₂），高温下与硫、磷等非金属化合‌。易溶于稀酸（如硫酸、盐酸），不溶于水‌。</w:t>
                  </w:r>
                </w:p>
              </w:tc>
              <w:tc>
                <w:tcPr>
                  <w:tcW w:w="589" w:type="pct"/>
                  <w:shd w:val="clear" w:color="auto" w:fill="auto"/>
                  <w:vAlign w:val="center"/>
                </w:tcPr>
                <w:p w14:paraId="784030A1">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粉状易燃</w:t>
                  </w:r>
                </w:p>
              </w:tc>
              <w:tc>
                <w:tcPr>
                  <w:tcW w:w="803" w:type="pct"/>
                  <w:shd w:val="clear" w:color="auto" w:fill="auto"/>
                  <w:vAlign w:val="center"/>
                </w:tcPr>
                <w:p w14:paraId="78267BFF">
                  <w:pPr>
                    <w:widowControl/>
                    <w:jc w:val="center"/>
                    <w:rPr>
                      <w:color w:val="auto"/>
                      <w:sz w:val="18"/>
                      <w:szCs w:val="18"/>
                    </w:rPr>
                  </w:pPr>
                  <w:r>
                    <w:rPr>
                      <w:color w:val="auto"/>
                      <w:kern w:val="0"/>
                      <w:sz w:val="18"/>
                      <w:szCs w:val="18"/>
                      <w:lang w:bidi="ar"/>
                    </w:rPr>
                    <w:t>LD</w:t>
                  </w:r>
                  <w:r>
                    <w:rPr>
                      <w:color w:val="auto"/>
                      <w:kern w:val="0"/>
                      <w:sz w:val="18"/>
                      <w:szCs w:val="18"/>
                      <w:vertAlign w:val="subscript"/>
                      <w:lang w:bidi="ar"/>
                    </w:rPr>
                    <w:t xml:space="preserve">50 </w:t>
                  </w:r>
                  <w:r>
                    <w:rPr>
                      <w:color w:val="auto"/>
                      <w:kern w:val="0"/>
                      <w:sz w:val="18"/>
                      <w:szCs w:val="18"/>
                      <w:lang w:bidi="ar"/>
                    </w:rPr>
                    <w:t>：</w:t>
                  </w:r>
                </w:p>
                <w:p w14:paraId="390855FC">
                  <w:pPr>
                    <w:widowControl/>
                    <w:jc w:val="center"/>
                    <w:rPr>
                      <w:color w:val="auto"/>
                      <w:sz w:val="18"/>
                      <w:szCs w:val="18"/>
                    </w:rPr>
                  </w:pPr>
                  <w:r>
                    <w:rPr>
                      <w:color w:val="auto"/>
                      <w:kern w:val="0"/>
                      <w:sz w:val="18"/>
                      <w:szCs w:val="18"/>
                      <w:lang w:bidi="ar"/>
                    </w:rPr>
                    <w:t>9000mg/kg</w:t>
                  </w:r>
                </w:p>
                <w:p w14:paraId="58016C4F">
                  <w:pPr>
                    <w:adjustRightInd w:val="0"/>
                    <w:snapToGrid w:val="0"/>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（大鼠经口）</w:t>
                  </w:r>
                </w:p>
              </w:tc>
            </w:tr>
            <w:tr w14:paraId="2A037A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391" w:type="pct"/>
                  <w:vAlign w:val="center"/>
                </w:tcPr>
                <w:p w14:paraId="10E16C9F">
                  <w:pPr>
                    <w:adjustRightInd w:val="0"/>
                    <w:snapToGrid w:val="0"/>
                    <w:jc w:val="center"/>
                    <w:rPr>
                      <w:color w:val="auto"/>
                      <w:sz w:val="18"/>
                      <w:szCs w:val="18"/>
                    </w:rPr>
                  </w:pPr>
                  <w:r>
                    <w:rPr>
                      <w:color w:val="auto"/>
                      <w:sz w:val="18"/>
                      <w:szCs w:val="18"/>
                    </w:rPr>
                    <w:t>129</w:t>
                  </w:r>
                </w:p>
              </w:tc>
              <w:tc>
                <w:tcPr>
                  <w:tcW w:w="706" w:type="pct"/>
                  <w:shd w:val="clear" w:color="auto" w:fill="auto"/>
                  <w:vAlign w:val="center"/>
                </w:tcPr>
                <w:p w14:paraId="3310BC0C">
                  <w:pPr>
                    <w:jc w:val="center"/>
                    <w:rPr>
                      <w:rFonts w:ascii="Times New Roman" w:hAnsi="Times New Roman" w:eastAsia="宋体" w:cs="Times New Roman"/>
                      <w:color w:val="auto"/>
                      <w:kern w:val="2"/>
                      <w:sz w:val="18"/>
                      <w:szCs w:val="18"/>
                      <w:lang w:val="en-US" w:eastAsia="zh-CN" w:bidi="ar-SA"/>
                    </w:rPr>
                  </w:pPr>
                  <w:r>
                    <w:rPr>
                      <w:color w:val="auto"/>
                      <w:sz w:val="18"/>
                      <w:szCs w:val="18"/>
                    </w:rPr>
                    <w:t>铬</w:t>
                  </w:r>
                </w:p>
              </w:tc>
              <w:tc>
                <w:tcPr>
                  <w:tcW w:w="2508" w:type="pct"/>
                  <w:shd w:val="clear" w:color="auto" w:fill="auto"/>
                  <w:vAlign w:val="top"/>
                </w:tcPr>
                <w:p w14:paraId="240AD940">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钢灰色单质，自然界硬度最大的金属（莫氏硬度8.5）‌。密度7.15 g/cm</w:t>
                  </w:r>
                  <w:r>
                    <w:rPr>
                      <w:rFonts w:hint="eastAsia"/>
                      <w:color w:val="auto"/>
                      <w:sz w:val="18"/>
                      <w:szCs w:val="18"/>
                      <w:vertAlign w:val="superscript"/>
                    </w:rPr>
                    <w:t>3</w:t>
                  </w:r>
                  <w:r>
                    <w:rPr>
                      <w:color w:val="auto"/>
                      <w:sz w:val="18"/>
                      <w:szCs w:val="18"/>
                    </w:rPr>
                    <w:t>，熔点1907℃，沸点2679℃，电阻率12.7×10⁻⁸ Ω·m（20℃），体心立方晶体结构‌。纯铬有延展性，含杂质时硬而脆；表面易形成致密氧化膜（Cr₂O₃），耐腐蚀性强。‌</w:t>
                  </w:r>
                </w:p>
              </w:tc>
              <w:tc>
                <w:tcPr>
                  <w:tcW w:w="589" w:type="pct"/>
                  <w:shd w:val="clear" w:color="auto" w:fill="auto"/>
                  <w:vAlign w:val="center"/>
                </w:tcPr>
                <w:p w14:paraId="4F3D2B44">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粉状可燃</w:t>
                  </w:r>
                </w:p>
              </w:tc>
              <w:tc>
                <w:tcPr>
                  <w:tcW w:w="803" w:type="pct"/>
                  <w:shd w:val="clear" w:color="auto" w:fill="auto"/>
                  <w:vAlign w:val="center"/>
                </w:tcPr>
                <w:p w14:paraId="7D5E6988">
                  <w:pPr>
                    <w:widowControl/>
                    <w:jc w:val="center"/>
                    <w:rPr>
                      <w:rFonts w:ascii="Times New Roman" w:hAnsi="Times New Roman" w:eastAsia="宋体" w:cs="Times New Roman"/>
                      <w:color w:val="auto"/>
                      <w:kern w:val="2"/>
                      <w:sz w:val="18"/>
                      <w:szCs w:val="18"/>
                      <w:lang w:val="en-US" w:eastAsia="zh-CN" w:bidi="ar-SA"/>
                    </w:rPr>
                  </w:pPr>
                  <w:r>
                    <w:rPr>
                      <w:rFonts w:hint="eastAsia"/>
                      <w:color w:val="auto"/>
                      <w:kern w:val="0"/>
                      <w:sz w:val="18"/>
                      <w:szCs w:val="18"/>
                      <w:lang w:bidi="ar"/>
                    </w:rPr>
                    <w:t>/</w:t>
                  </w:r>
                </w:p>
              </w:tc>
            </w:tr>
            <w:tr w14:paraId="1F0299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391" w:type="pct"/>
                  <w:vAlign w:val="center"/>
                </w:tcPr>
                <w:p w14:paraId="627595D5">
                  <w:pPr>
                    <w:adjustRightInd w:val="0"/>
                    <w:snapToGrid w:val="0"/>
                    <w:jc w:val="center"/>
                    <w:rPr>
                      <w:color w:val="auto"/>
                      <w:sz w:val="18"/>
                      <w:szCs w:val="18"/>
                    </w:rPr>
                  </w:pPr>
                  <w:r>
                    <w:rPr>
                      <w:color w:val="auto"/>
                      <w:sz w:val="18"/>
                      <w:szCs w:val="18"/>
                    </w:rPr>
                    <w:t>130</w:t>
                  </w:r>
                </w:p>
              </w:tc>
              <w:tc>
                <w:tcPr>
                  <w:tcW w:w="706" w:type="pct"/>
                  <w:shd w:val="clear" w:color="auto" w:fill="auto"/>
                  <w:vAlign w:val="center"/>
                </w:tcPr>
                <w:p w14:paraId="5401E924">
                  <w:pPr>
                    <w:jc w:val="center"/>
                    <w:rPr>
                      <w:rFonts w:ascii="Times New Roman" w:hAnsi="Times New Roman" w:eastAsia="宋体" w:cs="Times New Roman"/>
                      <w:color w:val="auto"/>
                      <w:kern w:val="2"/>
                      <w:sz w:val="18"/>
                      <w:szCs w:val="18"/>
                      <w:lang w:val="en-US" w:eastAsia="zh-CN" w:bidi="ar-SA"/>
                    </w:rPr>
                  </w:pPr>
                  <w:r>
                    <w:rPr>
                      <w:color w:val="auto"/>
                      <w:sz w:val="18"/>
                      <w:szCs w:val="18"/>
                    </w:rPr>
                    <w:t>锌</w:t>
                  </w:r>
                </w:p>
              </w:tc>
              <w:tc>
                <w:tcPr>
                  <w:tcW w:w="2508" w:type="pct"/>
                  <w:shd w:val="clear" w:color="auto" w:fill="auto"/>
                  <w:vAlign w:val="top"/>
                </w:tcPr>
                <w:p w14:paraId="6859DEF8">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蓝白色六方晶系结构，密度7.14 g/cm</w:t>
                  </w:r>
                  <w:r>
                    <w:rPr>
                      <w:rFonts w:hint="eastAsia"/>
                      <w:color w:val="auto"/>
                      <w:sz w:val="18"/>
                      <w:szCs w:val="18"/>
                      <w:vertAlign w:val="superscript"/>
                    </w:rPr>
                    <w:t>3</w:t>
                  </w:r>
                  <w:r>
                    <w:rPr>
                      <w:color w:val="auto"/>
                      <w:sz w:val="18"/>
                      <w:szCs w:val="18"/>
                    </w:rPr>
                    <w:t>，熔点419.53℃，沸点907℃。室温下较脆，100~150℃时延展性增强，超过200℃后复变脆；声音传播速率3850 m/s，莫氏硬度2.5。</w:t>
                  </w:r>
                </w:p>
              </w:tc>
              <w:tc>
                <w:tcPr>
                  <w:tcW w:w="589" w:type="pct"/>
                  <w:shd w:val="clear" w:color="auto" w:fill="auto"/>
                  <w:vAlign w:val="center"/>
                </w:tcPr>
                <w:p w14:paraId="5ACBC894">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粉状易燃</w:t>
                  </w:r>
                </w:p>
              </w:tc>
              <w:tc>
                <w:tcPr>
                  <w:tcW w:w="803" w:type="pct"/>
                  <w:shd w:val="clear" w:color="auto" w:fill="auto"/>
                  <w:vAlign w:val="center"/>
                </w:tcPr>
                <w:p w14:paraId="56DAB29A">
                  <w:pPr>
                    <w:adjustRightInd w:val="0"/>
                    <w:snapToGrid w:val="0"/>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w:t>
                  </w:r>
                </w:p>
              </w:tc>
            </w:tr>
            <w:tr w14:paraId="51046F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391" w:type="pct"/>
                  <w:vAlign w:val="center"/>
                </w:tcPr>
                <w:p w14:paraId="41D36833">
                  <w:pPr>
                    <w:adjustRightInd w:val="0"/>
                    <w:snapToGrid w:val="0"/>
                    <w:jc w:val="center"/>
                    <w:rPr>
                      <w:color w:val="auto"/>
                      <w:sz w:val="18"/>
                      <w:szCs w:val="18"/>
                    </w:rPr>
                  </w:pPr>
                  <w:r>
                    <w:rPr>
                      <w:color w:val="auto"/>
                      <w:sz w:val="18"/>
                      <w:szCs w:val="18"/>
                    </w:rPr>
                    <w:t>131</w:t>
                  </w:r>
                </w:p>
              </w:tc>
              <w:tc>
                <w:tcPr>
                  <w:tcW w:w="706" w:type="pct"/>
                  <w:shd w:val="clear" w:color="auto" w:fill="auto"/>
                  <w:vAlign w:val="center"/>
                </w:tcPr>
                <w:p w14:paraId="665149BC">
                  <w:pPr>
                    <w:jc w:val="center"/>
                    <w:rPr>
                      <w:rFonts w:ascii="Times New Roman" w:hAnsi="Times New Roman" w:eastAsia="宋体" w:cs="Times New Roman"/>
                      <w:color w:val="auto"/>
                      <w:kern w:val="2"/>
                      <w:sz w:val="18"/>
                      <w:szCs w:val="18"/>
                      <w:lang w:val="en-US" w:eastAsia="zh-CN" w:bidi="ar-SA"/>
                    </w:rPr>
                  </w:pPr>
                  <w:r>
                    <w:rPr>
                      <w:color w:val="auto"/>
                      <w:sz w:val="18"/>
                      <w:szCs w:val="18"/>
                    </w:rPr>
                    <w:t>铋</w:t>
                  </w:r>
                </w:p>
              </w:tc>
              <w:tc>
                <w:tcPr>
                  <w:tcW w:w="2508" w:type="pct"/>
                  <w:shd w:val="clear" w:color="auto" w:fill="auto"/>
                  <w:vAlign w:val="top"/>
                </w:tcPr>
                <w:p w14:paraId="31BA3907">
                  <w:pPr>
                    <w:adjustRightInd w:val="0"/>
                    <w:snapToGrid w:val="0"/>
                    <w:jc w:val="left"/>
                    <w:rPr>
                      <w:color w:val="auto"/>
                      <w:sz w:val="18"/>
                      <w:szCs w:val="18"/>
                    </w:rPr>
                  </w:pPr>
                  <w:r>
                    <w:rPr>
                      <w:color w:val="auto"/>
                      <w:sz w:val="18"/>
                      <w:szCs w:val="18"/>
                    </w:rPr>
                    <w:t>银白色至粉红色金属，质地脆硬，易粉碎，密度9.78 g/cm</w:t>
                  </w:r>
                  <w:r>
                    <w:rPr>
                      <w:rFonts w:hint="eastAsia"/>
                      <w:color w:val="auto"/>
                      <w:sz w:val="18"/>
                      <w:szCs w:val="18"/>
                      <w:vertAlign w:val="superscript"/>
                    </w:rPr>
                    <w:t>3</w:t>
                  </w:r>
                  <w:r>
                    <w:rPr>
                      <w:color w:val="auto"/>
                      <w:sz w:val="18"/>
                      <w:szCs w:val="18"/>
                    </w:rPr>
                    <w:t>，熔点271.5℃，沸点1564℃‌。</w:t>
                  </w:r>
                </w:p>
                <w:p w14:paraId="5B8C1CD7">
                  <w:pPr>
                    <w:adjustRightInd w:val="0"/>
                    <w:snapToGrid w:val="0"/>
                    <w:jc w:val="left"/>
                    <w:rPr>
                      <w:color w:val="auto"/>
                      <w:sz w:val="18"/>
                      <w:szCs w:val="18"/>
                    </w:rPr>
                  </w:pPr>
                  <w:r>
                    <w:rPr>
                      <w:color w:val="auto"/>
                      <w:sz w:val="18"/>
                      <w:szCs w:val="18"/>
                    </w:rPr>
                    <w:t>独特现象：凝固时体积膨胀（膨胀率3.3%），热导率极低（仅次于汞），具有强逆磁性‌。</w:t>
                  </w:r>
                </w:p>
                <w:p w14:paraId="5E1D638B">
                  <w:pPr>
                    <w:adjustRightInd w:val="0"/>
                    <w:snapToGrid w:val="0"/>
                    <w:jc w:val="left"/>
                    <w:rPr>
                      <w:color w:val="auto"/>
                      <w:sz w:val="18"/>
                      <w:szCs w:val="18"/>
                    </w:rPr>
                  </w:pPr>
                  <w:r>
                    <w:rPr>
                      <w:color w:val="auto"/>
                      <w:sz w:val="18"/>
                      <w:szCs w:val="18"/>
                    </w:rPr>
                    <w:t>彩虹光泽：高纯度铋晶体表面氧化膜因干涉效应呈现多彩虹光，常用于工艺品‌。</w:t>
                  </w:r>
                </w:p>
                <w:p w14:paraId="12C0BF17">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常温下稳定，不与非氧化性酸（如盐酸）反应，但溶于王水和浓硝酸‌。加热燃烧时产生淡蓝色火焰。</w:t>
                  </w:r>
                </w:p>
              </w:tc>
              <w:tc>
                <w:tcPr>
                  <w:tcW w:w="589" w:type="pct"/>
                  <w:shd w:val="clear" w:color="auto" w:fill="auto"/>
                  <w:vAlign w:val="center"/>
                </w:tcPr>
                <w:p w14:paraId="651ACFC2">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粉状易燃</w:t>
                  </w:r>
                </w:p>
              </w:tc>
              <w:tc>
                <w:tcPr>
                  <w:tcW w:w="803" w:type="pct"/>
                  <w:shd w:val="clear" w:color="auto" w:fill="auto"/>
                  <w:vAlign w:val="center"/>
                </w:tcPr>
                <w:p w14:paraId="29B1A06F">
                  <w:pPr>
                    <w:widowControl/>
                    <w:jc w:val="center"/>
                    <w:rPr>
                      <w:color w:val="auto"/>
                      <w:sz w:val="18"/>
                      <w:szCs w:val="18"/>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 xml:space="preserve"> ：</w:t>
                  </w:r>
                </w:p>
                <w:p w14:paraId="708B2F09">
                  <w:pPr>
                    <w:widowControl/>
                    <w:jc w:val="center"/>
                    <w:rPr>
                      <w:color w:val="auto"/>
                      <w:sz w:val="18"/>
                      <w:szCs w:val="18"/>
                    </w:rPr>
                  </w:pPr>
                  <w:r>
                    <w:rPr>
                      <w:color w:val="auto"/>
                      <w:kern w:val="0"/>
                      <w:sz w:val="18"/>
                      <w:szCs w:val="18"/>
                      <w:lang w:bidi="ar"/>
                    </w:rPr>
                    <w:t>5mg/kg</w:t>
                  </w:r>
                </w:p>
                <w:p w14:paraId="67DEF5C7">
                  <w:pPr>
                    <w:adjustRightInd w:val="0"/>
                    <w:snapToGrid w:val="0"/>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（大鼠经口）</w:t>
                  </w:r>
                </w:p>
              </w:tc>
            </w:tr>
            <w:tr w14:paraId="715E84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3224E4D2">
                  <w:pPr>
                    <w:adjustRightInd w:val="0"/>
                    <w:snapToGrid w:val="0"/>
                    <w:jc w:val="center"/>
                    <w:rPr>
                      <w:color w:val="auto"/>
                      <w:sz w:val="18"/>
                      <w:szCs w:val="18"/>
                    </w:rPr>
                  </w:pPr>
                  <w:r>
                    <w:rPr>
                      <w:color w:val="auto"/>
                      <w:sz w:val="18"/>
                      <w:szCs w:val="18"/>
                    </w:rPr>
                    <w:t>132</w:t>
                  </w:r>
                </w:p>
              </w:tc>
              <w:tc>
                <w:tcPr>
                  <w:tcW w:w="706" w:type="pct"/>
                  <w:shd w:val="clear" w:color="auto" w:fill="auto"/>
                  <w:vAlign w:val="center"/>
                </w:tcPr>
                <w:p w14:paraId="4C6B0E60">
                  <w:pPr>
                    <w:jc w:val="center"/>
                    <w:rPr>
                      <w:rFonts w:ascii="Times New Roman" w:hAnsi="Times New Roman" w:eastAsia="宋体" w:cs="Times New Roman"/>
                      <w:color w:val="auto"/>
                      <w:kern w:val="2"/>
                      <w:sz w:val="18"/>
                      <w:szCs w:val="18"/>
                      <w:lang w:val="en-US" w:eastAsia="zh-CN" w:bidi="ar-SA"/>
                    </w:rPr>
                  </w:pPr>
                  <w:r>
                    <w:rPr>
                      <w:color w:val="auto"/>
                      <w:sz w:val="18"/>
                      <w:szCs w:val="18"/>
                    </w:rPr>
                    <w:t>锂</w:t>
                  </w:r>
                </w:p>
              </w:tc>
              <w:tc>
                <w:tcPr>
                  <w:tcW w:w="2508" w:type="pct"/>
                  <w:shd w:val="clear" w:color="auto" w:fill="auto"/>
                  <w:vAlign w:val="top"/>
                </w:tcPr>
                <w:p w14:paraId="7B89BA71">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银白色质软金属，密度0.534 g/cm</w:t>
                  </w:r>
                  <w:r>
                    <w:rPr>
                      <w:rFonts w:hint="eastAsia"/>
                      <w:color w:val="auto"/>
                      <w:sz w:val="18"/>
                      <w:szCs w:val="18"/>
                      <w:vertAlign w:val="superscript"/>
                    </w:rPr>
                    <w:t>3</w:t>
                  </w:r>
                  <w:r>
                    <w:rPr>
                      <w:color w:val="auto"/>
                      <w:sz w:val="18"/>
                      <w:szCs w:val="18"/>
                    </w:rPr>
                    <w:t>（最轻金属），熔点180.5℃，沸点1342℃。硬度低（莫氏硬度0.6），可切割；导电性良好。</w:t>
                  </w:r>
                </w:p>
              </w:tc>
              <w:tc>
                <w:tcPr>
                  <w:tcW w:w="589" w:type="pct"/>
                  <w:shd w:val="clear" w:color="auto" w:fill="auto"/>
                  <w:vAlign w:val="center"/>
                </w:tcPr>
                <w:p w14:paraId="6DC271F7">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易自燃</w:t>
                  </w:r>
                </w:p>
              </w:tc>
              <w:tc>
                <w:tcPr>
                  <w:tcW w:w="803" w:type="pct"/>
                  <w:shd w:val="clear" w:color="auto" w:fill="auto"/>
                  <w:vAlign w:val="center"/>
                </w:tcPr>
                <w:p w14:paraId="579B06BE">
                  <w:pPr>
                    <w:adjustRightInd w:val="0"/>
                    <w:snapToGrid w:val="0"/>
                    <w:jc w:val="center"/>
                    <w:rPr>
                      <w:rFonts w:ascii="Times New Roman" w:hAnsi="Times New Roman" w:eastAsia="宋体" w:cs="Times New Roman"/>
                      <w:color w:val="auto"/>
                      <w:kern w:val="2"/>
                      <w:sz w:val="18"/>
                      <w:szCs w:val="18"/>
                      <w:lang w:val="en-US" w:eastAsia="zh-CN" w:bidi="ar-SA"/>
                    </w:rPr>
                  </w:pPr>
                  <w:r>
                    <w:rPr>
                      <w:rFonts w:hint="eastAsia"/>
                      <w:color w:val="auto"/>
                      <w:kern w:val="0"/>
                      <w:sz w:val="18"/>
                      <w:szCs w:val="18"/>
                      <w:lang w:bidi="ar"/>
                    </w:rPr>
                    <w:t>/</w:t>
                  </w:r>
                </w:p>
              </w:tc>
            </w:tr>
            <w:tr w14:paraId="4A64E3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5200EA44">
                  <w:pPr>
                    <w:adjustRightInd w:val="0"/>
                    <w:snapToGrid w:val="0"/>
                    <w:jc w:val="center"/>
                    <w:rPr>
                      <w:color w:val="auto"/>
                      <w:sz w:val="18"/>
                      <w:szCs w:val="18"/>
                    </w:rPr>
                  </w:pPr>
                  <w:r>
                    <w:rPr>
                      <w:color w:val="auto"/>
                      <w:sz w:val="18"/>
                      <w:szCs w:val="18"/>
                    </w:rPr>
                    <w:t>133</w:t>
                  </w:r>
                </w:p>
              </w:tc>
              <w:tc>
                <w:tcPr>
                  <w:tcW w:w="706" w:type="pct"/>
                  <w:shd w:val="clear" w:color="auto" w:fill="auto"/>
                  <w:vAlign w:val="center"/>
                </w:tcPr>
                <w:p w14:paraId="082816BC">
                  <w:pPr>
                    <w:jc w:val="center"/>
                    <w:rPr>
                      <w:rFonts w:ascii="Times New Roman" w:hAnsi="Times New Roman" w:eastAsia="宋体" w:cs="Times New Roman"/>
                      <w:color w:val="auto"/>
                      <w:kern w:val="2"/>
                      <w:sz w:val="18"/>
                      <w:szCs w:val="18"/>
                      <w:lang w:val="en-US" w:eastAsia="zh-CN" w:bidi="ar-SA"/>
                    </w:rPr>
                  </w:pPr>
                  <w:r>
                    <w:rPr>
                      <w:color w:val="auto"/>
                      <w:sz w:val="18"/>
                      <w:szCs w:val="18"/>
                    </w:rPr>
                    <w:t>金</w:t>
                  </w:r>
                </w:p>
              </w:tc>
              <w:tc>
                <w:tcPr>
                  <w:tcW w:w="2508" w:type="pct"/>
                  <w:shd w:val="clear" w:color="auto" w:fill="auto"/>
                  <w:vAlign w:val="top"/>
                </w:tcPr>
                <w:p w14:paraId="04FCF095">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密度19.32 g/cm</w:t>
                  </w:r>
                  <w:r>
                    <w:rPr>
                      <w:rFonts w:hint="eastAsia"/>
                      <w:color w:val="auto"/>
                      <w:sz w:val="18"/>
                      <w:szCs w:val="18"/>
                      <w:vertAlign w:val="superscript"/>
                    </w:rPr>
                    <w:t>3</w:t>
                  </w:r>
                  <w:r>
                    <w:rPr>
                      <w:color w:val="auto"/>
                      <w:sz w:val="18"/>
                      <w:szCs w:val="18"/>
                    </w:rPr>
                    <w:t>，熔点1064℃（工业常用值1069℃），沸点2707℃‌。延展性极佳：1克金可拉成2公里细丝或压成0.1微米金箔。导电导热性优异，反射率高达94%（550nm波长光），呈现独特金黄色光泽‌。化学惰性强：常温下不与氧气、水反应，仅溶于王水、硒酸等强氧化剂，抗腐蚀性使其成为“永恒金属”。‌</w:t>
                  </w:r>
                </w:p>
              </w:tc>
              <w:tc>
                <w:tcPr>
                  <w:tcW w:w="589" w:type="pct"/>
                  <w:shd w:val="clear" w:color="auto" w:fill="auto"/>
                  <w:vAlign w:val="center"/>
                </w:tcPr>
                <w:p w14:paraId="76A64623">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63DDADE4">
                  <w:pPr>
                    <w:adjustRightInd w:val="0"/>
                    <w:snapToGrid w:val="0"/>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w:t>
                  </w:r>
                </w:p>
              </w:tc>
            </w:tr>
            <w:tr w14:paraId="5BC7A9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1B7330F7">
                  <w:pPr>
                    <w:adjustRightInd w:val="0"/>
                    <w:snapToGrid w:val="0"/>
                    <w:jc w:val="center"/>
                    <w:rPr>
                      <w:color w:val="auto"/>
                      <w:sz w:val="18"/>
                      <w:szCs w:val="18"/>
                    </w:rPr>
                  </w:pPr>
                  <w:r>
                    <w:rPr>
                      <w:color w:val="auto"/>
                      <w:sz w:val="18"/>
                      <w:szCs w:val="18"/>
                    </w:rPr>
                    <w:t>134</w:t>
                  </w:r>
                </w:p>
              </w:tc>
              <w:tc>
                <w:tcPr>
                  <w:tcW w:w="706" w:type="pct"/>
                  <w:shd w:val="clear" w:color="auto" w:fill="auto"/>
                  <w:vAlign w:val="center"/>
                </w:tcPr>
                <w:p w14:paraId="2D2A46D4">
                  <w:pPr>
                    <w:jc w:val="center"/>
                    <w:rPr>
                      <w:rFonts w:ascii="Times New Roman" w:hAnsi="Times New Roman" w:eastAsia="宋体" w:cs="Times New Roman"/>
                      <w:color w:val="auto"/>
                      <w:kern w:val="2"/>
                      <w:sz w:val="18"/>
                      <w:szCs w:val="18"/>
                      <w:lang w:val="en-US" w:eastAsia="zh-CN" w:bidi="ar-SA"/>
                    </w:rPr>
                  </w:pPr>
                  <w:r>
                    <w:rPr>
                      <w:color w:val="auto"/>
                      <w:sz w:val="18"/>
                      <w:szCs w:val="18"/>
                    </w:rPr>
                    <w:t>镍</w:t>
                  </w:r>
                </w:p>
              </w:tc>
              <w:tc>
                <w:tcPr>
                  <w:tcW w:w="2508" w:type="pct"/>
                  <w:shd w:val="clear" w:color="auto" w:fill="auto"/>
                  <w:vAlign w:val="top"/>
                </w:tcPr>
                <w:p w14:paraId="49EBF75A">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是银白色过渡金属，原子序数28，原子量58.69，密度8.902 g/cm</w:t>
                  </w:r>
                  <w:r>
                    <w:rPr>
                      <w:rFonts w:hint="eastAsia"/>
                      <w:color w:val="auto"/>
                      <w:sz w:val="18"/>
                      <w:szCs w:val="18"/>
                      <w:vertAlign w:val="superscript"/>
                    </w:rPr>
                    <w:t>3</w:t>
                  </w:r>
                  <w:r>
                    <w:rPr>
                      <w:color w:val="auto"/>
                      <w:sz w:val="18"/>
                      <w:szCs w:val="18"/>
                    </w:rPr>
                    <w:t>，熔点1453℃，沸点2732℃，具有铁磁性、延展性和抗腐蚀性‌。常温下在空气中形成致密氧化膜（NiO），阻止进一步氧化；导电性良好（电阻率6.8~9.9 μΩ·cm），热电性能优于铂‌。</w:t>
                  </w:r>
                </w:p>
              </w:tc>
              <w:tc>
                <w:tcPr>
                  <w:tcW w:w="589" w:type="pct"/>
                  <w:shd w:val="clear" w:color="auto" w:fill="auto"/>
                  <w:vAlign w:val="center"/>
                </w:tcPr>
                <w:p w14:paraId="7C7D0458">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粉状可自燃</w:t>
                  </w:r>
                </w:p>
              </w:tc>
              <w:tc>
                <w:tcPr>
                  <w:tcW w:w="803" w:type="pct"/>
                  <w:shd w:val="clear" w:color="auto" w:fill="auto"/>
                  <w:vAlign w:val="center"/>
                </w:tcPr>
                <w:p w14:paraId="1820D386">
                  <w:pPr>
                    <w:widowControl/>
                    <w:jc w:val="center"/>
                    <w:rPr>
                      <w:color w:val="auto"/>
                      <w:sz w:val="18"/>
                      <w:szCs w:val="18"/>
                    </w:rPr>
                  </w:pPr>
                  <w:r>
                    <w:rPr>
                      <w:color w:val="auto"/>
                      <w:kern w:val="0"/>
                      <w:sz w:val="18"/>
                      <w:szCs w:val="18"/>
                      <w:lang w:bidi="ar"/>
                    </w:rPr>
                    <w:t>LD</w:t>
                  </w:r>
                  <w:r>
                    <w:rPr>
                      <w:color w:val="auto"/>
                      <w:kern w:val="0"/>
                      <w:sz w:val="18"/>
                      <w:szCs w:val="18"/>
                      <w:vertAlign w:val="subscript"/>
                      <w:lang w:bidi="ar"/>
                    </w:rPr>
                    <w:t>50</w:t>
                  </w:r>
                  <w:r>
                    <w:rPr>
                      <w:color w:val="auto"/>
                      <w:kern w:val="0"/>
                      <w:sz w:val="18"/>
                      <w:szCs w:val="18"/>
                      <w:lang w:bidi="ar"/>
                    </w:rPr>
                    <w:t xml:space="preserve"> ：</w:t>
                  </w:r>
                </w:p>
                <w:p w14:paraId="251079A0">
                  <w:pPr>
                    <w:widowControl/>
                    <w:jc w:val="center"/>
                    <w:rPr>
                      <w:color w:val="auto"/>
                      <w:sz w:val="18"/>
                      <w:szCs w:val="18"/>
                    </w:rPr>
                  </w:pPr>
                  <w:r>
                    <w:rPr>
                      <w:color w:val="auto"/>
                      <w:kern w:val="0"/>
                      <w:sz w:val="18"/>
                      <w:szCs w:val="18"/>
                      <w:lang w:bidi="ar"/>
                    </w:rPr>
                    <w:t>2000mg/kg</w:t>
                  </w:r>
                </w:p>
                <w:p w14:paraId="7823DD1E">
                  <w:pPr>
                    <w:adjustRightInd w:val="0"/>
                    <w:snapToGrid w:val="0"/>
                    <w:jc w:val="center"/>
                    <w:rPr>
                      <w:rFonts w:ascii="Times New Roman" w:hAnsi="Times New Roman" w:eastAsia="宋体" w:cs="Times New Roman"/>
                      <w:color w:val="auto"/>
                      <w:kern w:val="2"/>
                      <w:sz w:val="18"/>
                      <w:szCs w:val="18"/>
                      <w:lang w:val="en-US" w:eastAsia="zh-CN" w:bidi="ar-SA"/>
                    </w:rPr>
                  </w:pPr>
                  <w:r>
                    <w:rPr>
                      <w:color w:val="auto"/>
                      <w:kern w:val="0"/>
                      <w:sz w:val="18"/>
                      <w:szCs w:val="18"/>
                      <w:lang w:bidi="ar"/>
                    </w:rPr>
                    <w:t>（大鼠经口）</w:t>
                  </w:r>
                </w:p>
              </w:tc>
            </w:tr>
            <w:tr w14:paraId="256AE7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15CB3755">
                  <w:pPr>
                    <w:adjustRightInd w:val="0"/>
                    <w:snapToGrid w:val="0"/>
                    <w:jc w:val="center"/>
                    <w:rPr>
                      <w:color w:val="auto"/>
                      <w:sz w:val="18"/>
                      <w:szCs w:val="18"/>
                    </w:rPr>
                  </w:pPr>
                  <w:r>
                    <w:rPr>
                      <w:color w:val="auto"/>
                      <w:sz w:val="18"/>
                      <w:szCs w:val="18"/>
                    </w:rPr>
                    <w:t>135</w:t>
                  </w:r>
                </w:p>
              </w:tc>
              <w:tc>
                <w:tcPr>
                  <w:tcW w:w="706" w:type="pct"/>
                  <w:shd w:val="clear" w:color="auto" w:fill="auto"/>
                  <w:vAlign w:val="center"/>
                </w:tcPr>
                <w:p w14:paraId="30168163">
                  <w:pPr>
                    <w:jc w:val="center"/>
                    <w:rPr>
                      <w:rFonts w:ascii="Times New Roman" w:hAnsi="Times New Roman" w:eastAsia="宋体" w:cs="Times New Roman"/>
                      <w:color w:val="auto"/>
                      <w:kern w:val="2"/>
                      <w:sz w:val="18"/>
                      <w:szCs w:val="18"/>
                      <w:lang w:val="en-US" w:eastAsia="zh-CN" w:bidi="ar-SA"/>
                    </w:rPr>
                  </w:pPr>
                  <w:r>
                    <w:rPr>
                      <w:color w:val="auto"/>
                      <w:sz w:val="18"/>
                      <w:szCs w:val="18"/>
                    </w:rPr>
                    <w:t>液氮</w:t>
                  </w:r>
                </w:p>
              </w:tc>
              <w:tc>
                <w:tcPr>
                  <w:tcW w:w="2508" w:type="pct"/>
                  <w:shd w:val="clear" w:color="auto" w:fill="auto"/>
                  <w:vAlign w:val="top"/>
                </w:tcPr>
                <w:p w14:paraId="6A6E6DB5">
                  <w:pPr>
                    <w:adjustRightInd w:val="0"/>
                    <w:snapToGrid w:val="0"/>
                    <w:jc w:val="left"/>
                    <w:rPr>
                      <w:rFonts w:ascii="Times New Roman" w:hAnsi="Times New Roman" w:eastAsia="宋体" w:cs="Times New Roman"/>
                      <w:color w:val="auto"/>
                      <w:kern w:val="2"/>
                      <w:sz w:val="18"/>
                      <w:szCs w:val="18"/>
                      <w:lang w:val="en-US" w:eastAsia="zh-CN" w:bidi="ar-SA"/>
                    </w:rPr>
                  </w:pPr>
                  <w:r>
                    <w:rPr>
                      <w:color w:val="auto"/>
                      <w:sz w:val="18"/>
                      <w:szCs w:val="18"/>
                    </w:rPr>
                    <w:t>是氮气（N₂）在极低温下（-196.56℃）液化形成的无色、无味、无腐蚀性液体，具有惰性和不可燃性，常压下体积膨胀比高达1:696（液态转气态）‌。‌超低温‌：沸点-196℃，接触物体可瞬间冻结‌。‌安全性‌：不燃不爆，但汽化可能导致缺氧或冻伤‌。</w:t>
                  </w:r>
                </w:p>
              </w:tc>
              <w:tc>
                <w:tcPr>
                  <w:tcW w:w="589" w:type="pct"/>
                  <w:shd w:val="clear" w:color="auto" w:fill="auto"/>
                  <w:vAlign w:val="center"/>
                </w:tcPr>
                <w:p w14:paraId="2973A22E">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803" w:type="pct"/>
                  <w:shd w:val="clear" w:color="auto" w:fill="auto"/>
                  <w:vAlign w:val="center"/>
                </w:tcPr>
                <w:p w14:paraId="542187FD">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r>
          </w:tbl>
          <w:p w14:paraId="132111D8">
            <w:pPr>
              <w:adjustRightInd w:val="0"/>
              <w:snapToGrid w:val="0"/>
              <w:spacing w:line="360" w:lineRule="auto"/>
              <w:ind w:firstLine="446" w:firstLineChars="200"/>
              <w:rPr>
                <w:b/>
                <w:bCs/>
                <w:color w:val="auto"/>
                <w:spacing w:val="6"/>
                <w:szCs w:val="21"/>
                <w:shd w:val="clear" w:color="auto" w:fill="FFFFFF"/>
              </w:rPr>
            </w:pPr>
            <w:r>
              <w:rPr>
                <w:b/>
                <w:bCs/>
                <w:color w:val="auto"/>
                <w:spacing w:val="6"/>
                <w:szCs w:val="21"/>
                <w:shd w:val="clear" w:color="auto" w:fill="FFFFFF"/>
              </w:rPr>
              <w:t>5.项目工程组成表</w:t>
            </w:r>
          </w:p>
          <w:p w14:paraId="76B65259">
            <w:pPr>
              <w:adjustRightInd w:val="0"/>
              <w:snapToGrid w:val="0"/>
              <w:jc w:val="center"/>
              <w:rPr>
                <w:b/>
                <w:bCs/>
                <w:color w:val="auto"/>
                <w:spacing w:val="6"/>
                <w:szCs w:val="21"/>
                <w:shd w:val="clear" w:color="auto" w:fill="FFFFFF"/>
              </w:rPr>
            </w:pPr>
            <w:r>
              <w:rPr>
                <w:b/>
                <w:bCs/>
                <w:color w:val="auto"/>
                <w:spacing w:val="6"/>
                <w:szCs w:val="21"/>
                <w:shd w:val="clear" w:color="auto" w:fill="FFFFFF"/>
              </w:rPr>
              <w:t>表2-</w:t>
            </w:r>
            <w:r>
              <w:rPr>
                <w:rFonts w:hint="eastAsia"/>
                <w:b/>
                <w:bCs/>
                <w:color w:val="auto"/>
                <w:spacing w:val="6"/>
                <w:szCs w:val="21"/>
                <w:shd w:val="clear" w:color="auto" w:fill="FFFFFF"/>
              </w:rPr>
              <w:t>5</w:t>
            </w:r>
            <w:r>
              <w:rPr>
                <w:b/>
                <w:bCs/>
                <w:color w:val="auto"/>
                <w:spacing w:val="6"/>
                <w:szCs w:val="21"/>
                <w:shd w:val="clear" w:color="auto" w:fill="FFFFFF"/>
              </w:rPr>
              <w:t xml:space="preserve"> 建设项目工程组成情况表</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67"/>
              <w:gridCol w:w="508"/>
              <w:gridCol w:w="1275"/>
              <w:gridCol w:w="2415"/>
              <w:gridCol w:w="3740"/>
            </w:tblGrid>
            <w:tr w14:paraId="178BF4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333" w:type="pct"/>
                  <w:vAlign w:val="center"/>
                </w:tcPr>
                <w:p w14:paraId="4B821A17">
                  <w:pPr>
                    <w:pStyle w:val="55"/>
                    <w:spacing w:before="24" w:after="24" w:line="240" w:lineRule="auto"/>
                    <w:rPr>
                      <w:rFonts w:ascii="Times New Roman"/>
                      <w:b/>
                      <w:bCs/>
                      <w:color w:val="auto"/>
                      <w:sz w:val="18"/>
                      <w:szCs w:val="18"/>
                    </w:rPr>
                  </w:pPr>
                  <w:r>
                    <w:rPr>
                      <w:rFonts w:ascii="Times New Roman"/>
                      <w:b/>
                      <w:bCs/>
                      <w:color w:val="auto"/>
                      <w:sz w:val="18"/>
                      <w:szCs w:val="18"/>
                    </w:rPr>
                    <w:t>类别</w:t>
                  </w:r>
                </w:p>
              </w:tc>
              <w:tc>
                <w:tcPr>
                  <w:tcW w:w="1048" w:type="pct"/>
                  <w:gridSpan w:val="2"/>
                  <w:vAlign w:val="center"/>
                </w:tcPr>
                <w:p w14:paraId="592FC4A3">
                  <w:pPr>
                    <w:pStyle w:val="55"/>
                    <w:spacing w:before="24" w:after="24" w:line="240" w:lineRule="auto"/>
                    <w:rPr>
                      <w:rFonts w:ascii="Times New Roman"/>
                      <w:b/>
                      <w:bCs/>
                      <w:color w:val="auto"/>
                      <w:sz w:val="18"/>
                      <w:szCs w:val="18"/>
                    </w:rPr>
                  </w:pPr>
                  <w:r>
                    <w:rPr>
                      <w:rFonts w:ascii="Times New Roman"/>
                      <w:b/>
                      <w:bCs/>
                      <w:color w:val="auto"/>
                      <w:sz w:val="18"/>
                      <w:szCs w:val="18"/>
                    </w:rPr>
                    <w:t>建设名称</w:t>
                  </w:r>
                </w:p>
              </w:tc>
              <w:tc>
                <w:tcPr>
                  <w:tcW w:w="1419" w:type="pct"/>
                  <w:vAlign w:val="center"/>
                </w:tcPr>
                <w:p w14:paraId="18978AB7">
                  <w:pPr>
                    <w:pStyle w:val="55"/>
                    <w:spacing w:before="24" w:after="24" w:line="240" w:lineRule="auto"/>
                    <w:rPr>
                      <w:rFonts w:ascii="Times New Roman"/>
                      <w:b/>
                      <w:bCs/>
                      <w:color w:val="auto"/>
                      <w:sz w:val="18"/>
                      <w:szCs w:val="18"/>
                    </w:rPr>
                  </w:pPr>
                  <w:r>
                    <w:rPr>
                      <w:rFonts w:ascii="Times New Roman"/>
                      <w:b/>
                      <w:bCs/>
                      <w:color w:val="auto"/>
                      <w:sz w:val="18"/>
                      <w:szCs w:val="18"/>
                    </w:rPr>
                    <w:t>设计能力</w:t>
                  </w:r>
                </w:p>
              </w:tc>
              <w:tc>
                <w:tcPr>
                  <w:tcW w:w="2198" w:type="pct"/>
                  <w:vAlign w:val="center"/>
                </w:tcPr>
                <w:p w14:paraId="08B15EBB">
                  <w:pPr>
                    <w:pStyle w:val="55"/>
                    <w:spacing w:before="24" w:after="24" w:line="240" w:lineRule="auto"/>
                    <w:rPr>
                      <w:rFonts w:ascii="Times New Roman"/>
                      <w:b/>
                      <w:bCs/>
                      <w:color w:val="auto"/>
                      <w:sz w:val="18"/>
                      <w:szCs w:val="18"/>
                    </w:rPr>
                  </w:pPr>
                  <w:r>
                    <w:rPr>
                      <w:rFonts w:ascii="Times New Roman"/>
                      <w:b/>
                      <w:bCs/>
                      <w:color w:val="auto"/>
                      <w:sz w:val="18"/>
                      <w:szCs w:val="18"/>
                    </w:rPr>
                    <w:t>备注</w:t>
                  </w:r>
                </w:p>
              </w:tc>
            </w:tr>
            <w:tr w14:paraId="2A22C4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333" w:type="pct"/>
                  <w:vMerge w:val="restart"/>
                  <w:vAlign w:val="center"/>
                </w:tcPr>
                <w:p w14:paraId="6397F38D">
                  <w:pPr>
                    <w:pStyle w:val="55"/>
                    <w:spacing w:before="24" w:after="24" w:line="240" w:lineRule="auto"/>
                    <w:rPr>
                      <w:rFonts w:ascii="Times New Roman"/>
                      <w:color w:val="auto"/>
                      <w:sz w:val="18"/>
                      <w:szCs w:val="18"/>
                    </w:rPr>
                  </w:pPr>
                  <w:r>
                    <w:rPr>
                      <w:rFonts w:ascii="Times New Roman"/>
                      <w:color w:val="auto"/>
                      <w:sz w:val="18"/>
                      <w:szCs w:val="18"/>
                    </w:rPr>
                    <w:t>主体</w:t>
                  </w:r>
                </w:p>
                <w:p w14:paraId="6F1D0D40">
                  <w:pPr>
                    <w:pStyle w:val="55"/>
                    <w:spacing w:before="24" w:after="24" w:line="240" w:lineRule="auto"/>
                    <w:rPr>
                      <w:rFonts w:ascii="Times New Roman"/>
                      <w:color w:val="auto"/>
                      <w:sz w:val="18"/>
                      <w:szCs w:val="18"/>
                    </w:rPr>
                  </w:pPr>
                  <w:r>
                    <w:rPr>
                      <w:rFonts w:ascii="Times New Roman"/>
                      <w:color w:val="auto"/>
                      <w:sz w:val="18"/>
                      <w:szCs w:val="18"/>
                    </w:rPr>
                    <w:t>工程</w:t>
                  </w:r>
                </w:p>
              </w:tc>
              <w:tc>
                <w:tcPr>
                  <w:tcW w:w="1048" w:type="pct"/>
                  <w:gridSpan w:val="2"/>
                  <w:vAlign w:val="center"/>
                </w:tcPr>
                <w:p w14:paraId="48923B3F">
                  <w:pPr>
                    <w:pStyle w:val="55"/>
                    <w:spacing w:before="24" w:after="24" w:line="240" w:lineRule="auto"/>
                    <w:rPr>
                      <w:rFonts w:ascii="Times New Roman"/>
                      <w:color w:val="auto"/>
                      <w:sz w:val="18"/>
                      <w:szCs w:val="18"/>
                    </w:rPr>
                  </w:pPr>
                  <w:r>
                    <w:rPr>
                      <w:rFonts w:hint="eastAsia" w:ascii="Times New Roman"/>
                      <w:color w:val="auto"/>
                      <w:sz w:val="18"/>
                      <w:szCs w:val="18"/>
                    </w:rPr>
                    <w:t>北侧研发检测车间</w:t>
                  </w:r>
                </w:p>
              </w:tc>
              <w:tc>
                <w:tcPr>
                  <w:tcW w:w="1419" w:type="pct"/>
                  <w:vAlign w:val="center"/>
                </w:tcPr>
                <w:p w14:paraId="2CF7C86A">
                  <w:pPr>
                    <w:pStyle w:val="55"/>
                    <w:spacing w:before="24" w:after="24" w:line="240" w:lineRule="auto"/>
                    <w:rPr>
                      <w:rFonts w:ascii="Times New Roman"/>
                      <w:color w:val="auto"/>
                      <w:sz w:val="18"/>
                      <w:szCs w:val="18"/>
                    </w:rPr>
                  </w:pPr>
                  <w:r>
                    <w:rPr>
                      <w:rFonts w:hint="eastAsia" w:ascii="Times New Roman"/>
                      <w:color w:val="auto"/>
                      <w:sz w:val="18"/>
                      <w:szCs w:val="18"/>
                    </w:rPr>
                    <w:t>416</w:t>
                  </w:r>
                  <w:r>
                    <w:rPr>
                      <w:rFonts w:ascii="Times New Roman"/>
                      <w:color w:val="auto"/>
                      <w:sz w:val="18"/>
                      <w:szCs w:val="18"/>
                    </w:rPr>
                    <w:t>m</w:t>
                  </w:r>
                  <w:r>
                    <w:rPr>
                      <w:rFonts w:ascii="Times New Roman"/>
                      <w:color w:val="auto"/>
                      <w:sz w:val="18"/>
                      <w:szCs w:val="18"/>
                      <w:vertAlign w:val="superscript"/>
                    </w:rPr>
                    <w:t>2</w:t>
                  </w:r>
                </w:p>
              </w:tc>
              <w:tc>
                <w:tcPr>
                  <w:tcW w:w="2198" w:type="pct"/>
                  <w:vAlign w:val="center"/>
                </w:tcPr>
                <w:p w14:paraId="38D04CE5">
                  <w:pPr>
                    <w:pStyle w:val="55"/>
                    <w:spacing w:before="24" w:after="24" w:line="240" w:lineRule="auto"/>
                    <w:rPr>
                      <w:rFonts w:ascii="Times New Roman"/>
                      <w:color w:val="auto"/>
                      <w:sz w:val="18"/>
                      <w:szCs w:val="18"/>
                    </w:rPr>
                  </w:pPr>
                  <w:r>
                    <w:rPr>
                      <w:rFonts w:ascii="Times New Roman"/>
                      <w:color w:val="auto"/>
                      <w:sz w:val="18"/>
                      <w:szCs w:val="18"/>
                    </w:rPr>
                    <w:t>1F，</w:t>
                  </w:r>
                  <w:r>
                    <w:rPr>
                      <w:rFonts w:hint="eastAsia" w:ascii="Times New Roman"/>
                      <w:color w:val="auto"/>
                      <w:sz w:val="18"/>
                      <w:szCs w:val="18"/>
                    </w:rPr>
                    <w:t>研发、检测</w:t>
                  </w:r>
                </w:p>
              </w:tc>
            </w:tr>
            <w:tr w14:paraId="1B9334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41" w:hRule="atLeast"/>
                <w:jc w:val="center"/>
              </w:trPr>
              <w:tc>
                <w:tcPr>
                  <w:tcW w:w="333" w:type="pct"/>
                  <w:vMerge w:val="continue"/>
                  <w:vAlign w:val="center"/>
                </w:tcPr>
                <w:p w14:paraId="12D893FA">
                  <w:pPr>
                    <w:pStyle w:val="55"/>
                    <w:spacing w:before="24" w:after="24" w:line="240" w:lineRule="auto"/>
                    <w:rPr>
                      <w:rFonts w:ascii="Times New Roman"/>
                      <w:color w:val="auto"/>
                      <w:sz w:val="18"/>
                      <w:szCs w:val="18"/>
                    </w:rPr>
                  </w:pPr>
                </w:p>
              </w:tc>
              <w:tc>
                <w:tcPr>
                  <w:tcW w:w="1048" w:type="pct"/>
                  <w:gridSpan w:val="2"/>
                  <w:vAlign w:val="center"/>
                </w:tcPr>
                <w:p w14:paraId="19B1A9E0">
                  <w:pPr>
                    <w:pStyle w:val="55"/>
                    <w:spacing w:before="24" w:after="24" w:line="240" w:lineRule="auto"/>
                    <w:rPr>
                      <w:rFonts w:ascii="Times New Roman"/>
                      <w:color w:val="auto"/>
                      <w:sz w:val="18"/>
                      <w:szCs w:val="18"/>
                    </w:rPr>
                  </w:pPr>
                  <w:r>
                    <w:rPr>
                      <w:rFonts w:hint="eastAsia" w:ascii="Times New Roman"/>
                      <w:color w:val="auto"/>
                      <w:sz w:val="18"/>
                      <w:szCs w:val="18"/>
                    </w:rPr>
                    <w:t>预留</w:t>
                  </w:r>
                  <w:r>
                    <w:rPr>
                      <w:rFonts w:ascii="Times New Roman"/>
                      <w:color w:val="auto"/>
                      <w:sz w:val="18"/>
                      <w:szCs w:val="18"/>
                    </w:rPr>
                    <w:t>车间</w:t>
                  </w:r>
                </w:p>
              </w:tc>
              <w:tc>
                <w:tcPr>
                  <w:tcW w:w="1419" w:type="pct"/>
                  <w:vAlign w:val="center"/>
                </w:tcPr>
                <w:p w14:paraId="4FCEB7DD">
                  <w:pPr>
                    <w:spacing w:before="24" w:after="24"/>
                    <w:jc w:val="center"/>
                    <w:rPr>
                      <w:color w:val="auto"/>
                      <w:sz w:val="18"/>
                      <w:szCs w:val="18"/>
                    </w:rPr>
                  </w:pPr>
                  <w:r>
                    <w:rPr>
                      <w:rFonts w:hint="eastAsia"/>
                      <w:color w:val="auto"/>
                      <w:sz w:val="18"/>
                      <w:szCs w:val="18"/>
                    </w:rPr>
                    <w:t>1584</w:t>
                  </w:r>
                  <w:r>
                    <w:rPr>
                      <w:color w:val="auto"/>
                      <w:sz w:val="18"/>
                      <w:szCs w:val="18"/>
                    </w:rPr>
                    <w:t>m</w:t>
                  </w:r>
                  <w:r>
                    <w:rPr>
                      <w:color w:val="auto"/>
                      <w:sz w:val="18"/>
                      <w:szCs w:val="18"/>
                      <w:vertAlign w:val="superscript"/>
                    </w:rPr>
                    <w:t>2</w:t>
                  </w:r>
                </w:p>
              </w:tc>
              <w:tc>
                <w:tcPr>
                  <w:tcW w:w="2198" w:type="pct"/>
                  <w:vAlign w:val="center"/>
                </w:tcPr>
                <w:p w14:paraId="487069AF">
                  <w:pPr>
                    <w:pStyle w:val="55"/>
                    <w:spacing w:before="24" w:after="24" w:line="240" w:lineRule="auto"/>
                    <w:rPr>
                      <w:rFonts w:ascii="Times New Roman"/>
                      <w:color w:val="auto"/>
                      <w:sz w:val="18"/>
                      <w:szCs w:val="18"/>
                    </w:rPr>
                  </w:pPr>
                  <w:r>
                    <w:rPr>
                      <w:rFonts w:hint="eastAsia" w:ascii="Times New Roman"/>
                      <w:color w:val="auto"/>
                      <w:sz w:val="18"/>
                      <w:szCs w:val="18"/>
                    </w:rPr>
                    <w:t>南侧2</w:t>
                  </w:r>
                  <w:r>
                    <w:rPr>
                      <w:rFonts w:ascii="Times New Roman"/>
                      <w:color w:val="auto"/>
                      <w:sz w:val="18"/>
                      <w:szCs w:val="18"/>
                    </w:rPr>
                    <w:t>F，</w:t>
                  </w:r>
                  <w:r>
                    <w:rPr>
                      <w:rFonts w:hint="eastAsia" w:ascii="Times New Roman"/>
                      <w:color w:val="auto"/>
                      <w:sz w:val="18"/>
                      <w:szCs w:val="18"/>
                    </w:rPr>
                    <w:t>预留</w:t>
                  </w:r>
                </w:p>
              </w:tc>
            </w:tr>
            <w:tr w14:paraId="344E86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333" w:type="pct"/>
                  <w:vAlign w:val="center"/>
                </w:tcPr>
                <w:p w14:paraId="2A9E0B2D">
                  <w:pPr>
                    <w:pStyle w:val="55"/>
                    <w:spacing w:before="24" w:after="24" w:line="240" w:lineRule="auto"/>
                    <w:rPr>
                      <w:rFonts w:ascii="Times New Roman"/>
                      <w:color w:val="auto"/>
                      <w:sz w:val="18"/>
                      <w:szCs w:val="18"/>
                    </w:rPr>
                  </w:pPr>
                  <w:r>
                    <w:rPr>
                      <w:rFonts w:ascii="Times New Roman"/>
                      <w:color w:val="auto"/>
                      <w:sz w:val="18"/>
                      <w:szCs w:val="18"/>
                    </w:rPr>
                    <w:t>贮运</w:t>
                  </w:r>
                </w:p>
                <w:p w14:paraId="795572C6">
                  <w:pPr>
                    <w:pStyle w:val="55"/>
                    <w:spacing w:before="24" w:after="24" w:line="240" w:lineRule="auto"/>
                    <w:rPr>
                      <w:rFonts w:ascii="Times New Roman"/>
                      <w:color w:val="auto"/>
                      <w:sz w:val="18"/>
                      <w:szCs w:val="18"/>
                    </w:rPr>
                  </w:pPr>
                  <w:r>
                    <w:rPr>
                      <w:rFonts w:ascii="Times New Roman"/>
                      <w:color w:val="auto"/>
                      <w:sz w:val="18"/>
                      <w:szCs w:val="18"/>
                    </w:rPr>
                    <w:t>工程</w:t>
                  </w:r>
                </w:p>
              </w:tc>
              <w:tc>
                <w:tcPr>
                  <w:tcW w:w="1048" w:type="pct"/>
                  <w:gridSpan w:val="2"/>
                  <w:vAlign w:val="center"/>
                </w:tcPr>
                <w:p w14:paraId="5E2101AD">
                  <w:pPr>
                    <w:pStyle w:val="55"/>
                    <w:spacing w:before="24" w:after="24" w:line="240" w:lineRule="auto"/>
                    <w:rPr>
                      <w:rFonts w:ascii="Times New Roman"/>
                      <w:color w:val="auto"/>
                      <w:sz w:val="18"/>
                      <w:szCs w:val="18"/>
                    </w:rPr>
                  </w:pPr>
                  <w:r>
                    <w:rPr>
                      <w:rFonts w:hint="eastAsia" w:ascii="Times New Roman"/>
                      <w:color w:val="auto"/>
                      <w:sz w:val="18"/>
                      <w:szCs w:val="18"/>
                    </w:rPr>
                    <w:t>试剂室</w:t>
                  </w:r>
                </w:p>
              </w:tc>
              <w:tc>
                <w:tcPr>
                  <w:tcW w:w="1419" w:type="pct"/>
                  <w:vAlign w:val="center"/>
                </w:tcPr>
                <w:p w14:paraId="334A2B7B">
                  <w:pPr>
                    <w:pStyle w:val="55"/>
                    <w:spacing w:before="24" w:after="24" w:line="240" w:lineRule="auto"/>
                    <w:rPr>
                      <w:rFonts w:ascii="Times New Roman"/>
                      <w:color w:val="auto"/>
                      <w:sz w:val="18"/>
                      <w:szCs w:val="18"/>
                    </w:rPr>
                  </w:pPr>
                  <w:r>
                    <w:rPr>
                      <w:rFonts w:hint="eastAsia" w:ascii="Times New Roman"/>
                      <w:color w:val="auto"/>
                      <w:sz w:val="18"/>
                      <w:szCs w:val="18"/>
                    </w:rPr>
                    <w:t>28</w:t>
                  </w:r>
                  <w:r>
                    <w:rPr>
                      <w:rFonts w:ascii="Times New Roman"/>
                      <w:color w:val="auto"/>
                      <w:sz w:val="18"/>
                      <w:szCs w:val="18"/>
                    </w:rPr>
                    <w:t>m</w:t>
                  </w:r>
                  <w:r>
                    <w:rPr>
                      <w:rFonts w:ascii="Times New Roman"/>
                      <w:color w:val="auto"/>
                      <w:sz w:val="18"/>
                      <w:szCs w:val="18"/>
                      <w:vertAlign w:val="superscript"/>
                    </w:rPr>
                    <w:t>2</w:t>
                  </w:r>
                </w:p>
              </w:tc>
              <w:tc>
                <w:tcPr>
                  <w:tcW w:w="2198" w:type="pct"/>
                  <w:vAlign w:val="center"/>
                </w:tcPr>
                <w:p w14:paraId="3F72DB29">
                  <w:pPr>
                    <w:pStyle w:val="55"/>
                    <w:spacing w:before="24" w:after="24" w:line="240" w:lineRule="auto"/>
                    <w:rPr>
                      <w:rFonts w:ascii="Times New Roman"/>
                      <w:color w:val="auto"/>
                      <w:sz w:val="18"/>
                      <w:szCs w:val="18"/>
                    </w:rPr>
                  </w:pPr>
                  <w:r>
                    <w:rPr>
                      <w:rFonts w:hint="eastAsia" w:ascii="Times New Roman"/>
                      <w:color w:val="auto"/>
                      <w:sz w:val="18"/>
                      <w:szCs w:val="18"/>
                    </w:rPr>
                    <w:t>北侧研发检测车间西南侧</w:t>
                  </w:r>
                </w:p>
              </w:tc>
            </w:tr>
            <w:tr w14:paraId="7666AA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33" w:type="pct"/>
                  <w:vMerge w:val="restart"/>
                  <w:vAlign w:val="center"/>
                </w:tcPr>
                <w:p w14:paraId="411D8DBE">
                  <w:pPr>
                    <w:pStyle w:val="55"/>
                    <w:spacing w:before="24" w:after="24" w:line="240" w:lineRule="auto"/>
                    <w:rPr>
                      <w:rFonts w:ascii="Times New Roman"/>
                      <w:color w:val="auto"/>
                      <w:sz w:val="18"/>
                      <w:szCs w:val="18"/>
                    </w:rPr>
                  </w:pPr>
                  <w:r>
                    <w:rPr>
                      <w:rFonts w:ascii="Times New Roman"/>
                      <w:color w:val="auto"/>
                      <w:sz w:val="18"/>
                      <w:szCs w:val="18"/>
                    </w:rPr>
                    <w:t>公用</w:t>
                  </w:r>
                </w:p>
                <w:p w14:paraId="43920320">
                  <w:pPr>
                    <w:pStyle w:val="55"/>
                    <w:spacing w:before="24" w:after="24" w:line="240" w:lineRule="auto"/>
                    <w:rPr>
                      <w:rFonts w:ascii="Times New Roman"/>
                      <w:color w:val="auto"/>
                      <w:sz w:val="18"/>
                      <w:szCs w:val="18"/>
                    </w:rPr>
                  </w:pPr>
                  <w:r>
                    <w:rPr>
                      <w:rFonts w:ascii="Times New Roman"/>
                      <w:color w:val="auto"/>
                      <w:sz w:val="18"/>
                      <w:szCs w:val="18"/>
                    </w:rPr>
                    <w:t>工程</w:t>
                  </w:r>
                </w:p>
              </w:tc>
              <w:tc>
                <w:tcPr>
                  <w:tcW w:w="1048" w:type="pct"/>
                  <w:gridSpan w:val="2"/>
                  <w:vAlign w:val="center"/>
                </w:tcPr>
                <w:p w14:paraId="538EBFC3">
                  <w:pPr>
                    <w:pStyle w:val="55"/>
                    <w:spacing w:before="24" w:after="24" w:line="240" w:lineRule="auto"/>
                    <w:rPr>
                      <w:rFonts w:ascii="Times New Roman"/>
                      <w:color w:val="auto"/>
                      <w:sz w:val="18"/>
                      <w:szCs w:val="18"/>
                    </w:rPr>
                  </w:pPr>
                  <w:r>
                    <w:rPr>
                      <w:rFonts w:ascii="Times New Roman"/>
                      <w:color w:val="auto"/>
                      <w:sz w:val="18"/>
                      <w:szCs w:val="18"/>
                    </w:rPr>
                    <w:t>给水</w:t>
                  </w:r>
                </w:p>
              </w:tc>
              <w:tc>
                <w:tcPr>
                  <w:tcW w:w="1419" w:type="pct"/>
                  <w:vAlign w:val="center"/>
                </w:tcPr>
                <w:p w14:paraId="265F6D37">
                  <w:pPr>
                    <w:pStyle w:val="55"/>
                    <w:spacing w:before="24" w:after="24" w:line="240" w:lineRule="auto"/>
                    <w:rPr>
                      <w:rFonts w:ascii="Times New Roman"/>
                      <w:color w:val="auto"/>
                      <w:sz w:val="18"/>
                      <w:szCs w:val="18"/>
                    </w:rPr>
                  </w:pPr>
                  <w:r>
                    <w:rPr>
                      <w:rFonts w:hint="eastAsia" w:ascii="Times New Roman"/>
                      <w:color w:val="auto"/>
                      <w:sz w:val="18"/>
                      <w:szCs w:val="18"/>
                      <w:lang w:eastAsia="zh-CN"/>
                    </w:rPr>
                    <w:t>128</w:t>
                  </w:r>
                  <w:r>
                    <w:rPr>
                      <w:rFonts w:ascii="Times New Roman"/>
                      <w:color w:val="auto"/>
                      <w:sz w:val="18"/>
                      <w:szCs w:val="18"/>
                    </w:rPr>
                    <w:t>t/a</w:t>
                  </w:r>
                </w:p>
              </w:tc>
              <w:tc>
                <w:tcPr>
                  <w:tcW w:w="2198" w:type="pct"/>
                  <w:vAlign w:val="center"/>
                </w:tcPr>
                <w:p w14:paraId="35ED947F">
                  <w:pPr>
                    <w:pStyle w:val="55"/>
                    <w:spacing w:before="24" w:after="24" w:line="240" w:lineRule="auto"/>
                    <w:rPr>
                      <w:rFonts w:ascii="Times New Roman"/>
                      <w:color w:val="auto"/>
                      <w:sz w:val="18"/>
                      <w:szCs w:val="18"/>
                    </w:rPr>
                  </w:pPr>
                  <w:r>
                    <w:rPr>
                      <w:rFonts w:ascii="Times New Roman"/>
                      <w:color w:val="auto"/>
                      <w:sz w:val="18"/>
                      <w:szCs w:val="18"/>
                    </w:rPr>
                    <w:t>来自市政自来水管网</w:t>
                  </w:r>
                </w:p>
              </w:tc>
            </w:tr>
            <w:tr w14:paraId="594448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33" w:type="pct"/>
                  <w:vMerge w:val="continue"/>
                  <w:vAlign w:val="center"/>
                </w:tcPr>
                <w:p w14:paraId="019D313C">
                  <w:pPr>
                    <w:pStyle w:val="55"/>
                    <w:spacing w:before="24" w:after="24" w:line="240" w:lineRule="auto"/>
                    <w:rPr>
                      <w:rFonts w:ascii="Times New Roman"/>
                      <w:color w:val="auto"/>
                      <w:sz w:val="18"/>
                      <w:szCs w:val="18"/>
                    </w:rPr>
                  </w:pPr>
                </w:p>
              </w:tc>
              <w:tc>
                <w:tcPr>
                  <w:tcW w:w="1048" w:type="pct"/>
                  <w:gridSpan w:val="2"/>
                  <w:vAlign w:val="center"/>
                </w:tcPr>
                <w:p w14:paraId="7708996D">
                  <w:pPr>
                    <w:pStyle w:val="55"/>
                    <w:spacing w:before="24" w:after="24" w:line="240" w:lineRule="auto"/>
                    <w:rPr>
                      <w:rFonts w:ascii="Times New Roman"/>
                      <w:color w:val="auto"/>
                      <w:sz w:val="18"/>
                      <w:szCs w:val="18"/>
                    </w:rPr>
                  </w:pPr>
                  <w:r>
                    <w:rPr>
                      <w:rFonts w:hint="eastAsia" w:ascii="Times New Roman"/>
                      <w:color w:val="auto"/>
                      <w:sz w:val="18"/>
                      <w:szCs w:val="18"/>
                    </w:rPr>
                    <w:t>纯水</w:t>
                  </w:r>
                </w:p>
              </w:tc>
              <w:tc>
                <w:tcPr>
                  <w:tcW w:w="1419" w:type="pct"/>
                  <w:vAlign w:val="center"/>
                </w:tcPr>
                <w:p w14:paraId="702B073A">
                  <w:pPr>
                    <w:pStyle w:val="55"/>
                    <w:spacing w:before="24" w:after="24" w:line="240" w:lineRule="auto"/>
                    <w:rPr>
                      <w:rFonts w:ascii="Times New Roman"/>
                      <w:color w:val="auto"/>
                      <w:sz w:val="18"/>
                      <w:szCs w:val="18"/>
                    </w:rPr>
                  </w:pPr>
                  <w:r>
                    <w:rPr>
                      <w:rFonts w:hint="eastAsia" w:ascii="Times New Roman"/>
                      <w:color w:val="auto"/>
                      <w:sz w:val="18"/>
                      <w:szCs w:val="18"/>
                      <w:lang w:val="en-US" w:eastAsia="zh-CN"/>
                    </w:rPr>
                    <w:t>9.5</w:t>
                  </w:r>
                  <w:r>
                    <w:rPr>
                      <w:rFonts w:hint="eastAsia" w:ascii="Times New Roman"/>
                      <w:color w:val="auto"/>
                      <w:sz w:val="18"/>
                      <w:szCs w:val="18"/>
                    </w:rPr>
                    <w:t>t/a</w:t>
                  </w:r>
                </w:p>
              </w:tc>
              <w:tc>
                <w:tcPr>
                  <w:tcW w:w="2198" w:type="pct"/>
                  <w:vAlign w:val="center"/>
                </w:tcPr>
                <w:p w14:paraId="4B03E135">
                  <w:pPr>
                    <w:pStyle w:val="55"/>
                    <w:spacing w:before="24" w:after="24" w:line="240" w:lineRule="auto"/>
                    <w:rPr>
                      <w:rFonts w:ascii="Times New Roman"/>
                      <w:color w:val="auto"/>
                      <w:sz w:val="18"/>
                      <w:szCs w:val="18"/>
                    </w:rPr>
                  </w:pPr>
                  <w:r>
                    <w:rPr>
                      <w:rFonts w:hint="eastAsia" w:ascii="Times New Roman"/>
                      <w:color w:val="auto"/>
                      <w:sz w:val="18"/>
                      <w:szCs w:val="18"/>
                    </w:rPr>
                    <w:t>外购</w:t>
                  </w:r>
                </w:p>
              </w:tc>
            </w:tr>
            <w:tr w14:paraId="0B7682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3" w:type="pct"/>
                  <w:vMerge w:val="continue"/>
                  <w:vAlign w:val="center"/>
                </w:tcPr>
                <w:p w14:paraId="16E4DFAB">
                  <w:pPr>
                    <w:pStyle w:val="55"/>
                    <w:spacing w:before="24" w:after="24" w:line="240" w:lineRule="auto"/>
                    <w:rPr>
                      <w:rFonts w:ascii="Times New Roman"/>
                      <w:color w:val="auto"/>
                      <w:sz w:val="18"/>
                      <w:szCs w:val="18"/>
                    </w:rPr>
                  </w:pPr>
                </w:p>
              </w:tc>
              <w:tc>
                <w:tcPr>
                  <w:tcW w:w="1048" w:type="pct"/>
                  <w:gridSpan w:val="2"/>
                  <w:vAlign w:val="center"/>
                </w:tcPr>
                <w:p w14:paraId="4C5D5321">
                  <w:pPr>
                    <w:pStyle w:val="55"/>
                    <w:spacing w:before="24" w:after="24" w:line="240" w:lineRule="auto"/>
                    <w:rPr>
                      <w:rFonts w:ascii="Times New Roman"/>
                      <w:color w:val="auto"/>
                      <w:sz w:val="18"/>
                      <w:szCs w:val="18"/>
                    </w:rPr>
                  </w:pPr>
                  <w:r>
                    <w:rPr>
                      <w:rFonts w:ascii="Times New Roman"/>
                      <w:color w:val="auto"/>
                      <w:sz w:val="18"/>
                      <w:szCs w:val="18"/>
                    </w:rPr>
                    <w:t>排水</w:t>
                  </w:r>
                </w:p>
              </w:tc>
              <w:tc>
                <w:tcPr>
                  <w:tcW w:w="1419" w:type="pct"/>
                  <w:vAlign w:val="center"/>
                </w:tcPr>
                <w:p w14:paraId="334B0689">
                  <w:pPr>
                    <w:pStyle w:val="55"/>
                    <w:spacing w:before="24" w:after="24" w:line="240" w:lineRule="auto"/>
                    <w:rPr>
                      <w:rFonts w:ascii="Times New Roman"/>
                      <w:color w:val="auto"/>
                      <w:sz w:val="18"/>
                      <w:szCs w:val="18"/>
                    </w:rPr>
                  </w:pPr>
                  <w:r>
                    <w:rPr>
                      <w:rFonts w:hint="eastAsia" w:ascii="Times New Roman"/>
                      <w:color w:val="auto"/>
                      <w:sz w:val="18"/>
                      <w:szCs w:val="18"/>
                    </w:rPr>
                    <w:t>10</w:t>
                  </w:r>
                  <w:r>
                    <w:rPr>
                      <w:rFonts w:hint="eastAsia" w:ascii="Times New Roman"/>
                      <w:color w:val="auto"/>
                      <w:sz w:val="18"/>
                      <w:szCs w:val="18"/>
                      <w:lang w:val="en-US" w:eastAsia="zh-CN"/>
                    </w:rPr>
                    <w:t>6</w:t>
                  </w:r>
                  <w:r>
                    <w:rPr>
                      <w:rFonts w:ascii="Times New Roman"/>
                      <w:color w:val="auto"/>
                      <w:sz w:val="18"/>
                      <w:szCs w:val="18"/>
                    </w:rPr>
                    <w:t>t/a</w:t>
                  </w:r>
                </w:p>
              </w:tc>
              <w:tc>
                <w:tcPr>
                  <w:tcW w:w="2198" w:type="pct"/>
                  <w:vAlign w:val="center"/>
                </w:tcPr>
                <w:p w14:paraId="60467EAC">
                  <w:pPr>
                    <w:pStyle w:val="55"/>
                    <w:spacing w:before="24" w:after="24" w:line="240" w:lineRule="auto"/>
                    <w:rPr>
                      <w:rFonts w:ascii="Times New Roman"/>
                      <w:color w:val="auto"/>
                      <w:sz w:val="18"/>
                      <w:szCs w:val="18"/>
                    </w:rPr>
                  </w:pPr>
                  <w:r>
                    <w:rPr>
                      <w:rFonts w:ascii="Times New Roman"/>
                      <w:color w:val="auto"/>
                      <w:sz w:val="18"/>
                      <w:szCs w:val="18"/>
                    </w:rPr>
                    <w:t>生活污水经化粪池处理后</w:t>
                  </w:r>
                  <w:r>
                    <w:rPr>
                      <w:rFonts w:hint="eastAsia" w:ascii="Times New Roman"/>
                      <w:color w:val="auto"/>
                      <w:sz w:val="18"/>
                      <w:szCs w:val="18"/>
                      <w:lang w:eastAsia="zh-CN"/>
                    </w:rPr>
                    <w:t>、</w:t>
                  </w:r>
                  <w:r>
                    <w:rPr>
                      <w:rFonts w:hint="eastAsia" w:ascii="Times New Roman"/>
                      <w:color w:val="auto"/>
                      <w:sz w:val="18"/>
                      <w:szCs w:val="18"/>
                      <w:lang w:val="en-US" w:eastAsia="zh-CN"/>
                    </w:rPr>
                    <w:t>后道清洗废水经厂区污水处理设施处理后</w:t>
                  </w:r>
                  <w:r>
                    <w:rPr>
                      <w:rFonts w:ascii="Times New Roman"/>
                      <w:color w:val="auto"/>
                      <w:sz w:val="18"/>
                      <w:szCs w:val="18"/>
                    </w:rPr>
                    <w:t>接管进入</w:t>
                  </w:r>
                  <w:r>
                    <w:rPr>
                      <w:rFonts w:hint="eastAsia" w:ascii="Times New Roman"/>
                      <w:color w:val="auto"/>
                      <w:sz w:val="18"/>
                      <w:szCs w:val="18"/>
                    </w:rPr>
                    <w:t>海安李堡滇池水务有限公司</w:t>
                  </w:r>
                  <w:r>
                    <w:rPr>
                      <w:rFonts w:ascii="Times New Roman"/>
                      <w:color w:val="auto"/>
                      <w:sz w:val="18"/>
                      <w:szCs w:val="18"/>
                    </w:rPr>
                    <w:t>处理，</w:t>
                  </w:r>
                  <w:r>
                    <w:rPr>
                      <w:rFonts w:hint="eastAsia" w:ascii="Times New Roman"/>
                      <w:color w:val="auto"/>
                      <w:sz w:val="18"/>
                      <w:szCs w:val="18"/>
                    </w:rPr>
                    <w:t>达标尾水排入北凌河</w:t>
                  </w:r>
                </w:p>
              </w:tc>
            </w:tr>
            <w:tr w14:paraId="2B202B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33" w:type="pct"/>
                  <w:vMerge w:val="continue"/>
                  <w:vAlign w:val="center"/>
                </w:tcPr>
                <w:p w14:paraId="5C7BFF11">
                  <w:pPr>
                    <w:pStyle w:val="55"/>
                    <w:spacing w:before="24" w:after="24" w:line="240" w:lineRule="auto"/>
                    <w:rPr>
                      <w:rFonts w:ascii="Times New Roman"/>
                      <w:color w:val="auto"/>
                      <w:sz w:val="18"/>
                      <w:szCs w:val="18"/>
                    </w:rPr>
                  </w:pPr>
                </w:p>
              </w:tc>
              <w:tc>
                <w:tcPr>
                  <w:tcW w:w="1048" w:type="pct"/>
                  <w:gridSpan w:val="2"/>
                  <w:vAlign w:val="center"/>
                </w:tcPr>
                <w:p w14:paraId="1BF51BD3">
                  <w:pPr>
                    <w:pStyle w:val="55"/>
                    <w:spacing w:before="24" w:after="24" w:line="240" w:lineRule="auto"/>
                    <w:rPr>
                      <w:rFonts w:ascii="Times New Roman"/>
                      <w:color w:val="auto"/>
                      <w:sz w:val="18"/>
                      <w:szCs w:val="18"/>
                    </w:rPr>
                  </w:pPr>
                  <w:r>
                    <w:rPr>
                      <w:rFonts w:ascii="Times New Roman"/>
                      <w:color w:val="auto"/>
                      <w:sz w:val="18"/>
                      <w:szCs w:val="18"/>
                    </w:rPr>
                    <w:t>雨水</w:t>
                  </w:r>
                </w:p>
              </w:tc>
              <w:tc>
                <w:tcPr>
                  <w:tcW w:w="1419" w:type="pct"/>
                  <w:vAlign w:val="center"/>
                </w:tcPr>
                <w:p w14:paraId="25392FAB">
                  <w:pPr>
                    <w:pStyle w:val="55"/>
                    <w:spacing w:before="24" w:after="24" w:line="240" w:lineRule="auto"/>
                    <w:rPr>
                      <w:rFonts w:ascii="Times New Roman"/>
                      <w:color w:val="auto"/>
                      <w:sz w:val="18"/>
                      <w:szCs w:val="18"/>
                    </w:rPr>
                  </w:pPr>
                  <w:r>
                    <w:rPr>
                      <w:rFonts w:ascii="Times New Roman"/>
                      <w:color w:val="auto"/>
                      <w:sz w:val="18"/>
                      <w:szCs w:val="18"/>
                    </w:rPr>
                    <w:t>/</w:t>
                  </w:r>
                </w:p>
              </w:tc>
              <w:tc>
                <w:tcPr>
                  <w:tcW w:w="2198" w:type="pct"/>
                  <w:vAlign w:val="center"/>
                </w:tcPr>
                <w:p w14:paraId="1DE66793">
                  <w:pPr>
                    <w:pStyle w:val="55"/>
                    <w:spacing w:before="24" w:after="24" w:line="240" w:lineRule="auto"/>
                    <w:rPr>
                      <w:rFonts w:ascii="Times New Roman"/>
                      <w:color w:val="auto"/>
                      <w:sz w:val="18"/>
                      <w:szCs w:val="18"/>
                    </w:rPr>
                  </w:pPr>
                  <w:r>
                    <w:rPr>
                      <w:rFonts w:hint="eastAsia" w:ascii="Times New Roman"/>
                      <w:color w:val="auto"/>
                      <w:sz w:val="18"/>
                      <w:szCs w:val="18"/>
                    </w:rPr>
                    <w:t>通过市政管网就近排入北侧河流</w:t>
                  </w:r>
                </w:p>
              </w:tc>
            </w:tr>
            <w:tr w14:paraId="443A1F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33" w:type="pct"/>
                  <w:vMerge w:val="continue"/>
                  <w:vAlign w:val="center"/>
                </w:tcPr>
                <w:p w14:paraId="0C347096">
                  <w:pPr>
                    <w:pStyle w:val="55"/>
                    <w:spacing w:before="24" w:after="24" w:line="240" w:lineRule="auto"/>
                    <w:rPr>
                      <w:rFonts w:ascii="Times New Roman"/>
                      <w:color w:val="auto"/>
                      <w:sz w:val="18"/>
                      <w:szCs w:val="18"/>
                    </w:rPr>
                  </w:pPr>
                </w:p>
              </w:tc>
              <w:tc>
                <w:tcPr>
                  <w:tcW w:w="1048" w:type="pct"/>
                  <w:gridSpan w:val="2"/>
                  <w:vAlign w:val="center"/>
                </w:tcPr>
                <w:p w14:paraId="52CFD739">
                  <w:pPr>
                    <w:pStyle w:val="55"/>
                    <w:spacing w:before="24" w:after="24" w:line="240" w:lineRule="auto"/>
                    <w:rPr>
                      <w:rFonts w:ascii="Times New Roman"/>
                      <w:color w:val="auto"/>
                      <w:sz w:val="18"/>
                      <w:szCs w:val="18"/>
                    </w:rPr>
                  </w:pPr>
                  <w:r>
                    <w:rPr>
                      <w:rFonts w:ascii="Times New Roman"/>
                      <w:color w:val="auto"/>
                      <w:sz w:val="18"/>
                      <w:szCs w:val="18"/>
                    </w:rPr>
                    <w:t>供电</w:t>
                  </w:r>
                </w:p>
              </w:tc>
              <w:tc>
                <w:tcPr>
                  <w:tcW w:w="1419" w:type="pct"/>
                  <w:vAlign w:val="center"/>
                </w:tcPr>
                <w:p w14:paraId="0A809069">
                  <w:pPr>
                    <w:pStyle w:val="55"/>
                    <w:spacing w:beforeLines="0" w:afterLines="0" w:line="240" w:lineRule="auto"/>
                    <w:rPr>
                      <w:rFonts w:ascii="Times New Roman"/>
                      <w:color w:val="auto"/>
                      <w:sz w:val="18"/>
                      <w:szCs w:val="18"/>
                    </w:rPr>
                  </w:pPr>
                  <w:r>
                    <w:rPr>
                      <w:rFonts w:hint="eastAsia" w:ascii="Times New Roman"/>
                      <w:color w:val="auto"/>
                      <w:sz w:val="18"/>
                      <w:szCs w:val="18"/>
                    </w:rPr>
                    <w:t>5</w:t>
                  </w:r>
                  <w:r>
                    <w:rPr>
                      <w:rFonts w:ascii="Times New Roman"/>
                      <w:color w:val="auto"/>
                      <w:sz w:val="18"/>
                      <w:szCs w:val="18"/>
                    </w:rPr>
                    <w:t>万度/年</w:t>
                  </w:r>
                </w:p>
              </w:tc>
              <w:tc>
                <w:tcPr>
                  <w:tcW w:w="2198" w:type="pct"/>
                  <w:vAlign w:val="center"/>
                </w:tcPr>
                <w:p w14:paraId="0130B270">
                  <w:pPr>
                    <w:pStyle w:val="55"/>
                    <w:spacing w:before="24" w:after="24" w:line="240" w:lineRule="auto"/>
                    <w:rPr>
                      <w:rFonts w:ascii="Times New Roman"/>
                      <w:color w:val="auto"/>
                      <w:sz w:val="18"/>
                      <w:szCs w:val="18"/>
                    </w:rPr>
                  </w:pPr>
                  <w:r>
                    <w:rPr>
                      <w:rFonts w:ascii="Times New Roman"/>
                      <w:color w:val="auto"/>
                      <w:sz w:val="18"/>
                      <w:szCs w:val="18"/>
                    </w:rPr>
                    <w:t>来自当地电网</w:t>
                  </w:r>
                </w:p>
              </w:tc>
            </w:tr>
            <w:tr w14:paraId="1FEBCB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71" w:hRule="atLeast"/>
                <w:jc w:val="center"/>
              </w:trPr>
              <w:tc>
                <w:tcPr>
                  <w:tcW w:w="333" w:type="pct"/>
                  <w:vMerge w:val="restart"/>
                  <w:vAlign w:val="center"/>
                </w:tcPr>
                <w:p w14:paraId="3CECE2D1">
                  <w:pPr>
                    <w:pStyle w:val="55"/>
                    <w:spacing w:before="24" w:after="24" w:line="240" w:lineRule="auto"/>
                    <w:rPr>
                      <w:rFonts w:ascii="Times New Roman"/>
                      <w:color w:val="auto"/>
                      <w:sz w:val="18"/>
                      <w:szCs w:val="18"/>
                    </w:rPr>
                  </w:pPr>
                  <w:r>
                    <w:rPr>
                      <w:rFonts w:ascii="Times New Roman"/>
                      <w:color w:val="auto"/>
                      <w:sz w:val="18"/>
                      <w:szCs w:val="18"/>
                    </w:rPr>
                    <w:t>环保</w:t>
                  </w:r>
                </w:p>
                <w:p w14:paraId="04CB96F6">
                  <w:pPr>
                    <w:pStyle w:val="55"/>
                    <w:spacing w:before="24" w:after="24" w:line="240" w:lineRule="auto"/>
                    <w:rPr>
                      <w:rFonts w:ascii="Times New Roman"/>
                      <w:color w:val="auto"/>
                      <w:sz w:val="18"/>
                      <w:szCs w:val="18"/>
                    </w:rPr>
                  </w:pPr>
                  <w:r>
                    <w:rPr>
                      <w:rFonts w:ascii="Times New Roman"/>
                      <w:color w:val="auto"/>
                      <w:sz w:val="18"/>
                      <w:szCs w:val="18"/>
                    </w:rPr>
                    <w:t>工程</w:t>
                  </w:r>
                </w:p>
              </w:tc>
              <w:tc>
                <w:tcPr>
                  <w:tcW w:w="298" w:type="pct"/>
                  <w:vMerge w:val="restart"/>
                  <w:vAlign w:val="center"/>
                </w:tcPr>
                <w:p w14:paraId="116B197C">
                  <w:pPr>
                    <w:pStyle w:val="55"/>
                    <w:spacing w:before="24" w:after="24" w:line="240" w:lineRule="auto"/>
                    <w:rPr>
                      <w:rFonts w:ascii="Times New Roman"/>
                      <w:color w:val="auto"/>
                      <w:sz w:val="18"/>
                      <w:szCs w:val="18"/>
                    </w:rPr>
                  </w:pPr>
                  <w:r>
                    <w:rPr>
                      <w:rFonts w:ascii="Times New Roman"/>
                      <w:color w:val="auto"/>
                      <w:sz w:val="18"/>
                      <w:szCs w:val="18"/>
                    </w:rPr>
                    <w:t>废气</w:t>
                  </w:r>
                </w:p>
              </w:tc>
              <w:tc>
                <w:tcPr>
                  <w:tcW w:w="749" w:type="pct"/>
                  <w:vAlign w:val="center"/>
                </w:tcPr>
                <w:p w14:paraId="54BD73C6">
                  <w:pPr>
                    <w:pStyle w:val="55"/>
                    <w:spacing w:before="24" w:after="24" w:line="240" w:lineRule="auto"/>
                    <w:rPr>
                      <w:rFonts w:ascii="Times New Roman"/>
                      <w:color w:val="auto"/>
                      <w:sz w:val="18"/>
                      <w:szCs w:val="18"/>
                    </w:rPr>
                  </w:pPr>
                  <w:r>
                    <w:rPr>
                      <w:rFonts w:hint="eastAsia"/>
                      <w:color w:val="auto"/>
                      <w:sz w:val="18"/>
                      <w:szCs w:val="18"/>
                    </w:rPr>
                    <w:t>实验研发和检测工序产生的废气</w:t>
                  </w:r>
                </w:p>
              </w:tc>
              <w:tc>
                <w:tcPr>
                  <w:tcW w:w="1419" w:type="pct"/>
                  <w:tcMar>
                    <w:left w:w="0" w:type="dxa"/>
                    <w:right w:w="0" w:type="dxa"/>
                  </w:tcMar>
                  <w:vAlign w:val="center"/>
                </w:tcPr>
                <w:p w14:paraId="030F68F2">
                  <w:pPr>
                    <w:pStyle w:val="55"/>
                    <w:spacing w:beforeLines="0" w:afterLines="0" w:line="240" w:lineRule="auto"/>
                    <w:rPr>
                      <w:rFonts w:ascii="Times New Roman"/>
                      <w:color w:val="auto"/>
                      <w:sz w:val="18"/>
                      <w:szCs w:val="18"/>
                    </w:rPr>
                  </w:pPr>
                  <w:r>
                    <w:rPr>
                      <w:rFonts w:hint="eastAsia" w:ascii="Times New Roman"/>
                      <w:color w:val="auto"/>
                      <w:sz w:val="18"/>
                      <w:szCs w:val="18"/>
                    </w:rPr>
                    <w:t>水喷淋+除雾器+二级活性炭吸附</w:t>
                  </w:r>
                  <w:r>
                    <w:rPr>
                      <w:rFonts w:ascii="Times New Roman"/>
                      <w:color w:val="auto"/>
                      <w:sz w:val="18"/>
                      <w:szCs w:val="18"/>
                    </w:rPr>
                    <w:t>装置+1</w:t>
                  </w:r>
                  <w:r>
                    <w:rPr>
                      <w:rFonts w:hint="eastAsia" w:ascii="Times New Roman"/>
                      <w:color w:val="auto"/>
                      <w:sz w:val="18"/>
                      <w:szCs w:val="18"/>
                    </w:rPr>
                    <w:t>5</w:t>
                  </w:r>
                  <w:r>
                    <w:rPr>
                      <w:rFonts w:ascii="Times New Roman"/>
                      <w:color w:val="auto"/>
                      <w:sz w:val="18"/>
                      <w:szCs w:val="18"/>
                    </w:rPr>
                    <w:t>米高排气筒（DA001）排放，收集效率</w:t>
                  </w:r>
                  <w:r>
                    <w:rPr>
                      <w:rFonts w:hint="eastAsia" w:ascii="Times New Roman"/>
                      <w:color w:val="auto"/>
                      <w:sz w:val="18"/>
                      <w:szCs w:val="18"/>
                    </w:rPr>
                    <w:t>9</w:t>
                  </w:r>
                  <w:r>
                    <w:rPr>
                      <w:rFonts w:ascii="Times New Roman"/>
                      <w:color w:val="auto"/>
                      <w:sz w:val="18"/>
                      <w:szCs w:val="18"/>
                    </w:rPr>
                    <w:t>0%，</w:t>
                  </w:r>
                  <w:r>
                    <w:rPr>
                      <w:rFonts w:hint="eastAsia" w:ascii="Times New Roman"/>
                      <w:color w:val="auto"/>
                      <w:sz w:val="18"/>
                      <w:szCs w:val="18"/>
                    </w:rPr>
                    <w:t>废气</w:t>
                  </w:r>
                  <w:r>
                    <w:rPr>
                      <w:rFonts w:ascii="Times New Roman"/>
                      <w:color w:val="auto"/>
                      <w:sz w:val="18"/>
                      <w:szCs w:val="18"/>
                    </w:rPr>
                    <w:t>去除效率</w:t>
                  </w:r>
                  <w:r>
                    <w:rPr>
                      <w:rFonts w:hint="eastAsia" w:ascii="Times New Roman"/>
                      <w:color w:val="0000FF"/>
                      <w:spacing w:val="6"/>
                      <w:kern w:val="2"/>
                      <w:sz w:val="18"/>
                      <w:szCs w:val="18"/>
                      <w:shd w:val="clear" w:color="auto" w:fill="FFFFFF"/>
                      <w:lang w:val="en-US" w:eastAsia="zh-CN"/>
                    </w:rPr>
                    <w:t>80</w:t>
                  </w:r>
                  <w:r>
                    <w:rPr>
                      <w:rFonts w:hint="eastAsia" w:ascii="Times New Roman"/>
                      <w:color w:val="0000FF"/>
                      <w:spacing w:val="6"/>
                      <w:kern w:val="2"/>
                      <w:sz w:val="18"/>
                      <w:szCs w:val="18"/>
                      <w:shd w:val="clear" w:color="auto" w:fill="FFFFFF"/>
                    </w:rPr>
                    <w:t>%</w:t>
                  </w:r>
                </w:p>
              </w:tc>
              <w:tc>
                <w:tcPr>
                  <w:tcW w:w="2198" w:type="pct"/>
                  <w:vAlign w:val="center"/>
                </w:tcPr>
                <w:p w14:paraId="0139C29E">
                  <w:pPr>
                    <w:adjustRightInd w:val="0"/>
                    <w:snapToGrid w:val="0"/>
                    <w:jc w:val="center"/>
                    <w:rPr>
                      <w:color w:val="auto"/>
                      <w:sz w:val="18"/>
                      <w:szCs w:val="18"/>
                    </w:rPr>
                  </w:pPr>
                  <w:r>
                    <w:rPr>
                      <w:rFonts w:hint="eastAsia"/>
                      <w:color w:val="auto"/>
                      <w:sz w:val="18"/>
                      <w:szCs w:val="18"/>
                    </w:rPr>
                    <w:t>《大气污染物综合排放标准》（DB32/4041-2021）《恶臭污染物排放标准》（GB14554-93）</w:t>
                  </w:r>
                </w:p>
              </w:tc>
            </w:tr>
            <w:tr w14:paraId="41EE89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33" w:type="pct"/>
                  <w:vMerge w:val="continue"/>
                  <w:vAlign w:val="center"/>
                </w:tcPr>
                <w:p w14:paraId="33E886B0">
                  <w:pPr>
                    <w:pStyle w:val="55"/>
                    <w:spacing w:before="24" w:after="24" w:line="240" w:lineRule="auto"/>
                    <w:rPr>
                      <w:rFonts w:ascii="Times New Roman"/>
                      <w:color w:val="auto"/>
                      <w:sz w:val="18"/>
                      <w:szCs w:val="18"/>
                    </w:rPr>
                  </w:pPr>
                </w:p>
              </w:tc>
              <w:tc>
                <w:tcPr>
                  <w:tcW w:w="298" w:type="pct"/>
                  <w:vMerge w:val="continue"/>
                  <w:vAlign w:val="center"/>
                </w:tcPr>
                <w:p w14:paraId="7A83D00F">
                  <w:pPr>
                    <w:pStyle w:val="55"/>
                    <w:spacing w:before="24" w:after="24" w:line="240" w:lineRule="auto"/>
                    <w:rPr>
                      <w:rFonts w:ascii="Times New Roman"/>
                      <w:color w:val="auto"/>
                      <w:sz w:val="18"/>
                      <w:szCs w:val="18"/>
                    </w:rPr>
                  </w:pPr>
                </w:p>
              </w:tc>
              <w:tc>
                <w:tcPr>
                  <w:tcW w:w="749" w:type="pct"/>
                  <w:vAlign w:val="center"/>
                </w:tcPr>
                <w:p w14:paraId="2DD1C7E6">
                  <w:pPr>
                    <w:pStyle w:val="55"/>
                    <w:spacing w:before="24" w:after="24" w:line="240" w:lineRule="auto"/>
                    <w:rPr>
                      <w:color w:val="auto"/>
                      <w:sz w:val="18"/>
                      <w:szCs w:val="18"/>
                    </w:rPr>
                  </w:pPr>
                  <w:r>
                    <w:rPr>
                      <w:rFonts w:hint="eastAsia"/>
                      <w:color w:val="auto"/>
                      <w:sz w:val="18"/>
                      <w:szCs w:val="18"/>
                    </w:rPr>
                    <w:t>危废库贮存废气</w:t>
                  </w:r>
                </w:p>
              </w:tc>
              <w:tc>
                <w:tcPr>
                  <w:tcW w:w="1419" w:type="pct"/>
                  <w:tcMar>
                    <w:left w:w="0" w:type="dxa"/>
                    <w:right w:w="0" w:type="dxa"/>
                  </w:tcMar>
                  <w:vAlign w:val="center"/>
                </w:tcPr>
                <w:p w14:paraId="63EE88C3">
                  <w:pPr>
                    <w:pStyle w:val="55"/>
                    <w:spacing w:beforeLines="0" w:afterLines="0" w:line="240" w:lineRule="auto"/>
                    <w:rPr>
                      <w:rFonts w:ascii="Times New Roman"/>
                      <w:color w:val="auto"/>
                      <w:sz w:val="18"/>
                      <w:szCs w:val="18"/>
                    </w:rPr>
                  </w:pPr>
                  <w:r>
                    <w:rPr>
                      <w:rFonts w:hint="eastAsia" w:ascii="Times New Roman"/>
                      <w:color w:val="auto"/>
                      <w:sz w:val="18"/>
                      <w:szCs w:val="18"/>
                    </w:rPr>
                    <w:t>活性炭吸附</w:t>
                  </w:r>
                  <w:r>
                    <w:rPr>
                      <w:rFonts w:ascii="Times New Roman"/>
                      <w:color w:val="auto"/>
                      <w:sz w:val="18"/>
                      <w:szCs w:val="18"/>
                    </w:rPr>
                    <w:t>装置+1</w:t>
                  </w:r>
                  <w:r>
                    <w:rPr>
                      <w:rFonts w:hint="eastAsia" w:ascii="Times New Roman"/>
                      <w:color w:val="auto"/>
                      <w:sz w:val="18"/>
                      <w:szCs w:val="18"/>
                    </w:rPr>
                    <w:t>5</w:t>
                  </w:r>
                  <w:r>
                    <w:rPr>
                      <w:rFonts w:ascii="Times New Roman"/>
                      <w:color w:val="auto"/>
                      <w:sz w:val="18"/>
                      <w:szCs w:val="18"/>
                    </w:rPr>
                    <w:t>米高排气筒（DA00</w:t>
                  </w:r>
                  <w:r>
                    <w:rPr>
                      <w:rFonts w:hint="eastAsia" w:ascii="Times New Roman"/>
                      <w:color w:val="auto"/>
                      <w:sz w:val="18"/>
                      <w:szCs w:val="18"/>
                    </w:rPr>
                    <w:t>2</w:t>
                  </w:r>
                  <w:r>
                    <w:rPr>
                      <w:rFonts w:ascii="Times New Roman"/>
                      <w:color w:val="auto"/>
                      <w:sz w:val="18"/>
                      <w:szCs w:val="18"/>
                    </w:rPr>
                    <w:t>）排放，收集效率</w:t>
                  </w:r>
                  <w:r>
                    <w:rPr>
                      <w:rFonts w:hint="eastAsia" w:ascii="Times New Roman"/>
                      <w:color w:val="auto"/>
                      <w:sz w:val="18"/>
                      <w:szCs w:val="18"/>
                    </w:rPr>
                    <w:t>9</w:t>
                  </w:r>
                  <w:r>
                    <w:rPr>
                      <w:rFonts w:ascii="Times New Roman"/>
                      <w:color w:val="auto"/>
                      <w:sz w:val="18"/>
                      <w:szCs w:val="18"/>
                    </w:rPr>
                    <w:t>0%，去除效率</w:t>
                  </w:r>
                  <w:r>
                    <w:rPr>
                      <w:rFonts w:hint="eastAsia" w:ascii="Times New Roman"/>
                      <w:color w:val="auto"/>
                      <w:spacing w:val="6"/>
                      <w:kern w:val="2"/>
                      <w:sz w:val="18"/>
                      <w:szCs w:val="18"/>
                      <w:shd w:val="clear" w:color="auto" w:fill="FFFFFF"/>
                    </w:rPr>
                    <w:t>70%</w:t>
                  </w:r>
                </w:p>
              </w:tc>
              <w:tc>
                <w:tcPr>
                  <w:tcW w:w="2198" w:type="pct"/>
                  <w:vAlign w:val="center"/>
                </w:tcPr>
                <w:p w14:paraId="5101823F">
                  <w:pPr>
                    <w:adjustRightInd w:val="0"/>
                    <w:snapToGrid w:val="0"/>
                    <w:jc w:val="center"/>
                    <w:rPr>
                      <w:color w:val="auto"/>
                      <w:sz w:val="18"/>
                      <w:szCs w:val="18"/>
                    </w:rPr>
                  </w:pPr>
                  <w:r>
                    <w:rPr>
                      <w:rFonts w:hint="eastAsia"/>
                      <w:color w:val="auto"/>
                      <w:sz w:val="18"/>
                      <w:szCs w:val="18"/>
                    </w:rPr>
                    <w:t>《大气污染物综合排放标准》（DB32/4041-2021）</w:t>
                  </w:r>
                </w:p>
              </w:tc>
            </w:tr>
            <w:tr w14:paraId="496679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6" w:hRule="atLeast"/>
                <w:jc w:val="center"/>
              </w:trPr>
              <w:tc>
                <w:tcPr>
                  <w:tcW w:w="333" w:type="pct"/>
                  <w:vMerge w:val="continue"/>
                  <w:vAlign w:val="center"/>
                </w:tcPr>
                <w:p w14:paraId="772A1C72">
                  <w:pPr>
                    <w:pStyle w:val="55"/>
                    <w:spacing w:before="24" w:after="24" w:line="240" w:lineRule="auto"/>
                    <w:rPr>
                      <w:rFonts w:ascii="Times New Roman"/>
                      <w:color w:val="auto"/>
                      <w:sz w:val="18"/>
                      <w:szCs w:val="18"/>
                    </w:rPr>
                  </w:pPr>
                </w:p>
              </w:tc>
              <w:tc>
                <w:tcPr>
                  <w:tcW w:w="298" w:type="pct"/>
                  <w:vMerge w:val="restart"/>
                  <w:vAlign w:val="center"/>
                </w:tcPr>
                <w:p w14:paraId="2592357B">
                  <w:pPr>
                    <w:pStyle w:val="55"/>
                    <w:spacing w:before="24" w:after="24" w:line="240" w:lineRule="auto"/>
                    <w:rPr>
                      <w:rFonts w:ascii="Times New Roman"/>
                      <w:color w:val="auto"/>
                      <w:sz w:val="18"/>
                      <w:szCs w:val="18"/>
                    </w:rPr>
                  </w:pPr>
                  <w:r>
                    <w:rPr>
                      <w:rFonts w:ascii="Times New Roman"/>
                      <w:color w:val="auto"/>
                      <w:sz w:val="18"/>
                      <w:szCs w:val="18"/>
                    </w:rPr>
                    <w:t>废水</w:t>
                  </w:r>
                </w:p>
              </w:tc>
              <w:tc>
                <w:tcPr>
                  <w:tcW w:w="749" w:type="pct"/>
                  <w:vAlign w:val="center"/>
                </w:tcPr>
                <w:p w14:paraId="751A7118">
                  <w:pPr>
                    <w:pStyle w:val="55"/>
                    <w:spacing w:before="24" w:after="24" w:line="240" w:lineRule="auto"/>
                    <w:rPr>
                      <w:rFonts w:ascii="Times New Roman"/>
                      <w:color w:val="auto"/>
                      <w:sz w:val="18"/>
                      <w:szCs w:val="18"/>
                    </w:rPr>
                  </w:pPr>
                  <w:r>
                    <w:rPr>
                      <w:rFonts w:ascii="Times New Roman"/>
                      <w:color w:val="auto"/>
                      <w:sz w:val="18"/>
                      <w:szCs w:val="18"/>
                    </w:rPr>
                    <w:t>化粪池</w:t>
                  </w:r>
                </w:p>
              </w:tc>
              <w:tc>
                <w:tcPr>
                  <w:tcW w:w="1419" w:type="pct"/>
                  <w:tcMar>
                    <w:left w:w="0" w:type="dxa"/>
                    <w:right w:w="0" w:type="dxa"/>
                  </w:tcMar>
                  <w:vAlign w:val="center"/>
                </w:tcPr>
                <w:p w14:paraId="12719584">
                  <w:pPr>
                    <w:pStyle w:val="55"/>
                    <w:spacing w:beforeLines="0" w:afterLines="0" w:line="240" w:lineRule="auto"/>
                    <w:rPr>
                      <w:rFonts w:ascii="Times New Roman"/>
                      <w:color w:val="auto"/>
                      <w:sz w:val="18"/>
                      <w:szCs w:val="18"/>
                    </w:rPr>
                  </w:pPr>
                  <w:r>
                    <w:rPr>
                      <w:rFonts w:hint="eastAsia" w:ascii="Times New Roman"/>
                      <w:color w:val="auto"/>
                      <w:sz w:val="18"/>
                      <w:szCs w:val="18"/>
                    </w:rPr>
                    <w:t>5</w:t>
                  </w:r>
                  <w:r>
                    <w:rPr>
                      <w:rFonts w:ascii="Times New Roman"/>
                      <w:color w:val="auto"/>
                      <w:sz w:val="18"/>
                      <w:szCs w:val="18"/>
                    </w:rPr>
                    <w:t>m</w:t>
                  </w:r>
                  <w:r>
                    <w:rPr>
                      <w:rFonts w:ascii="Times New Roman"/>
                      <w:color w:val="auto"/>
                      <w:sz w:val="18"/>
                      <w:szCs w:val="18"/>
                      <w:vertAlign w:val="superscript"/>
                    </w:rPr>
                    <w:t>3</w:t>
                  </w:r>
                </w:p>
              </w:tc>
              <w:tc>
                <w:tcPr>
                  <w:tcW w:w="2198" w:type="pct"/>
                  <w:vAlign w:val="center"/>
                </w:tcPr>
                <w:p w14:paraId="2A819CBB">
                  <w:pPr>
                    <w:adjustRightInd w:val="0"/>
                    <w:snapToGrid w:val="0"/>
                    <w:jc w:val="center"/>
                    <w:rPr>
                      <w:color w:val="auto"/>
                      <w:sz w:val="18"/>
                      <w:szCs w:val="18"/>
                    </w:rPr>
                  </w:pPr>
                  <w:r>
                    <w:rPr>
                      <w:rFonts w:hint="eastAsia"/>
                      <w:color w:val="auto"/>
                      <w:sz w:val="18"/>
                      <w:szCs w:val="18"/>
                    </w:rPr>
                    <w:t>依托租赁方现有</w:t>
                  </w:r>
                </w:p>
              </w:tc>
            </w:tr>
            <w:tr w14:paraId="539222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6" w:hRule="atLeast"/>
                <w:jc w:val="center"/>
              </w:trPr>
              <w:tc>
                <w:tcPr>
                  <w:tcW w:w="333" w:type="pct"/>
                  <w:vMerge w:val="continue"/>
                  <w:vAlign w:val="center"/>
                </w:tcPr>
                <w:p w14:paraId="2981D40F">
                  <w:pPr>
                    <w:pStyle w:val="55"/>
                    <w:spacing w:before="24" w:after="24" w:line="240" w:lineRule="auto"/>
                    <w:rPr>
                      <w:rFonts w:ascii="Times New Roman"/>
                      <w:color w:val="auto"/>
                      <w:sz w:val="18"/>
                      <w:szCs w:val="18"/>
                    </w:rPr>
                  </w:pPr>
                </w:p>
              </w:tc>
              <w:tc>
                <w:tcPr>
                  <w:tcW w:w="298" w:type="pct"/>
                  <w:vMerge w:val="continue"/>
                  <w:vAlign w:val="center"/>
                </w:tcPr>
                <w:p w14:paraId="3B3F1495">
                  <w:pPr>
                    <w:pStyle w:val="55"/>
                    <w:spacing w:before="24" w:after="24" w:line="240" w:lineRule="auto"/>
                    <w:rPr>
                      <w:rFonts w:ascii="Times New Roman"/>
                      <w:color w:val="auto"/>
                      <w:sz w:val="18"/>
                      <w:szCs w:val="18"/>
                    </w:rPr>
                  </w:pPr>
                </w:p>
              </w:tc>
              <w:tc>
                <w:tcPr>
                  <w:tcW w:w="749" w:type="pct"/>
                  <w:vAlign w:val="center"/>
                </w:tcPr>
                <w:p w14:paraId="15B3B8D7">
                  <w:pPr>
                    <w:pStyle w:val="55"/>
                    <w:spacing w:before="24" w:after="24" w:line="240" w:lineRule="auto"/>
                    <w:rPr>
                      <w:rFonts w:hint="default" w:ascii="Times New Roman" w:eastAsia="宋体"/>
                      <w:color w:val="auto"/>
                      <w:sz w:val="18"/>
                      <w:szCs w:val="18"/>
                      <w:lang w:val="en-US" w:eastAsia="zh-CN"/>
                    </w:rPr>
                  </w:pPr>
                  <w:r>
                    <w:rPr>
                      <w:rFonts w:hint="eastAsia" w:ascii="Times New Roman"/>
                      <w:color w:val="auto"/>
                      <w:sz w:val="18"/>
                      <w:szCs w:val="18"/>
                      <w:lang w:val="en-US" w:eastAsia="zh-CN"/>
                    </w:rPr>
                    <w:t>污水处理设施</w:t>
                  </w:r>
                </w:p>
              </w:tc>
              <w:tc>
                <w:tcPr>
                  <w:tcW w:w="1419" w:type="pct"/>
                  <w:tcMar>
                    <w:left w:w="0" w:type="dxa"/>
                    <w:right w:w="0" w:type="dxa"/>
                  </w:tcMar>
                  <w:vAlign w:val="center"/>
                </w:tcPr>
                <w:p w14:paraId="041E2BC5">
                  <w:pPr>
                    <w:pStyle w:val="55"/>
                    <w:spacing w:beforeLines="0" w:afterLines="0" w:line="240" w:lineRule="auto"/>
                    <w:rPr>
                      <w:rFonts w:hint="default" w:ascii="Times New Roman" w:eastAsia="宋体"/>
                      <w:color w:val="auto"/>
                      <w:sz w:val="18"/>
                      <w:szCs w:val="18"/>
                      <w:lang w:val="en-US" w:eastAsia="zh-CN"/>
                    </w:rPr>
                  </w:pPr>
                  <w:r>
                    <w:rPr>
                      <w:rFonts w:hint="eastAsia" w:ascii="Times New Roman"/>
                      <w:color w:val="auto"/>
                      <w:sz w:val="18"/>
                      <w:szCs w:val="18"/>
                      <w:lang w:val="en-US" w:eastAsia="zh-CN"/>
                    </w:rPr>
                    <w:t>1</w:t>
                  </w:r>
                  <w:r>
                    <w:rPr>
                      <w:rFonts w:ascii="Times New Roman"/>
                      <w:color w:val="auto"/>
                      <w:sz w:val="18"/>
                      <w:szCs w:val="18"/>
                    </w:rPr>
                    <w:t>m</w:t>
                  </w:r>
                  <w:r>
                    <w:rPr>
                      <w:rFonts w:ascii="Times New Roman"/>
                      <w:color w:val="auto"/>
                      <w:sz w:val="18"/>
                      <w:szCs w:val="18"/>
                      <w:vertAlign w:val="superscript"/>
                    </w:rPr>
                    <w:t>3</w:t>
                  </w:r>
                  <w:r>
                    <w:rPr>
                      <w:rFonts w:hint="eastAsia" w:ascii="Times New Roman"/>
                      <w:color w:val="auto"/>
                      <w:sz w:val="18"/>
                      <w:szCs w:val="18"/>
                      <w:vertAlign w:val="baseline"/>
                      <w:lang w:val="en-US" w:eastAsia="zh-CN"/>
                    </w:rPr>
                    <w:t>/d</w:t>
                  </w:r>
                </w:p>
              </w:tc>
              <w:tc>
                <w:tcPr>
                  <w:tcW w:w="2198" w:type="pct"/>
                  <w:vAlign w:val="center"/>
                </w:tcPr>
                <w:p w14:paraId="74AC88C7">
                  <w:pPr>
                    <w:adjustRightInd w:val="0"/>
                    <w:snapToGrid w:val="0"/>
                    <w:jc w:val="center"/>
                    <w:rPr>
                      <w:rFonts w:hint="eastAsia"/>
                      <w:color w:val="auto"/>
                      <w:sz w:val="18"/>
                      <w:szCs w:val="18"/>
                    </w:rPr>
                  </w:pPr>
                  <w:r>
                    <w:rPr>
                      <w:rFonts w:hint="eastAsia"/>
                      <w:color w:val="auto"/>
                      <w:sz w:val="18"/>
                      <w:szCs w:val="18"/>
                    </w:rPr>
                    <w:t>《污水综合排放标准》（GB8978-1996）表4中三级标准</w:t>
                  </w:r>
                  <w:r>
                    <w:rPr>
                      <w:rFonts w:hint="eastAsia"/>
                      <w:color w:val="auto"/>
                      <w:sz w:val="18"/>
                      <w:szCs w:val="18"/>
                      <w:lang w:eastAsia="zh-CN"/>
                    </w:rPr>
                    <w:t>、</w:t>
                  </w:r>
                  <w:r>
                    <w:rPr>
                      <w:rFonts w:hint="eastAsia"/>
                      <w:color w:val="auto"/>
                      <w:sz w:val="18"/>
                      <w:szCs w:val="18"/>
                    </w:rPr>
                    <w:t>《污水排入城镇下水道水质标准》（GB/T31962-2015）表1中B等级标准</w:t>
                  </w:r>
                </w:p>
              </w:tc>
            </w:tr>
            <w:tr w14:paraId="5716A8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9" w:hRule="atLeast"/>
                <w:jc w:val="center"/>
              </w:trPr>
              <w:tc>
                <w:tcPr>
                  <w:tcW w:w="333" w:type="pct"/>
                  <w:vMerge w:val="continue"/>
                  <w:vAlign w:val="center"/>
                </w:tcPr>
                <w:p w14:paraId="6212A847">
                  <w:pPr>
                    <w:pStyle w:val="55"/>
                    <w:spacing w:before="24" w:after="24" w:line="240" w:lineRule="auto"/>
                    <w:rPr>
                      <w:rFonts w:ascii="Times New Roman"/>
                      <w:color w:val="auto"/>
                      <w:sz w:val="18"/>
                      <w:szCs w:val="18"/>
                    </w:rPr>
                  </w:pPr>
                </w:p>
              </w:tc>
              <w:tc>
                <w:tcPr>
                  <w:tcW w:w="298" w:type="pct"/>
                  <w:vAlign w:val="center"/>
                </w:tcPr>
                <w:p w14:paraId="10C67A90">
                  <w:pPr>
                    <w:pStyle w:val="55"/>
                    <w:spacing w:before="24" w:after="24" w:line="240" w:lineRule="auto"/>
                    <w:rPr>
                      <w:rFonts w:ascii="Times New Roman"/>
                      <w:color w:val="auto"/>
                      <w:sz w:val="18"/>
                      <w:szCs w:val="18"/>
                    </w:rPr>
                  </w:pPr>
                  <w:r>
                    <w:rPr>
                      <w:rFonts w:ascii="Times New Roman"/>
                      <w:color w:val="auto"/>
                      <w:sz w:val="18"/>
                      <w:szCs w:val="18"/>
                    </w:rPr>
                    <w:t>消防废水</w:t>
                  </w:r>
                </w:p>
              </w:tc>
              <w:tc>
                <w:tcPr>
                  <w:tcW w:w="749" w:type="pct"/>
                  <w:vAlign w:val="center"/>
                </w:tcPr>
                <w:p w14:paraId="2958A3FB">
                  <w:pPr>
                    <w:pStyle w:val="55"/>
                    <w:spacing w:before="24" w:after="24" w:line="240" w:lineRule="auto"/>
                    <w:rPr>
                      <w:rFonts w:ascii="Times New Roman"/>
                      <w:color w:val="auto"/>
                      <w:sz w:val="18"/>
                      <w:szCs w:val="18"/>
                    </w:rPr>
                  </w:pPr>
                  <w:r>
                    <w:rPr>
                      <w:rFonts w:ascii="Times New Roman"/>
                      <w:color w:val="auto"/>
                      <w:sz w:val="18"/>
                      <w:szCs w:val="18"/>
                    </w:rPr>
                    <w:t>事故应急池</w:t>
                  </w:r>
                </w:p>
              </w:tc>
              <w:tc>
                <w:tcPr>
                  <w:tcW w:w="1419" w:type="pct"/>
                  <w:tcMar>
                    <w:left w:w="0" w:type="dxa"/>
                    <w:right w:w="0" w:type="dxa"/>
                  </w:tcMar>
                  <w:vAlign w:val="center"/>
                </w:tcPr>
                <w:p w14:paraId="48979A77">
                  <w:pPr>
                    <w:pStyle w:val="55"/>
                    <w:spacing w:beforeLines="0" w:afterLines="0" w:line="240" w:lineRule="auto"/>
                    <w:rPr>
                      <w:rFonts w:ascii="Times New Roman"/>
                      <w:color w:val="auto"/>
                      <w:sz w:val="18"/>
                      <w:szCs w:val="18"/>
                    </w:rPr>
                  </w:pPr>
                  <w:r>
                    <w:rPr>
                      <w:rFonts w:hint="eastAsia" w:ascii="Times New Roman"/>
                      <w:color w:val="auto"/>
                      <w:sz w:val="18"/>
                      <w:szCs w:val="18"/>
                    </w:rPr>
                    <w:t>150</w:t>
                  </w:r>
                  <w:r>
                    <w:rPr>
                      <w:rFonts w:ascii="Times New Roman"/>
                      <w:color w:val="auto"/>
                      <w:sz w:val="18"/>
                      <w:szCs w:val="18"/>
                    </w:rPr>
                    <w:t>m</w:t>
                  </w:r>
                  <w:r>
                    <w:rPr>
                      <w:rFonts w:ascii="Times New Roman"/>
                      <w:color w:val="auto"/>
                      <w:sz w:val="18"/>
                      <w:szCs w:val="18"/>
                      <w:vertAlign w:val="superscript"/>
                    </w:rPr>
                    <w:t>3</w:t>
                  </w:r>
                </w:p>
              </w:tc>
              <w:tc>
                <w:tcPr>
                  <w:tcW w:w="2198" w:type="pct"/>
                  <w:vAlign w:val="center"/>
                </w:tcPr>
                <w:p w14:paraId="7B0DAF9A">
                  <w:pPr>
                    <w:adjustRightInd w:val="0"/>
                    <w:snapToGrid w:val="0"/>
                    <w:jc w:val="center"/>
                    <w:rPr>
                      <w:color w:val="auto"/>
                      <w:sz w:val="18"/>
                      <w:szCs w:val="18"/>
                    </w:rPr>
                  </w:pPr>
                  <w:r>
                    <w:rPr>
                      <w:color w:val="auto"/>
                      <w:sz w:val="18"/>
                      <w:szCs w:val="18"/>
                    </w:rPr>
                    <w:t>地下式，位于厂区</w:t>
                  </w:r>
                  <w:r>
                    <w:rPr>
                      <w:rFonts w:hint="eastAsia"/>
                      <w:color w:val="auto"/>
                      <w:sz w:val="18"/>
                      <w:szCs w:val="18"/>
                    </w:rPr>
                    <w:t>东侧，依托租赁方现有</w:t>
                  </w:r>
                </w:p>
              </w:tc>
            </w:tr>
            <w:tr w14:paraId="0F1CE0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33" w:type="pct"/>
                  <w:vMerge w:val="continue"/>
                  <w:vAlign w:val="center"/>
                </w:tcPr>
                <w:p w14:paraId="1B3C8CCC">
                  <w:pPr>
                    <w:pStyle w:val="55"/>
                    <w:spacing w:before="24" w:after="24" w:line="240" w:lineRule="auto"/>
                    <w:rPr>
                      <w:rFonts w:ascii="Times New Roman"/>
                      <w:color w:val="auto"/>
                      <w:sz w:val="18"/>
                      <w:szCs w:val="18"/>
                    </w:rPr>
                  </w:pPr>
                </w:p>
              </w:tc>
              <w:tc>
                <w:tcPr>
                  <w:tcW w:w="1048" w:type="pct"/>
                  <w:gridSpan w:val="2"/>
                  <w:vAlign w:val="center"/>
                </w:tcPr>
                <w:p w14:paraId="7CF23849">
                  <w:pPr>
                    <w:pStyle w:val="55"/>
                    <w:spacing w:before="24" w:after="24" w:line="240" w:lineRule="auto"/>
                    <w:rPr>
                      <w:rFonts w:ascii="Times New Roman"/>
                      <w:color w:val="auto"/>
                      <w:sz w:val="18"/>
                      <w:szCs w:val="18"/>
                    </w:rPr>
                  </w:pPr>
                  <w:r>
                    <w:rPr>
                      <w:rFonts w:ascii="Times New Roman"/>
                      <w:color w:val="auto"/>
                      <w:sz w:val="18"/>
                      <w:szCs w:val="18"/>
                    </w:rPr>
                    <w:t>噪声</w:t>
                  </w:r>
                </w:p>
              </w:tc>
              <w:tc>
                <w:tcPr>
                  <w:tcW w:w="1419" w:type="pct"/>
                  <w:tcMar>
                    <w:left w:w="0" w:type="dxa"/>
                    <w:right w:w="0" w:type="dxa"/>
                  </w:tcMar>
                  <w:vAlign w:val="center"/>
                </w:tcPr>
                <w:p w14:paraId="736641FA">
                  <w:pPr>
                    <w:pStyle w:val="55"/>
                    <w:spacing w:beforeLines="0" w:afterLines="0" w:line="240" w:lineRule="auto"/>
                    <w:rPr>
                      <w:rFonts w:ascii="Times New Roman"/>
                      <w:color w:val="auto"/>
                      <w:sz w:val="18"/>
                      <w:szCs w:val="18"/>
                    </w:rPr>
                  </w:pPr>
                  <w:r>
                    <w:rPr>
                      <w:rFonts w:ascii="Times New Roman"/>
                      <w:color w:val="auto"/>
                      <w:sz w:val="18"/>
                      <w:szCs w:val="18"/>
                    </w:rPr>
                    <w:t>选取低噪设备、合理布局；厂房隔声等</w:t>
                  </w:r>
                </w:p>
              </w:tc>
              <w:tc>
                <w:tcPr>
                  <w:tcW w:w="2198" w:type="pct"/>
                  <w:vAlign w:val="center"/>
                </w:tcPr>
                <w:p w14:paraId="34FDFE98">
                  <w:pPr>
                    <w:pStyle w:val="55"/>
                    <w:spacing w:before="24" w:after="24" w:line="240" w:lineRule="auto"/>
                    <w:rPr>
                      <w:rFonts w:ascii="Times New Roman"/>
                      <w:color w:val="auto"/>
                      <w:sz w:val="18"/>
                      <w:szCs w:val="18"/>
                    </w:rPr>
                  </w:pPr>
                  <w:r>
                    <w:rPr>
                      <w:rFonts w:ascii="Times New Roman"/>
                      <w:color w:val="auto"/>
                      <w:sz w:val="18"/>
                      <w:szCs w:val="18"/>
                    </w:rPr>
                    <w:t>《工业企业厂界环境噪声排放标准》（GB12348-2008）中的</w:t>
                  </w:r>
                  <w:r>
                    <w:rPr>
                      <w:rFonts w:hint="eastAsia" w:ascii="Times New Roman"/>
                      <w:color w:val="auto"/>
                      <w:sz w:val="18"/>
                      <w:szCs w:val="18"/>
                    </w:rPr>
                    <w:t>3</w:t>
                  </w:r>
                  <w:r>
                    <w:rPr>
                      <w:rFonts w:ascii="Times New Roman"/>
                      <w:color w:val="auto"/>
                      <w:sz w:val="18"/>
                      <w:szCs w:val="18"/>
                    </w:rPr>
                    <w:t>类</w:t>
                  </w:r>
                </w:p>
              </w:tc>
            </w:tr>
            <w:tr w14:paraId="33873C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3" w:type="pct"/>
                  <w:vMerge w:val="continue"/>
                  <w:vAlign w:val="center"/>
                </w:tcPr>
                <w:p w14:paraId="61ED46B9">
                  <w:pPr>
                    <w:pStyle w:val="55"/>
                    <w:spacing w:before="24" w:after="24" w:line="240" w:lineRule="auto"/>
                    <w:rPr>
                      <w:rFonts w:ascii="Times New Roman"/>
                      <w:color w:val="auto"/>
                      <w:sz w:val="18"/>
                      <w:szCs w:val="18"/>
                    </w:rPr>
                  </w:pPr>
                </w:p>
              </w:tc>
              <w:tc>
                <w:tcPr>
                  <w:tcW w:w="298" w:type="pct"/>
                  <w:vAlign w:val="center"/>
                </w:tcPr>
                <w:p w14:paraId="66BF1F9D">
                  <w:pPr>
                    <w:pStyle w:val="55"/>
                    <w:spacing w:before="24" w:after="24" w:line="240" w:lineRule="auto"/>
                    <w:rPr>
                      <w:rFonts w:ascii="Times New Roman"/>
                      <w:color w:val="auto"/>
                      <w:sz w:val="18"/>
                      <w:szCs w:val="18"/>
                    </w:rPr>
                  </w:pPr>
                  <w:r>
                    <w:rPr>
                      <w:rFonts w:ascii="Times New Roman"/>
                      <w:color w:val="auto"/>
                      <w:sz w:val="18"/>
                      <w:szCs w:val="18"/>
                    </w:rPr>
                    <w:t>固废</w:t>
                  </w:r>
                </w:p>
              </w:tc>
              <w:tc>
                <w:tcPr>
                  <w:tcW w:w="749" w:type="pct"/>
                  <w:vAlign w:val="center"/>
                </w:tcPr>
                <w:p w14:paraId="4D2CC644">
                  <w:pPr>
                    <w:pStyle w:val="55"/>
                    <w:spacing w:before="24" w:after="24" w:line="240" w:lineRule="auto"/>
                    <w:rPr>
                      <w:rFonts w:ascii="Times New Roman"/>
                      <w:color w:val="auto"/>
                      <w:sz w:val="18"/>
                      <w:szCs w:val="18"/>
                    </w:rPr>
                  </w:pPr>
                  <w:r>
                    <w:rPr>
                      <w:rFonts w:ascii="Times New Roman"/>
                      <w:color w:val="auto"/>
                      <w:sz w:val="18"/>
                      <w:szCs w:val="18"/>
                    </w:rPr>
                    <w:t>危废仓库</w:t>
                  </w:r>
                </w:p>
              </w:tc>
              <w:tc>
                <w:tcPr>
                  <w:tcW w:w="1419" w:type="pct"/>
                  <w:tcMar>
                    <w:left w:w="0" w:type="dxa"/>
                    <w:right w:w="0" w:type="dxa"/>
                  </w:tcMar>
                  <w:vAlign w:val="center"/>
                </w:tcPr>
                <w:p w14:paraId="49BEFEB0">
                  <w:pPr>
                    <w:pStyle w:val="55"/>
                    <w:spacing w:before="24" w:after="24" w:line="240" w:lineRule="auto"/>
                    <w:rPr>
                      <w:rFonts w:ascii="Times New Roman"/>
                      <w:color w:val="auto"/>
                      <w:sz w:val="18"/>
                      <w:szCs w:val="18"/>
                    </w:rPr>
                  </w:pPr>
                  <w:r>
                    <w:rPr>
                      <w:rFonts w:hint="eastAsia" w:ascii="Times New Roman"/>
                      <w:color w:val="auto"/>
                      <w:sz w:val="18"/>
                      <w:szCs w:val="18"/>
                      <w:lang w:val="en-US" w:eastAsia="zh-CN"/>
                    </w:rPr>
                    <w:t>9</w:t>
                  </w:r>
                  <w:r>
                    <w:rPr>
                      <w:rFonts w:ascii="Times New Roman"/>
                      <w:color w:val="auto"/>
                      <w:sz w:val="18"/>
                      <w:szCs w:val="18"/>
                    </w:rPr>
                    <w:t>m</w:t>
                  </w:r>
                  <w:r>
                    <w:rPr>
                      <w:rFonts w:ascii="Times New Roman"/>
                      <w:color w:val="auto"/>
                      <w:sz w:val="18"/>
                      <w:szCs w:val="18"/>
                      <w:vertAlign w:val="superscript"/>
                    </w:rPr>
                    <w:t>2</w:t>
                  </w:r>
                </w:p>
              </w:tc>
              <w:tc>
                <w:tcPr>
                  <w:tcW w:w="2198" w:type="pct"/>
                  <w:vAlign w:val="center"/>
                </w:tcPr>
                <w:p w14:paraId="3F3D7390">
                  <w:pPr>
                    <w:adjustRightInd w:val="0"/>
                    <w:snapToGrid w:val="0"/>
                    <w:jc w:val="center"/>
                    <w:rPr>
                      <w:color w:val="auto"/>
                      <w:sz w:val="18"/>
                      <w:szCs w:val="18"/>
                    </w:rPr>
                  </w:pPr>
                  <w:r>
                    <w:rPr>
                      <w:color w:val="auto"/>
                      <w:sz w:val="18"/>
                      <w:szCs w:val="18"/>
                    </w:rPr>
                    <w:t>《危险废物贮存污染</w:t>
                  </w:r>
                  <w:r>
                    <w:rPr>
                      <w:rFonts w:hint="eastAsia"/>
                      <w:color w:val="auto"/>
                      <w:sz w:val="18"/>
                      <w:szCs w:val="18"/>
                    </w:rPr>
                    <w:t>控</w:t>
                  </w:r>
                  <w:r>
                    <w:rPr>
                      <w:color w:val="auto"/>
                      <w:sz w:val="18"/>
                      <w:szCs w:val="18"/>
                    </w:rPr>
                    <w:t>制标准》（GB18597-2023）</w:t>
                  </w:r>
                </w:p>
              </w:tc>
            </w:tr>
          </w:tbl>
          <w:p w14:paraId="17726D90">
            <w:pPr>
              <w:adjustRightInd w:val="0"/>
              <w:snapToGrid w:val="0"/>
              <w:spacing w:line="360" w:lineRule="auto"/>
              <w:ind w:firstLine="444" w:firstLineChars="200"/>
              <w:rPr>
                <w:color w:val="auto"/>
                <w:spacing w:val="6"/>
                <w:szCs w:val="21"/>
                <w:shd w:val="clear" w:color="auto" w:fill="FFFFFF"/>
              </w:rPr>
            </w:pPr>
            <w:r>
              <w:rPr>
                <w:rFonts w:hint="eastAsia"/>
                <w:color w:val="auto"/>
                <w:spacing w:val="6"/>
                <w:szCs w:val="21"/>
                <w:shd w:val="clear" w:color="auto" w:fill="FFFFFF"/>
              </w:rPr>
              <w:t>备注：①本项目涉及到的化粪池、事故池、雨污管网及排口与租赁方南通市金宏电化设备有限公司共用。化粪池、雨污水排口环保问题由租赁方南通市金宏电化设备有限公司负责及监督，本项目生活污水</w:t>
            </w:r>
            <w:r>
              <w:rPr>
                <w:rFonts w:hint="eastAsia"/>
                <w:color w:val="auto"/>
                <w:spacing w:val="6"/>
                <w:szCs w:val="21"/>
                <w:shd w:val="clear" w:color="auto" w:fill="FFFFFF"/>
                <w:lang w:eastAsia="zh-CN"/>
              </w:rPr>
              <w:t>、</w:t>
            </w:r>
            <w:r>
              <w:rPr>
                <w:rFonts w:hint="eastAsia"/>
                <w:color w:val="auto"/>
                <w:spacing w:val="6"/>
                <w:szCs w:val="21"/>
                <w:shd w:val="clear" w:color="auto" w:fill="FFFFFF"/>
                <w:lang w:val="en-US" w:eastAsia="zh-CN"/>
              </w:rPr>
              <w:t>后道清洗废水</w:t>
            </w:r>
            <w:r>
              <w:rPr>
                <w:rFonts w:hint="eastAsia"/>
                <w:color w:val="auto"/>
                <w:spacing w:val="6"/>
                <w:szCs w:val="21"/>
                <w:shd w:val="clear" w:color="auto" w:fill="FFFFFF"/>
              </w:rPr>
              <w:t>接入厂区污水总排口前环保责任由建设方江苏法恩生物科技有限公司承担。②本项目仅车间、事故池、化粪池、雨污水管网及排口依托租赁方，其余均由建设方自行建设。</w:t>
            </w:r>
          </w:p>
          <w:p w14:paraId="29A22170">
            <w:pPr>
              <w:adjustRightInd w:val="0"/>
              <w:snapToGrid w:val="0"/>
              <w:spacing w:line="360" w:lineRule="auto"/>
              <w:ind w:firstLine="446" w:firstLineChars="200"/>
              <w:rPr>
                <w:b/>
                <w:bCs/>
                <w:color w:val="auto"/>
                <w:spacing w:val="6"/>
                <w:szCs w:val="21"/>
                <w:shd w:val="clear" w:color="auto" w:fill="FFFFFF"/>
              </w:rPr>
            </w:pPr>
            <w:r>
              <w:rPr>
                <w:b/>
                <w:bCs/>
                <w:color w:val="auto"/>
                <w:spacing w:val="6"/>
                <w:szCs w:val="21"/>
                <w:shd w:val="clear" w:color="auto" w:fill="FFFFFF"/>
              </w:rPr>
              <w:t>6.</w:t>
            </w:r>
            <w:r>
              <w:rPr>
                <w:rFonts w:hint="eastAsia"/>
                <w:b/>
                <w:bCs/>
                <w:color w:val="auto"/>
                <w:spacing w:val="6"/>
                <w:szCs w:val="21"/>
                <w:shd w:val="clear" w:color="auto" w:fill="FFFFFF"/>
              </w:rPr>
              <w:t>项目水平衡</w:t>
            </w:r>
          </w:p>
          <w:p w14:paraId="4BE99004">
            <w:pPr>
              <w:adjustRightInd w:val="0"/>
              <w:snapToGrid w:val="0"/>
              <w:spacing w:line="360" w:lineRule="auto"/>
              <w:ind w:firstLine="444" w:firstLineChars="200"/>
              <w:rPr>
                <w:color w:val="auto"/>
                <w:spacing w:val="6"/>
                <w:szCs w:val="21"/>
                <w:shd w:val="clear" w:color="auto" w:fill="FFFFFF"/>
              </w:rPr>
            </w:pPr>
            <w:r>
              <w:rPr>
                <w:color w:val="auto"/>
                <w:spacing w:val="6"/>
                <w:szCs w:val="21"/>
                <w:shd w:val="clear" w:color="auto" w:fill="FFFFFF"/>
              </w:rPr>
              <w:t>本项目用水主要包括员工生活用水</w:t>
            </w:r>
            <w:r>
              <w:rPr>
                <w:rFonts w:hint="eastAsia"/>
                <w:color w:val="auto"/>
                <w:spacing w:val="6"/>
                <w:szCs w:val="21"/>
                <w:shd w:val="clear" w:color="auto" w:fill="FFFFFF"/>
              </w:rPr>
              <w:t>、实验研发和检测用水、清洗用水和废气喷淋用水</w:t>
            </w:r>
            <w:r>
              <w:rPr>
                <w:color w:val="auto"/>
                <w:spacing w:val="6"/>
                <w:szCs w:val="21"/>
                <w:shd w:val="clear" w:color="auto" w:fill="FFFFFF"/>
              </w:rPr>
              <w:t>。</w:t>
            </w:r>
          </w:p>
          <w:p w14:paraId="5A46CA7C">
            <w:pPr>
              <w:adjustRightInd w:val="0"/>
              <w:snapToGrid w:val="0"/>
              <w:spacing w:line="360" w:lineRule="auto"/>
              <w:ind w:firstLine="444" w:firstLineChars="200"/>
              <w:rPr>
                <w:color w:val="auto"/>
                <w:spacing w:val="6"/>
                <w:szCs w:val="21"/>
                <w:shd w:val="clear" w:color="auto" w:fill="FFFFFF"/>
              </w:rPr>
            </w:pPr>
            <w:r>
              <w:rPr>
                <w:color w:val="auto"/>
                <w:spacing w:val="6"/>
                <w:szCs w:val="21"/>
                <w:shd w:val="clear" w:color="auto" w:fill="FFFFFF"/>
              </w:rPr>
              <w:t>（1）职工生活污水</w:t>
            </w:r>
          </w:p>
          <w:p w14:paraId="68D2D980">
            <w:pPr>
              <w:adjustRightInd w:val="0"/>
              <w:snapToGrid w:val="0"/>
              <w:spacing w:line="360" w:lineRule="auto"/>
              <w:ind w:firstLine="444" w:firstLineChars="200"/>
              <w:rPr>
                <w:color w:val="auto"/>
                <w:spacing w:val="6"/>
                <w:szCs w:val="21"/>
                <w:shd w:val="clear" w:color="auto" w:fill="FFFFFF"/>
              </w:rPr>
            </w:pPr>
            <w:r>
              <w:rPr>
                <w:color w:val="auto"/>
                <w:spacing w:val="6"/>
                <w:szCs w:val="21"/>
                <w:shd w:val="clear" w:color="auto" w:fill="FFFFFF"/>
              </w:rPr>
              <w:t>本项目职工</w:t>
            </w:r>
            <w:r>
              <w:rPr>
                <w:rFonts w:hint="eastAsia"/>
                <w:color w:val="auto"/>
                <w:spacing w:val="6"/>
                <w:szCs w:val="21"/>
                <w:shd w:val="clear" w:color="auto" w:fill="FFFFFF"/>
              </w:rPr>
              <w:t>10</w:t>
            </w:r>
            <w:r>
              <w:rPr>
                <w:color w:val="auto"/>
                <w:spacing w:val="6"/>
                <w:szCs w:val="21"/>
                <w:shd w:val="clear" w:color="auto" w:fill="FFFFFF"/>
              </w:rPr>
              <w:t>人，根据《</w:t>
            </w:r>
            <w:r>
              <w:rPr>
                <w:rFonts w:hint="eastAsia"/>
                <w:color w:val="auto"/>
                <w:spacing w:val="6"/>
                <w:szCs w:val="21"/>
                <w:shd w:val="clear" w:color="auto" w:fill="FFFFFF"/>
              </w:rPr>
              <w:t>建筑给水排水设计标准</w:t>
            </w:r>
            <w:r>
              <w:rPr>
                <w:color w:val="auto"/>
                <w:spacing w:val="6"/>
                <w:szCs w:val="21"/>
                <w:shd w:val="clear" w:color="auto" w:fill="FFFFFF"/>
              </w:rPr>
              <w:t>》（GB50015-2019），工业企业职工生活用水定额50L/(人•</w:t>
            </w:r>
            <w:r>
              <w:rPr>
                <w:rFonts w:hint="eastAsia"/>
                <w:color w:val="auto"/>
                <w:spacing w:val="6"/>
                <w:szCs w:val="21"/>
                <w:shd w:val="clear" w:color="auto" w:fill="FFFFFF"/>
              </w:rPr>
              <w:t>d</w:t>
            </w:r>
            <w:r>
              <w:rPr>
                <w:color w:val="auto"/>
                <w:spacing w:val="6"/>
                <w:szCs w:val="21"/>
                <w:shd w:val="clear" w:color="auto" w:fill="FFFFFF"/>
              </w:rPr>
              <w:t>)，年工作</w:t>
            </w:r>
            <w:r>
              <w:rPr>
                <w:rFonts w:hint="eastAsia"/>
                <w:color w:val="auto"/>
                <w:spacing w:val="6"/>
                <w:szCs w:val="21"/>
                <w:shd w:val="clear" w:color="auto" w:fill="FFFFFF"/>
              </w:rPr>
              <w:t>250天</w:t>
            </w:r>
            <w:r>
              <w:rPr>
                <w:color w:val="auto"/>
                <w:spacing w:val="6"/>
                <w:szCs w:val="21"/>
                <w:shd w:val="clear" w:color="auto" w:fill="FFFFFF"/>
              </w:rPr>
              <w:t>，则职工生活用水</w:t>
            </w:r>
            <w:r>
              <w:rPr>
                <w:rFonts w:hint="eastAsia"/>
                <w:color w:val="auto"/>
                <w:spacing w:val="6"/>
                <w:szCs w:val="21"/>
                <w:shd w:val="clear" w:color="auto" w:fill="FFFFFF"/>
              </w:rPr>
              <w:t>125</w:t>
            </w:r>
            <w:r>
              <w:rPr>
                <w:color w:val="auto"/>
                <w:spacing w:val="6"/>
                <w:szCs w:val="21"/>
                <w:shd w:val="clear" w:color="auto" w:fill="FFFFFF"/>
              </w:rPr>
              <w:t>t/a，废水产生量以用水量的80%计，则生活污水产生量约为</w:t>
            </w:r>
            <w:r>
              <w:rPr>
                <w:rFonts w:hint="eastAsia"/>
                <w:color w:val="auto"/>
                <w:spacing w:val="6"/>
                <w:szCs w:val="21"/>
                <w:shd w:val="clear" w:color="auto" w:fill="FFFFFF"/>
              </w:rPr>
              <w:t>100</w:t>
            </w:r>
            <w:r>
              <w:rPr>
                <w:color w:val="auto"/>
                <w:spacing w:val="6"/>
                <w:szCs w:val="21"/>
                <w:shd w:val="clear" w:color="auto" w:fill="FFFFFF"/>
              </w:rPr>
              <w:t>t/a。生活污水经厂内化粪池预处理后排入污水管网，接管</w:t>
            </w:r>
            <w:r>
              <w:rPr>
                <w:rFonts w:hint="eastAsia"/>
                <w:color w:val="auto"/>
              </w:rPr>
              <w:t>海安李堡滇池水务有限公司</w:t>
            </w:r>
            <w:r>
              <w:rPr>
                <w:color w:val="auto"/>
                <w:spacing w:val="6"/>
                <w:szCs w:val="21"/>
                <w:shd w:val="clear" w:color="auto" w:fill="FFFFFF"/>
              </w:rPr>
              <w:t>统一处理，尾水排入</w:t>
            </w:r>
            <w:r>
              <w:rPr>
                <w:rFonts w:hint="eastAsia"/>
                <w:color w:val="auto"/>
                <w:spacing w:val="6"/>
                <w:szCs w:val="21"/>
                <w:shd w:val="clear" w:color="auto" w:fill="FFFFFF"/>
              </w:rPr>
              <w:t>北凌河</w:t>
            </w:r>
            <w:r>
              <w:rPr>
                <w:color w:val="auto"/>
                <w:spacing w:val="6"/>
                <w:szCs w:val="21"/>
                <w:shd w:val="clear" w:color="auto" w:fill="FFFFFF"/>
              </w:rPr>
              <w:t>。</w:t>
            </w:r>
          </w:p>
          <w:p w14:paraId="7BEEF743">
            <w:pPr>
              <w:adjustRightInd w:val="0"/>
              <w:snapToGrid w:val="0"/>
              <w:spacing w:line="360" w:lineRule="auto"/>
              <w:ind w:firstLine="444" w:firstLineChars="200"/>
              <w:rPr>
                <w:color w:val="auto"/>
                <w:spacing w:val="6"/>
                <w:szCs w:val="21"/>
                <w:shd w:val="clear" w:color="auto" w:fill="FFFFFF"/>
              </w:rPr>
            </w:pPr>
            <w:r>
              <w:rPr>
                <w:color w:val="auto"/>
                <w:spacing w:val="6"/>
                <w:szCs w:val="21"/>
                <w:shd w:val="clear" w:color="auto" w:fill="FFFFFF"/>
              </w:rPr>
              <w:t>（2）</w:t>
            </w:r>
            <w:r>
              <w:rPr>
                <w:rFonts w:hint="eastAsia"/>
                <w:color w:val="auto"/>
                <w:spacing w:val="6"/>
                <w:szCs w:val="21"/>
                <w:shd w:val="clear" w:color="auto" w:fill="FFFFFF"/>
              </w:rPr>
              <w:t>实验研发和检测用水</w:t>
            </w:r>
          </w:p>
          <w:p w14:paraId="1990B789">
            <w:pPr>
              <w:spacing w:line="360" w:lineRule="auto"/>
              <w:ind w:firstLine="420" w:firstLineChars="200"/>
              <w:rPr>
                <w:color w:val="auto"/>
              </w:rPr>
            </w:pPr>
            <w:r>
              <w:rPr>
                <w:color w:val="auto"/>
                <w:szCs w:val="21"/>
              </w:rPr>
              <w:t>本项目</w:t>
            </w:r>
            <w:r>
              <w:rPr>
                <w:rFonts w:hint="eastAsia"/>
                <w:color w:val="auto"/>
                <w:szCs w:val="21"/>
              </w:rPr>
              <w:t>实验研发和检测配置用水为外购纯水，</w:t>
            </w:r>
            <w:r>
              <w:rPr>
                <w:rFonts w:hint="eastAsia"/>
                <w:color w:val="auto"/>
                <w:szCs w:val="21"/>
                <w:lang w:val="en-US" w:eastAsia="zh-CN"/>
              </w:rPr>
              <w:t>根据企业提供的资料，项目</w:t>
            </w:r>
            <w:r>
              <w:rPr>
                <w:rFonts w:hint="eastAsia"/>
                <w:color w:val="auto"/>
                <w:spacing w:val="6"/>
                <w:szCs w:val="21"/>
                <w:shd w:val="clear" w:color="auto" w:fill="FFFFFF"/>
              </w:rPr>
              <w:t>实验研发和检测</w:t>
            </w:r>
            <w:r>
              <w:rPr>
                <w:rFonts w:hint="eastAsia"/>
                <w:color w:val="auto"/>
                <w:szCs w:val="21"/>
                <w:lang w:val="en-US" w:eastAsia="zh-CN"/>
              </w:rPr>
              <w:t>纯水</w:t>
            </w:r>
            <w:r>
              <w:rPr>
                <w:rFonts w:hint="eastAsia"/>
                <w:color w:val="auto"/>
                <w:szCs w:val="21"/>
              </w:rPr>
              <w:t>年用量为</w:t>
            </w:r>
            <w:r>
              <w:rPr>
                <w:rFonts w:hint="eastAsia"/>
                <w:color w:val="auto"/>
                <w:szCs w:val="21"/>
                <w:lang w:val="en-US" w:eastAsia="zh-CN"/>
              </w:rPr>
              <w:t>2</w:t>
            </w:r>
            <w:r>
              <w:rPr>
                <w:rFonts w:hint="eastAsia"/>
                <w:color w:val="auto"/>
                <w:szCs w:val="21"/>
              </w:rPr>
              <w:t>t，进入实验废液量约为</w:t>
            </w:r>
            <w:r>
              <w:rPr>
                <w:rFonts w:hint="eastAsia"/>
                <w:color w:val="auto"/>
                <w:szCs w:val="21"/>
                <w:lang w:val="en-US" w:eastAsia="zh-CN"/>
              </w:rPr>
              <w:t>0.5</w:t>
            </w:r>
            <w:r>
              <w:rPr>
                <w:rFonts w:hint="eastAsia"/>
                <w:color w:val="auto"/>
                <w:szCs w:val="21"/>
              </w:rPr>
              <w:t>t，委托有资质的单位进行处置。</w:t>
            </w:r>
          </w:p>
          <w:p w14:paraId="63B7F8C1">
            <w:pPr>
              <w:numPr>
                <w:ilvl w:val="0"/>
                <w:numId w:val="6"/>
              </w:numPr>
              <w:spacing w:line="360" w:lineRule="auto"/>
              <w:ind w:firstLine="420" w:firstLineChars="200"/>
              <w:rPr>
                <w:color w:val="auto"/>
              </w:rPr>
            </w:pPr>
            <w:r>
              <w:rPr>
                <w:rFonts w:hint="eastAsia"/>
                <w:color w:val="auto"/>
              </w:rPr>
              <w:t>清洗用水</w:t>
            </w:r>
          </w:p>
          <w:p w14:paraId="4283662F">
            <w:pPr>
              <w:spacing w:line="360" w:lineRule="auto"/>
              <w:ind w:firstLine="420"/>
              <w:rPr>
                <w:color w:val="auto"/>
              </w:rPr>
            </w:pPr>
            <w:r>
              <w:rPr>
                <w:rFonts w:hint="eastAsia"/>
                <w:color w:val="auto"/>
              </w:rPr>
              <w:t>项目</w:t>
            </w:r>
            <w:r>
              <w:rPr>
                <w:rFonts w:hint="eastAsia"/>
                <w:color w:val="auto"/>
                <w:lang w:val="en-US" w:eastAsia="zh-CN"/>
              </w:rPr>
              <w:t>运营</w:t>
            </w:r>
            <w:r>
              <w:rPr>
                <w:color w:val="auto"/>
              </w:rPr>
              <w:t>过程</w:t>
            </w:r>
            <w:bookmarkStart w:id="8" w:name="OLE_LINK2"/>
            <w:r>
              <w:rPr>
                <w:rFonts w:hint="eastAsia"/>
                <w:color w:val="auto"/>
                <w:lang w:val="en-US" w:eastAsia="zh-CN"/>
              </w:rPr>
              <w:t>中配置、分装设备和</w:t>
            </w:r>
            <w:r>
              <w:rPr>
                <w:color w:val="auto"/>
              </w:rPr>
              <w:t>玻璃器皿</w:t>
            </w:r>
            <w:bookmarkEnd w:id="8"/>
            <w:r>
              <w:rPr>
                <w:rFonts w:hint="eastAsia"/>
                <w:color w:val="auto"/>
              </w:rPr>
              <w:t>需进行清洗，清洗须用自来水进行第一遍清洗（初道清洗），共需用自来水</w:t>
            </w:r>
            <w:r>
              <w:rPr>
                <w:rFonts w:hint="eastAsia"/>
                <w:color w:val="auto"/>
                <w:lang w:val="en-US" w:eastAsia="zh-CN"/>
              </w:rPr>
              <w:t>2.5</w:t>
            </w:r>
            <w:r>
              <w:rPr>
                <w:rFonts w:hint="eastAsia"/>
                <w:color w:val="auto"/>
              </w:rPr>
              <w:t>t/a，损耗量按20%计算，则产生量为0.</w:t>
            </w:r>
            <w:r>
              <w:rPr>
                <w:rFonts w:hint="eastAsia"/>
                <w:color w:val="auto"/>
                <w:lang w:val="en-US" w:eastAsia="zh-CN"/>
              </w:rPr>
              <w:t>5</w:t>
            </w:r>
            <w:r>
              <w:rPr>
                <w:rFonts w:hint="eastAsia"/>
                <w:color w:val="auto"/>
              </w:rPr>
              <w:t>t/a，由于清洗水质特征复杂，可能含有重金属等有毒有害物质，拟直接作为危险废物进行处置。项目实验室内仅</w:t>
            </w:r>
            <w:r>
              <w:rPr>
                <w:color w:val="auto"/>
              </w:rPr>
              <w:t>玻璃器皿</w:t>
            </w:r>
            <w:r>
              <w:rPr>
                <w:rFonts w:hint="eastAsia"/>
                <w:color w:val="auto"/>
              </w:rPr>
              <w:t>第一遍清洗使用自来水，在水槽内对玻璃器皿进行清洗，实验室设计时水槽下水管设置</w:t>
            </w:r>
            <w:r>
              <w:rPr>
                <w:rFonts w:hint="eastAsia"/>
                <w:color w:val="auto"/>
                <w:lang w:val="en-US" w:eastAsia="zh-CN"/>
              </w:rPr>
              <w:t>三通</w:t>
            </w:r>
            <w:r>
              <w:rPr>
                <w:rFonts w:hint="eastAsia"/>
                <w:color w:val="auto"/>
              </w:rPr>
              <w:t>阀门，</w:t>
            </w:r>
            <w:r>
              <w:rPr>
                <w:rFonts w:hint="eastAsia"/>
                <w:color w:val="auto"/>
                <w:lang w:val="en-US" w:eastAsia="zh-CN"/>
              </w:rPr>
              <w:t>初道</w:t>
            </w:r>
            <w:r>
              <w:rPr>
                <w:rFonts w:hint="eastAsia"/>
                <w:color w:val="auto"/>
              </w:rPr>
              <w:t>清洗时清洗废水接入废液桶收集，收集后的废液贮存于危废仓库。</w:t>
            </w:r>
          </w:p>
          <w:p w14:paraId="08E834B8">
            <w:pPr>
              <w:adjustRightInd w:val="0"/>
              <w:snapToGrid w:val="0"/>
              <w:spacing w:line="360" w:lineRule="auto"/>
              <w:ind w:firstLine="420" w:firstLineChars="200"/>
              <w:rPr>
                <w:color w:val="auto"/>
                <w:spacing w:val="6"/>
                <w:szCs w:val="21"/>
                <w:shd w:val="clear" w:color="auto" w:fill="FFFFFF"/>
              </w:rPr>
            </w:pPr>
            <w:r>
              <w:rPr>
                <w:rFonts w:hint="eastAsia"/>
                <w:color w:val="auto"/>
              </w:rPr>
              <w:t>第二遍</w:t>
            </w:r>
            <w:r>
              <w:rPr>
                <w:rFonts w:hint="eastAsia"/>
                <w:color w:val="auto"/>
                <w:lang w:eastAsia="zh-CN"/>
              </w:rPr>
              <w:t>、</w:t>
            </w:r>
            <w:r>
              <w:rPr>
                <w:rFonts w:hint="eastAsia"/>
                <w:color w:val="auto"/>
              </w:rPr>
              <w:t>第三遍</w:t>
            </w:r>
            <w:r>
              <w:rPr>
                <w:rFonts w:hint="eastAsia"/>
                <w:color w:val="auto"/>
                <w:lang w:val="en-US" w:eastAsia="zh-CN"/>
              </w:rPr>
              <w:t>及第四遍</w:t>
            </w:r>
            <w:r>
              <w:rPr>
                <w:rFonts w:hint="eastAsia"/>
                <w:color w:val="auto"/>
              </w:rPr>
              <w:t>清洗（后道清洗）使用纯水进行清洗，由企业提供的</w:t>
            </w:r>
            <w:bookmarkStart w:id="9" w:name="OLE_LINK3"/>
            <w:r>
              <w:rPr>
                <w:rFonts w:hint="eastAsia"/>
                <w:color w:val="auto"/>
              </w:rPr>
              <w:t>资料可知，共需用</w:t>
            </w:r>
            <w:r>
              <w:rPr>
                <w:rFonts w:hint="eastAsia"/>
                <w:color w:val="auto"/>
                <w:lang w:val="en-US" w:eastAsia="zh-CN"/>
              </w:rPr>
              <w:t>7.5</w:t>
            </w:r>
            <w:r>
              <w:rPr>
                <w:rFonts w:hint="eastAsia"/>
                <w:color w:val="auto"/>
              </w:rPr>
              <w:t>t/a的纯水清洗，</w:t>
            </w:r>
            <w:bookmarkStart w:id="10" w:name="OLE_LINK1"/>
            <w:r>
              <w:rPr>
                <w:rFonts w:hint="eastAsia"/>
                <w:color w:val="auto"/>
              </w:rPr>
              <w:t>损耗量按20%计算，则产生量</w:t>
            </w:r>
            <w:r>
              <w:rPr>
                <w:rFonts w:hint="eastAsia"/>
                <w:color w:val="auto"/>
                <w:lang w:val="en-US" w:eastAsia="zh-CN"/>
              </w:rPr>
              <w:t>6</w:t>
            </w:r>
            <w:r>
              <w:rPr>
                <w:rFonts w:hint="eastAsia"/>
                <w:color w:val="auto"/>
              </w:rPr>
              <w:t>t/a。</w:t>
            </w:r>
            <w:bookmarkEnd w:id="9"/>
            <w:bookmarkEnd w:id="10"/>
            <w:r>
              <w:rPr>
                <w:rFonts w:hint="eastAsia"/>
                <w:color w:val="auto"/>
              </w:rPr>
              <w:t>外购纯水为压力桶装，在水槽内对玻璃器皿进行纯水清洗，实验室设计时水槽下水管设置</w:t>
            </w:r>
            <w:r>
              <w:rPr>
                <w:rFonts w:hint="eastAsia"/>
                <w:color w:val="auto"/>
                <w:lang w:val="en-US" w:eastAsia="zh-CN"/>
              </w:rPr>
              <w:t>三通</w:t>
            </w:r>
            <w:r>
              <w:rPr>
                <w:rFonts w:hint="eastAsia"/>
                <w:color w:val="auto"/>
              </w:rPr>
              <w:t>阀门，</w:t>
            </w:r>
            <w:r>
              <w:rPr>
                <w:rFonts w:hint="eastAsia"/>
                <w:color w:val="auto"/>
                <w:lang w:val="en-US" w:eastAsia="zh-CN"/>
              </w:rPr>
              <w:t>后道</w:t>
            </w:r>
            <w:r>
              <w:rPr>
                <w:rFonts w:hint="eastAsia"/>
                <w:color w:val="auto"/>
              </w:rPr>
              <w:t>清洗时清洗废水接入</w:t>
            </w:r>
            <w:r>
              <w:rPr>
                <w:rFonts w:hint="eastAsia"/>
                <w:color w:val="auto"/>
                <w:lang w:val="en-US" w:eastAsia="zh-CN"/>
              </w:rPr>
              <w:t>厂区污水处理设施处理，处理达接管标准</w:t>
            </w:r>
            <w:r>
              <w:rPr>
                <w:color w:val="auto"/>
                <w:spacing w:val="6"/>
                <w:szCs w:val="21"/>
                <w:shd w:val="clear" w:color="auto" w:fill="FFFFFF"/>
              </w:rPr>
              <w:t>后排入污水管网，接管</w:t>
            </w:r>
            <w:r>
              <w:rPr>
                <w:rFonts w:hint="eastAsia"/>
                <w:color w:val="auto"/>
              </w:rPr>
              <w:t>海安李堡滇池水务有限公司</w:t>
            </w:r>
            <w:r>
              <w:rPr>
                <w:color w:val="auto"/>
                <w:spacing w:val="6"/>
                <w:szCs w:val="21"/>
                <w:shd w:val="clear" w:color="auto" w:fill="FFFFFF"/>
              </w:rPr>
              <w:t>统一处理，尾水排入</w:t>
            </w:r>
            <w:r>
              <w:rPr>
                <w:rFonts w:hint="eastAsia"/>
                <w:color w:val="auto"/>
                <w:spacing w:val="6"/>
                <w:szCs w:val="21"/>
                <w:shd w:val="clear" w:color="auto" w:fill="FFFFFF"/>
              </w:rPr>
              <w:t>北凌河</w:t>
            </w:r>
            <w:r>
              <w:rPr>
                <w:color w:val="auto"/>
                <w:spacing w:val="6"/>
                <w:szCs w:val="21"/>
                <w:shd w:val="clear" w:color="auto" w:fill="FFFFFF"/>
              </w:rPr>
              <w:t>。</w:t>
            </w:r>
          </w:p>
          <w:p w14:paraId="4D5157D9">
            <w:pPr>
              <w:pStyle w:val="106"/>
              <w:numPr>
                <w:ilvl w:val="0"/>
                <w:numId w:val="6"/>
              </w:numPr>
              <w:spacing w:line="360" w:lineRule="auto"/>
              <w:ind w:firstLineChars="0"/>
              <w:rPr>
                <w:color w:val="auto"/>
              </w:rPr>
            </w:pPr>
            <w:r>
              <w:rPr>
                <w:rFonts w:hint="eastAsia"/>
                <w:color w:val="auto"/>
              </w:rPr>
              <w:t>喷淋用水</w:t>
            </w:r>
          </w:p>
          <w:p w14:paraId="25E9EE93">
            <w:pPr>
              <w:spacing w:line="360" w:lineRule="auto"/>
              <w:ind w:firstLine="420" w:firstLineChars="200"/>
              <w:rPr>
                <w:color w:val="auto"/>
              </w:rPr>
            </w:pPr>
            <w:r>
              <w:rPr>
                <w:rFonts w:hint="eastAsia"/>
                <w:color w:val="auto"/>
              </w:rPr>
              <w:t>项目使用水喷淋+除雾器+二级活性炭吸附装置处理实验研发和检测废气，喷淋用水为自来水，年用量为0.5t/a，喷淋水循环使用，定期更换。损耗量按20%计算，产生0.4t/a清洗废水作为危废处置。</w:t>
            </w:r>
          </w:p>
          <w:p w14:paraId="31B1D537">
            <w:pPr>
              <w:adjustRightInd w:val="0"/>
              <w:snapToGrid w:val="0"/>
              <w:spacing w:line="360" w:lineRule="auto"/>
              <w:ind w:firstLine="444" w:firstLineChars="200"/>
              <w:jc w:val="left"/>
              <w:rPr>
                <w:color w:val="auto"/>
                <w:spacing w:val="6"/>
                <w:szCs w:val="21"/>
                <w:shd w:val="clear" w:color="auto" w:fill="FFFFFF"/>
              </w:rPr>
            </w:pPr>
            <w:r>
              <w:rPr>
                <w:color w:val="auto"/>
                <w:spacing w:val="6"/>
                <w:szCs w:val="21"/>
                <w:shd w:val="clear" w:color="auto" w:fill="FFFFFF"/>
              </w:rPr>
              <w:t>本项目水平衡见下图：</w:t>
            </w:r>
          </w:p>
          <w:p w14:paraId="5D281965">
            <w:pPr>
              <w:adjustRightInd w:val="0"/>
              <w:snapToGrid w:val="0"/>
              <w:spacing w:line="360" w:lineRule="auto"/>
              <w:jc w:val="center"/>
              <w:rPr>
                <w:rFonts w:hint="eastAsia" w:eastAsia="宋体"/>
                <w:color w:val="auto"/>
                <w:lang w:eastAsia="zh-CN"/>
              </w:rPr>
            </w:pPr>
            <w:r>
              <w:rPr>
                <w:rFonts w:hint="eastAsia" w:eastAsia="宋体"/>
                <w:color w:val="auto"/>
                <w:lang w:eastAsia="zh-CN"/>
              </w:rPr>
              <w:drawing>
                <wp:inline distT="0" distB="0" distL="114300" distR="114300">
                  <wp:extent cx="5414010" cy="3942080"/>
                  <wp:effectExtent l="0" t="0" r="15240" b="1270"/>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9"/>
                          <a:stretch>
                            <a:fillRect/>
                          </a:stretch>
                        </pic:blipFill>
                        <pic:spPr>
                          <a:xfrm>
                            <a:off x="0" y="0"/>
                            <a:ext cx="5414010" cy="3942080"/>
                          </a:xfrm>
                          <a:prstGeom prst="rect">
                            <a:avLst/>
                          </a:prstGeom>
                        </pic:spPr>
                      </pic:pic>
                    </a:graphicData>
                  </a:graphic>
                </wp:inline>
              </w:drawing>
            </w:r>
          </w:p>
          <w:p w14:paraId="6663302D">
            <w:pPr>
              <w:adjustRightInd w:val="0"/>
              <w:snapToGrid w:val="0"/>
              <w:spacing w:line="360" w:lineRule="auto"/>
              <w:ind w:firstLine="446" w:firstLineChars="200"/>
              <w:jc w:val="left"/>
              <w:rPr>
                <w:b/>
                <w:bCs/>
                <w:color w:val="auto"/>
                <w:spacing w:val="6"/>
                <w:szCs w:val="21"/>
                <w:shd w:val="clear" w:color="auto" w:fill="FFFFFF"/>
              </w:rPr>
            </w:pPr>
            <w:r>
              <w:rPr>
                <w:b/>
                <w:bCs/>
                <w:color w:val="auto"/>
                <w:spacing w:val="6"/>
                <w:szCs w:val="21"/>
                <w:shd w:val="clear" w:color="auto" w:fill="FFFFFF"/>
              </w:rPr>
              <w:t>7.</w:t>
            </w:r>
            <w:r>
              <w:rPr>
                <w:rFonts w:hint="eastAsia"/>
                <w:b/>
                <w:bCs/>
                <w:color w:val="auto"/>
                <w:spacing w:val="6"/>
                <w:szCs w:val="21"/>
                <w:shd w:val="clear" w:color="auto" w:fill="FFFFFF"/>
              </w:rPr>
              <w:t>项目物料平衡</w:t>
            </w:r>
          </w:p>
          <w:p w14:paraId="063C0B30">
            <w:pPr>
              <w:adjustRightInd w:val="0"/>
              <w:snapToGrid w:val="0"/>
              <w:spacing w:line="360" w:lineRule="auto"/>
              <w:ind w:firstLine="446" w:firstLineChars="200"/>
              <w:jc w:val="left"/>
              <w:rPr>
                <w:b/>
                <w:bCs/>
                <w:color w:val="auto"/>
                <w:spacing w:val="6"/>
                <w:szCs w:val="21"/>
                <w:shd w:val="clear" w:color="auto" w:fill="FFFFFF"/>
              </w:rPr>
            </w:pPr>
            <w:r>
              <w:rPr>
                <w:rFonts w:hint="eastAsia"/>
                <w:b/>
                <w:bCs/>
                <w:color w:val="auto"/>
                <w:spacing w:val="6"/>
                <w:szCs w:val="21"/>
                <w:shd w:val="clear" w:color="auto" w:fill="FFFFFF"/>
              </w:rPr>
              <w:t>（1）项目挥发性有机物平衡</w:t>
            </w:r>
          </w:p>
          <w:p w14:paraId="4885E5F0">
            <w:pPr>
              <w:adjustRightInd w:val="0"/>
              <w:snapToGrid w:val="0"/>
              <w:spacing w:line="360" w:lineRule="auto"/>
              <w:ind w:firstLine="444" w:firstLineChars="200"/>
              <w:jc w:val="left"/>
              <w:rPr>
                <w:color w:val="auto"/>
                <w:spacing w:val="6"/>
                <w:szCs w:val="21"/>
                <w:shd w:val="clear" w:color="auto" w:fill="FFFFFF"/>
              </w:rPr>
            </w:pPr>
            <w:r>
              <w:rPr>
                <w:color w:val="auto"/>
                <w:spacing w:val="6"/>
                <w:szCs w:val="21"/>
                <w:shd w:val="clear" w:color="auto" w:fill="FFFFFF"/>
              </w:rPr>
              <w:t>本项目挥发性有机物原料投入主要为各类挥发性原辅料等，产出进入废气、样品及固废。挥发性有机物平衡见下表。</w:t>
            </w:r>
          </w:p>
          <w:p w14:paraId="338E1EEC">
            <w:pPr>
              <w:adjustRightInd w:val="0"/>
              <w:snapToGrid w:val="0"/>
              <w:jc w:val="center"/>
              <w:rPr>
                <w:b/>
                <w:bCs/>
                <w:color w:val="auto"/>
                <w:spacing w:val="6"/>
                <w:szCs w:val="21"/>
                <w:shd w:val="clear" w:color="auto" w:fill="FFFFFF"/>
              </w:rPr>
            </w:pPr>
            <w:r>
              <w:rPr>
                <w:b/>
                <w:bCs/>
                <w:color w:val="auto"/>
                <w:spacing w:val="6"/>
                <w:szCs w:val="21"/>
                <w:shd w:val="clear" w:color="auto" w:fill="FFFFFF"/>
              </w:rPr>
              <w:t>表2-</w:t>
            </w:r>
            <w:r>
              <w:rPr>
                <w:rFonts w:hint="eastAsia"/>
                <w:b/>
                <w:bCs/>
                <w:color w:val="auto"/>
                <w:spacing w:val="6"/>
                <w:szCs w:val="21"/>
                <w:shd w:val="clear" w:color="auto" w:fill="FFFFFF"/>
              </w:rPr>
              <w:t>6</w:t>
            </w:r>
            <w:r>
              <w:rPr>
                <w:b/>
                <w:bCs/>
                <w:color w:val="auto"/>
                <w:spacing w:val="6"/>
                <w:szCs w:val="21"/>
                <w:shd w:val="clear" w:color="auto" w:fill="FFFFFF"/>
              </w:rPr>
              <w:t xml:space="preserve"> 项目</w:t>
            </w:r>
            <w:r>
              <w:rPr>
                <w:rFonts w:hint="eastAsia"/>
                <w:b/>
                <w:bCs/>
                <w:color w:val="auto"/>
                <w:spacing w:val="6"/>
                <w:szCs w:val="21"/>
                <w:shd w:val="clear" w:color="auto" w:fill="FFFFFF"/>
              </w:rPr>
              <w:t>VOCs平衡</w:t>
            </w:r>
            <w:r>
              <w:rPr>
                <w:b/>
                <w:bCs/>
                <w:color w:val="auto"/>
                <w:spacing w:val="6"/>
                <w:szCs w:val="21"/>
                <w:shd w:val="clear" w:color="auto" w:fill="FFFFFF"/>
              </w:rPr>
              <w:t>表</w:t>
            </w:r>
            <w:r>
              <w:rPr>
                <w:rFonts w:hint="eastAsia"/>
                <w:b/>
                <w:bCs/>
                <w:color w:val="auto"/>
                <w:spacing w:val="6"/>
                <w:szCs w:val="21"/>
                <w:shd w:val="clear" w:color="auto" w:fill="FFFFFF"/>
              </w:rPr>
              <w:t xml:space="preserve">    单位：kg/a</w:t>
            </w:r>
          </w:p>
          <w:tbl>
            <w:tblPr>
              <w:tblStyle w:val="23"/>
              <w:tblW w:w="486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65"/>
              <w:gridCol w:w="1968"/>
              <w:gridCol w:w="1219"/>
              <w:gridCol w:w="1288"/>
              <w:gridCol w:w="1952"/>
              <w:gridCol w:w="1187"/>
            </w:tblGrid>
            <w:tr w14:paraId="7EB723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3" w:hRule="atLeast"/>
                <w:jc w:val="center"/>
              </w:trPr>
              <w:tc>
                <w:tcPr>
                  <w:tcW w:w="3104" w:type="pct"/>
                  <w:gridSpan w:val="4"/>
                  <w:vAlign w:val="center"/>
                </w:tcPr>
                <w:p w14:paraId="6E4506B8">
                  <w:pPr>
                    <w:pStyle w:val="55"/>
                    <w:spacing w:before="24" w:after="24" w:line="240" w:lineRule="auto"/>
                    <w:rPr>
                      <w:rFonts w:ascii="Times New Roman"/>
                      <w:b/>
                      <w:bCs/>
                      <w:color w:val="auto"/>
                      <w:sz w:val="18"/>
                      <w:szCs w:val="18"/>
                    </w:rPr>
                  </w:pPr>
                  <w:r>
                    <w:rPr>
                      <w:rFonts w:ascii="Times New Roman"/>
                      <w:b/>
                      <w:bCs/>
                      <w:color w:val="auto"/>
                      <w:sz w:val="18"/>
                      <w:szCs w:val="18"/>
                    </w:rPr>
                    <w:t>投入</w:t>
                  </w:r>
                </w:p>
              </w:tc>
              <w:tc>
                <w:tcPr>
                  <w:tcW w:w="1895" w:type="pct"/>
                  <w:gridSpan w:val="2"/>
                  <w:vAlign w:val="center"/>
                </w:tcPr>
                <w:p w14:paraId="691FA984">
                  <w:pPr>
                    <w:pStyle w:val="55"/>
                    <w:spacing w:before="24" w:after="24" w:line="240" w:lineRule="auto"/>
                    <w:rPr>
                      <w:rFonts w:ascii="Times New Roman"/>
                      <w:b/>
                      <w:bCs/>
                      <w:color w:val="auto"/>
                      <w:sz w:val="18"/>
                      <w:szCs w:val="18"/>
                    </w:rPr>
                  </w:pPr>
                  <w:r>
                    <w:rPr>
                      <w:rFonts w:ascii="Times New Roman"/>
                      <w:b/>
                      <w:bCs/>
                      <w:color w:val="auto"/>
                      <w:sz w:val="18"/>
                      <w:szCs w:val="18"/>
                    </w:rPr>
                    <w:t>产出</w:t>
                  </w:r>
                </w:p>
              </w:tc>
            </w:tr>
            <w:tr w14:paraId="21F85D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1590" w:type="pct"/>
                  <w:gridSpan w:val="2"/>
                  <w:vAlign w:val="center"/>
                </w:tcPr>
                <w:p w14:paraId="52E1F97F">
                  <w:pPr>
                    <w:pStyle w:val="55"/>
                    <w:spacing w:before="24" w:after="24" w:line="240" w:lineRule="auto"/>
                    <w:rPr>
                      <w:rFonts w:ascii="Times New Roman"/>
                      <w:color w:val="auto"/>
                      <w:sz w:val="18"/>
                      <w:szCs w:val="18"/>
                    </w:rPr>
                  </w:pPr>
                  <w:r>
                    <w:rPr>
                      <w:rFonts w:ascii="Times New Roman"/>
                      <w:color w:val="auto"/>
                      <w:sz w:val="18"/>
                      <w:szCs w:val="18"/>
                    </w:rPr>
                    <w:t>名称</w:t>
                  </w:r>
                </w:p>
              </w:tc>
              <w:tc>
                <w:tcPr>
                  <w:tcW w:w="736" w:type="pct"/>
                  <w:vAlign w:val="center"/>
                </w:tcPr>
                <w:p w14:paraId="422D6B0F">
                  <w:pPr>
                    <w:pStyle w:val="55"/>
                    <w:spacing w:before="24" w:after="24" w:line="240" w:lineRule="auto"/>
                    <w:rPr>
                      <w:rFonts w:ascii="Times New Roman"/>
                      <w:color w:val="auto"/>
                      <w:sz w:val="18"/>
                      <w:szCs w:val="18"/>
                    </w:rPr>
                  </w:pPr>
                  <w:r>
                    <w:rPr>
                      <w:rFonts w:ascii="Times New Roman"/>
                      <w:color w:val="auto"/>
                      <w:sz w:val="18"/>
                      <w:szCs w:val="18"/>
                    </w:rPr>
                    <w:t>用量</w:t>
                  </w:r>
                </w:p>
              </w:tc>
              <w:tc>
                <w:tcPr>
                  <w:tcW w:w="777" w:type="pct"/>
                  <w:vAlign w:val="center"/>
                </w:tcPr>
                <w:p w14:paraId="6370E3D5">
                  <w:pPr>
                    <w:pStyle w:val="55"/>
                    <w:spacing w:before="24" w:after="24" w:line="240" w:lineRule="auto"/>
                    <w:rPr>
                      <w:rFonts w:ascii="Times New Roman"/>
                      <w:color w:val="auto"/>
                      <w:sz w:val="18"/>
                      <w:szCs w:val="18"/>
                    </w:rPr>
                  </w:pPr>
                  <w:r>
                    <w:rPr>
                      <w:rFonts w:ascii="Times New Roman"/>
                      <w:color w:val="auto"/>
                      <w:sz w:val="18"/>
                      <w:szCs w:val="18"/>
                    </w:rPr>
                    <w:t>VOCs量</w:t>
                  </w:r>
                </w:p>
              </w:tc>
              <w:tc>
                <w:tcPr>
                  <w:tcW w:w="1178" w:type="pct"/>
                  <w:vAlign w:val="center"/>
                </w:tcPr>
                <w:p w14:paraId="7CE143DB">
                  <w:pPr>
                    <w:pStyle w:val="55"/>
                    <w:spacing w:before="24" w:after="24" w:line="240" w:lineRule="auto"/>
                    <w:rPr>
                      <w:rFonts w:ascii="Times New Roman"/>
                      <w:color w:val="auto"/>
                      <w:sz w:val="18"/>
                      <w:szCs w:val="18"/>
                    </w:rPr>
                  </w:pPr>
                  <w:r>
                    <w:rPr>
                      <w:rFonts w:ascii="Times New Roman"/>
                      <w:color w:val="auto"/>
                      <w:sz w:val="18"/>
                      <w:szCs w:val="18"/>
                    </w:rPr>
                    <w:t>名称</w:t>
                  </w:r>
                </w:p>
              </w:tc>
              <w:tc>
                <w:tcPr>
                  <w:tcW w:w="716" w:type="pct"/>
                  <w:vAlign w:val="center"/>
                </w:tcPr>
                <w:p w14:paraId="68F534D2">
                  <w:pPr>
                    <w:pStyle w:val="55"/>
                    <w:spacing w:before="24" w:after="24" w:line="240" w:lineRule="auto"/>
                    <w:rPr>
                      <w:rFonts w:ascii="Times New Roman"/>
                      <w:color w:val="auto"/>
                      <w:sz w:val="18"/>
                      <w:szCs w:val="18"/>
                    </w:rPr>
                  </w:pPr>
                  <w:r>
                    <w:rPr>
                      <w:rFonts w:ascii="Times New Roman"/>
                      <w:color w:val="auto"/>
                      <w:sz w:val="18"/>
                      <w:szCs w:val="18"/>
                    </w:rPr>
                    <w:t>VOCs量</w:t>
                  </w:r>
                </w:p>
              </w:tc>
            </w:tr>
            <w:tr w14:paraId="65D574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8" w:hRule="atLeast"/>
                <w:jc w:val="center"/>
              </w:trPr>
              <w:tc>
                <w:tcPr>
                  <w:tcW w:w="401" w:type="pct"/>
                  <w:vMerge w:val="restart"/>
                  <w:vAlign w:val="center"/>
                </w:tcPr>
                <w:p w14:paraId="502F1D60">
                  <w:pPr>
                    <w:pStyle w:val="55"/>
                    <w:spacing w:before="24" w:after="24" w:line="240" w:lineRule="auto"/>
                    <w:rPr>
                      <w:rFonts w:ascii="Times New Roman"/>
                      <w:color w:val="auto"/>
                      <w:sz w:val="18"/>
                      <w:szCs w:val="18"/>
                    </w:rPr>
                  </w:pPr>
                  <w:r>
                    <w:rPr>
                      <w:rFonts w:ascii="Times New Roman"/>
                      <w:color w:val="auto"/>
                      <w:sz w:val="18"/>
                      <w:szCs w:val="18"/>
                    </w:rPr>
                    <w:t>原辅料</w:t>
                  </w:r>
                </w:p>
              </w:tc>
              <w:tc>
                <w:tcPr>
                  <w:tcW w:w="1188" w:type="pct"/>
                  <w:vAlign w:val="center"/>
                </w:tcPr>
                <w:p w14:paraId="3A86D00E">
                  <w:pPr>
                    <w:widowControl/>
                    <w:jc w:val="center"/>
                    <w:textAlignment w:val="center"/>
                    <w:rPr>
                      <w:color w:val="auto"/>
                      <w:sz w:val="18"/>
                      <w:szCs w:val="18"/>
                    </w:rPr>
                  </w:pPr>
                  <w:r>
                    <w:rPr>
                      <w:color w:val="auto"/>
                      <w:kern w:val="0"/>
                      <w:sz w:val="18"/>
                      <w:szCs w:val="18"/>
                      <w:lang w:bidi="ar"/>
                    </w:rPr>
                    <w:t>醋酸</w:t>
                  </w:r>
                </w:p>
              </w:tc>
              <w:tc>
                <w:tcPr>
                  <w:tcW w:w="736" w:type="pct"/>
                  <w:vAlign w:val="center"/>
                </w:tcPr>
                <w:p w14:paraId="60E87D4E">
                  <w:pPr>
                    <w:widowControl/>
                    <w:jc w:val="center"/>
                    <w:textAlignment w:val="center"/>
                    <w:rPr>
                      <w:color w:val="auto"/>
                      <w:sz w:val="18"/>
                      <w:szCs w:val="18"/>
                    </w:rPr>
                  </w:pPr>
                  <w:r>
                    <w:rPr>
                      <w:color w:val="auto"/>
                      <w:kern w:val="0"/>
                      <w:sz w:val="18"/>
                      <w:szCs w:val="18"/>
                      <w:lang w:bidi="ar"/>
                    </w:rPr>
                    <w:t>31.5</w:t>
                  </w:r>
                </w:p>
              </w:tc>
              <w:tc>
                <w:tcPr>
                  <w:tcW w:w="777" w:type="pct"/>
                  <w:vAlign w:val="center"/>
                </w:tcPr>
                <w:p w14:paraId="521BF978">
                  <w:pPr>
                    <w:widowControl/>
                    <w:jc w:val="center"/>
                    <w:textAlignment w:val="center"/>
                    <w:rPr>
                      <w:color w:val="auto"/>
                      <w:sz w:val="18"/>
                      <w:szCs w:val="18"/>
                    </w:rPr>
                  </w:pPr>
                  <w:r>
                    <w:rPr>
                      <w:color w:val="auto"/>
                      <w:kern w:val="0"/>
                      <w:sz w:val="18"/>
                      <w:szCs w:val="18"/>
                      <w:lang w:bidi="ar"/>
                    </w:rPr>
                    <w:t>31.5</w:t>
                  </w:r>
                </w:p>
              </w:tc>
              <w:tc>
                <w:tcPr>
                  <w:tcW w:w="1178" w:type="pct"/>
                  <w:vAlign w:val="center"/>
                </w:tcPr>
                <w:p w14:paraId="163E4C29">
                  <w:pPr>
                    <w:pStyle w:val="55"/>
                    <w:spacing w:before="24" w:after="24" w:line="240" w:lineRule="auto"/>
                    <w:rPr>
                      <w:rFonts w:ascii="Times New Roman"/>
                      <w:color w:val="auto"/>
                      <w:sz w:val="18"/>
                      <w:szCs w:val="18"/>
                    </w:rPr>
                  </w:pPr>
                  <w:r>
                    <w:rPr>
                      <w:rFonts w:ascii="Times New Roman"/>
                      <w:color w:val="auto"/>
                      <w:sz w:val="18"/>
                      <w:szCs w:val="18"/>
                    </w:rPr>
                    <w:t>有组织废气</w:t>
                  </w:r>
                </w:p>
              </w:tc>
              <w:tc>
                <w:tcPr>
                  <w:tcW w:w="716" w:type="pct"/>
                  <w:vAlign w:val="center"/>
                </w:tcPr>
                <w:p w14:paraId="6EFC7305">
                  <w:pPr>
                    <w:pStyle w:val="55"/>
                    <w:spacing w:before="24" w:after="24" w:line="240" w:lineRule="auto"/>
                    <w:rPr>
                      <w:rFonts w:hint="default" w:ascii="Times New Roman" w:eastAsia="宋体"/>
                      <w:color w:val="auto"/>
                      <w:sz w:val="18"/>
                      <w:szCs w:val="18"/>
                      <w:lang w:val="en-US" w:eastAsia="zh-CN"/>
                    </w:rPr>
                  </w:pPr>
                  <w:r>
                    <w:rPr>
                      <w:rFonts w:hint="eastAsia" w:ascii="Times New Roman"/>
                      <w:color w:val="auto"/>
                      <w:sz w:val="18"/>
                      <w:szCs w:val="18"/>
                    </w:rPr>
                    <w:t>1</w:t>
                  </w:r>
                  <w:r>
                    <w:rPr>
                      <w:rFonts w:hint="eastAsia" w:ascii="Times New Roman"/>
                      <w:color w:val="auto"/>
                      <w:sz w:val="18"/>
                      <w:szCs w:val="18"/>
                      <w:lang w:val="en-US" w:eastAsia="zh-CN"/>
                    </w:rPr>
                    <w:t>6.6</w:t>
                  </w:r>
                </w:p>
              </w:tc>
            </w:tr>
            <w:tr w14:paraId="7C7EF3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5" w:hRule="atLeast"/>
                <w:jc w:val="center"/>
              </w:trPr>
              <w:tc>
                <w:tcPr>
                  <w:tcW w:w="401" w:type="pct"/>
                  <w:vMerge w:val="continue"/>
                  <w:vAlign w:val="center"/>
                </w:tcPr>
                <w:p w14:paraId="48E39C6E">
                  <w:pPr>
                    <w:pStyle w:val="55"/>
                    <w:spacing w:before="24" w:after="24" w:line="240" w:lineRule="auto"/>
                    <w:rPr>
                      <w:rFonts w:ascii="Times New Roman"/>
                      <w:color w:val="auto"/>
                      <w:sz w:val="18"/>
                      <w:szCs w:val="18"/>
                    </w:rPr>
                  </w:pPr>
                </w:p>
              </w:tc>
              <w:tc>
                <w:tcPr>
                  <w:tcW w:w="1188" w:type="pct"/>
                  <w:vAlign w:val="center"/>
                </w:tcPr>
                <w:p w14:paraId="5EF515CE">
                  <w:pPr>
                    <w:widowControl/>
                    <w:jc w:val="center"/>
                    <w:textAlignment w:val="center"/>
                    <w:rPr>
                      <w:color w:val="auto"/>
                      <w:sz w:val="18"/>
                      <w:szCs w:val="18"/>
                    </w:rPr>
                  </w:pPr>
                  <w:r>
                    <w:rPr>
                      <w:color w:val="auto"/>
                      <w:kern w:val="0"/>
                      <w:sz w:val="18"/>
                      <w:szCs w:val="18"/>
                      <w:lang w:bidi="ar"/>
                    </w:rPr>
                    <w:t>六次甲基四胺</w:t>
                  </w:r>
                </w:p>
              </w:tc>
              <w:tc>
                <w:tcPr>
                  <w:tcW w:w="736" w:type="pct"/>
                  <w:vAlign w:val="center"/>
                </w:tcPr>
                <w:p w14:paraId="7B52649C">
                  <w:pPr>
                    <w:widowControl/>
                    <w:jc w:val="center"/>
                    <w:textAlignment w:val="center"/>
                    <w:rPr>
                      <w:color w:val="auto"/>
                      <w:sz w:val="18"/>
                      <w:szCs w:val="18"/>
                    </w:rPr>
                  </w:pPr>
                  <w:r>
                    <w:rPr>
                      <w:color w:val="auto"/>
                      <w:kern w:val="0"/>
                      <w:sz w:val="18"/>
                      <w:szCs w:val="18"/>
                      <w:lang w:bidi="ar"/>
                    </w:rPr>
                    <w:t>1</w:t>
                  </w:r>
                </w:p>
              </w:tc>
              <w:tc>
                <w:tcPr>
                  <w:tcW w:w="777" w:type="pct"/>
                  <w:vAlign w:val="center"/>
                </w:tcPr>
                <w:p w14:paraId="22EAC0A4">
                  <w:pPr>
                    <w:widowControl/>
                    <w:jc w:val="center"/>
                    <w:textAlignment w:val="center"/>
                    <w:rPr>
                      <w:color w:val="auto"/>
                      <w:sz w:val="18"/>
                      <w:szCs w:val="18"/>
                    </w:rPr>
                  </w:pPr>
                  <w:r>
                    <w:rPr>
                      <w:color w:val="auto"/>
                      <w:kern w:val="0"/>
                      <w:sz w:val="18"/>
                      <w:szCs w:val="18"/>
                      <w:lang w:bidi="ar"/>
                    </w:rPr>
                    <w:t>1</w:t>
                  </w:r>
                </w:p>
              </w:tc>
              <w:tc>
                <w:tcPr>
                  <w:tcW w:w="1178" w:type="pct"/>
                  <w:vAlign w:val="center"/>
                </w:tcPr>
                <w:p w14:paraId="22ED12BF">
                  <w:pPr>
                    <w:pStyle w:val="55"/>
                    <w:spacing w:before="24" w:after="24" w:line="240" w:lineRule="auto"/>
                    <w:rPr>
                      <w:rFonts w:ascii="Times New Roman"/>
                      <w:color w:val="auto"/>
                      <w:sz w:val="18"/>
                      <w:szCs w:val="18"/>
                    </w:rPr>
                  </w:pPr>
                  <w:r>
                    <w:rPr>
                      <w:rFonts w:ascii="Times New Roman"/>
                      <w:color w:val="auto"/>
                      <w:sz w:val="18"/>
                      <w:szCs w:val="18"/>
                    </w:rPr>
                    <w:t>无组织废气</w:t>
                  </w:r>
                </w:p>
              </w:tc>
              <w:tc>
                <w:tcPr>
                  <w:tcW w:w="716" w:type="pct"/>
                  <w:vAlign w:val="center"/>
                </w:tcPr>
                <w:p w14:paraId="7BF4E194">
                  <w:pPr>
                    <w:pStyle w:val="55"/>
                    <w:spacing w:before="24" w:after="24" w:line="240" w:lineRule="auto"/>
                    <w:rPr>
                      <w:rFonts w:hint="eastAsia" w:ascii="Times New Roman" w:eastAsia="宋体"/>
                      <w:color w:val="auto"/>
                      <w:sz w:val="18"/>
                      <w:szCs w:val="18"/>
                      <w:lang w:eastAsia="zh-CN"/>
                    </w:rPr>
                  </w:pPr>
                  <w:r>
                    <w:rPr>
                      <w:rFonts w:ascii="Times New Roman"/>
                      <w:color w:val="auto"/>
                      <w:sz w:val="18"/>
                      <w:szCs w:val="18"/>
                    </w:rPr>
                    <w:t>7.</w:t>
                  </w:r>
                  <w:r>
                    <w:rPr>
                      <w:rFonts w:hint="eastAsia" w:ascii="Times New Roman"/>
                      <w:color w:val="auto"/>
                      <w:sz w:val="18"/>
                      <w:szCs w:val="18"/>
                      <w:lang w:val="en-US" w:eastAsia="zh-CN"/>
                    </w:rPr>
                    <w:t>4</w:t>
                  </w:r>
                </w:p>
              </w:tc>
            </w:tr>
            <w:tr w14:paraId="4B9673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5" w:hRule="atLeast"/>
                <w:jc w:val="center"/>
              </w:trPr>
              <w:tc>
                <w:tcPr>
                  <w:tcW w:w="401" w:type="pct"/>
                  <w:vMerge w:val="continue"/>
                  <w:vAlign w:val="center"/>
                </w:tcPr>
                <w:p w14:paraId="2D5C2E95">
                  <w:pPr>
                    <w:pStyle w:val="55"/>
                    <w:spacing w:before="24" w:after="24" w:line="240" w:lineRule="auto"/>
                    <w:rPr>
                      <w:rFonts w:ascii="Times New Roman"/>
                      <w:color w:val="auto"/>
                      <w:sz w:val="18"/>
                      <w:szCs w:val="18"/>
                    </w:rPr>
                  </w:pPr>
                </w:p>
              </w:tc>
              <w:tc>
                <w:tcPr>
                  <w:tcW w:w="1188" w:type="pct"/>
                  <w:vAlign w:val="center"/>
                </w:tcPr>
                <w:p w14:paraId="4473D0A3">
                  <w:pPr>
                    <w:widowControl/>
                    <w:jc w:val="center"/>
                    <w:textAlignment w:val="center"/>
                    <w:rPr>
                      <w:color w:val="auto"/>
                      <w:sz w:val="18"/>
                      <w:szCs w:val="18"/>
                    </w:rPr>
                  </w:pPr>
                  <w:r>
                    <w:rPr>
                      <w:color w:val="auto"/>
                      <w:kern w:val="0"/>
                      <w:sz w:val="18"/>
                      <w:szCs w:val="18"/>
                      <w:lang w:bidi="ar"/>
                    </w:rPr>
                    <w:t>甲醇</w:t>
                  </w:r>
                </w:p>
              </w:tc>
              <w:tc>
                <w:tcPr>
                  <w:tcW w:w="736" w:type="pct"/>
                  <w:vAlign w:val="center"/>
                </w:tcPr>
                <w:p w14:paraId="2A17D422">
                  <w:pPr>
                    <w:widowControl/>
                    <w:jc w:val="center"/>
                    <w:textAlignment w:val="center"/>
                    <w:rPr>
                      <w:color w:val="auto"/>
                      <w:sz w:val="18"/>
                      <w:szCs w:val="18"/>
                    </w:rPr>
                  </w:pPr>
                  <w:r>
                    <w:rPr>
                      <w:color w:val="auto"/>
                      <w:kern w:val="0"/>
                      <w:sz w:val="18"/>
                      <w:szCs w:val="18"/>
                      <w:lang w:bidi="ar"/>
                    </w:rPr>
                    <w:t>260</w:t>
                  </w:r>
                </w:p>
              </w:tc>
              <w:tc>
                <w:tcPr>
                  <w:tcW w:w="777" w:type="pct"/>
                  <w:vAlign w:val="center"/>
                </w:tcPr>
                <w:p w14:paraId="6F31EACD">
                  <w:pPr>
                    <w:widowControl/>
                    <w:jc w:val="center"/>
                    <w:textAlignment w:val="center"/>
                    <w:rPr>
                      <w:color w:val="auto"/>
                      <w:sz w:val="18"/>
                      <w:szCs w:val="18"/>
                    </w:rPr>
                  </w:pPr>
                  <w:r>
                    <w:rPr>
                      <w:color w:val="auto"/>
                      <w:kern w:val="0"/>
                      <w:sz w:val="18"/>
                      <w:szCs w:val="18"/>
                      <w:lang w:bidi="ar"/>
                    </w:rPr>
                    <w:t>260</w:t>
                  </w:r>
                </w:p>
              </w:tc>
              <w:tc>
                <w:tcPr>
                  <w:tcW w:w="1178" w:type="pct"/>
                  <w:vAlign w:val="center"/>
                </w:tcPr>
                <w:p w14:paraId="69099B21">
                  <w:pPr>
                    <w:pStyle w:val="55"/>
                    <w:spacing w:before="24" w:after="24" w:line="240" w:lineRule="auto"/>
                    <w:rPr>
                      <w:rFonts w:ascii="Times New Roman"/>
                      <w:color w:val="auto"/>
                      <w:sz w:val="18"/>
                      <w:szCs w:val="18"/>
                    </w:rPr>
                  </w:pPr>
                  <w:r>
                    <w:rPr>
                      <w:rFonts w:ascii="Times New Roman"/>
                      <w:color w:val="auto"/>
                      <w:sz w:val="18"/>
                      <w:szCs w:val="18"/>
                    </w:rPr>
                    <w:t>进入固废（活性炭）</w:t>
                  </w:r>
                </w:p>
              </w:tc>
              <w:tc>
                <w:tcPr>
                  <w:tcW w:w="716" w:type="pct"/>
                  <w:vAlign w:val="center"/>
                </w:tcPr>
                <w:p w14:paraId="3091271E">
                  <w:pPr>
                    <w:pStyle w:val="55"/>
                    <w:spacing w:before="24" w:after="24" w:line="240" w:lineRule="auto"/>
                    <w:rPr>
                      <w:rFonts w:hint="default" w:ascii="Times New Roman" w:eastAsia="宋体"/>
                      <w:color w:val="auto"/>
                      <w:sz w:val="18"/>
                      <w:szCs w:val="18"/>
                      <w:lang w:val="en-US" w:eastAsia="zh-CN"/>
                    </w:rPr>
                  </w:pPr>
                  <w:r>
                    <w:rPr>
                      <w:rFonts w:hint="eastAsia" w:ascii="Times New Roman"/>
                      <w:color w:val="auto"/>
                      <w:sz w:val="18"/>
                      <w:szCs w:val="18"/>
                      <w:lang w:val="en-US" w:eastAsia="zh-CN"/>
                    </w:rPr>
                    <w:t>49.6</w:t>
                  </w:r>
                </w:p>
              </w:tc>
            </w:tr>
            <w:tr w14:paraId="0326BA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401" w:type="pct"/>
                  <w:vMerge w:val="continue"/>
                  <w:vAlign w:val="center"/>
                </w:tcPr>
                <w:p w14:paraId="65D8F765">
                  <w:pPr>
                    <w:pStyle w:val="55"/>
                    <w:spacing w:before="24" w:after="24" w:line="240" w:lineRule="auto"/>
                    <w:rPr>
                      <w:rFonts w:ascii="Times New Roman"/>
                      <w:color w:val="auto"/>
                      <w:sz w:val="18"/>
                      <w:szCs w:val="18"/>
                    </w:rPr>
                  </w:pPr>
                </w:p>
              </w:tc>
              <w:tc>
                <w:tcPr>
                  <w:tcW w:w="1188" w:type="pct"/>
                  <w:vAlign w:val="center"/>
                </w:tcPr>
                <w:p w14:paraId="4F97C2FE">
                  <w:pPr>
                    <w:widowControl/>
                    <w:jc w:val="center"/>
                    <w:textAlignment w:val="center"/>
                    <w:rPr>
                      <w:color w:val="auto"/>
                      <w:sz w:val="18"/>
                      <w:szCs w:val="18"/>
                    </w:rPr>
                  </w:pPr>
                  <w:r>
                    <w:rPr>
                      <w:color w:val="auto"/>
                      <w:kern w:val="0"/>
                      <w:sz w:val="18"/>
                      <w:szCs w:val="18"/>
                      <w:lang w:bidi="ar"/>
                    </w:rPr>
                    <w:t>丙酮</w:t>
                  </w:r>
                </w:p>
              </w:tc>
              <w:tc>
                <w:tcPr>
                  <w:tcW w:w="736" w:type="pct"/>
                  <w:vAlign w:val="center"/>
                </w:tcPr>
                <w:p w14:paraId="0C207A4B">
                  <w:pPr>
                    <w:widowControl/>
                    <w:jc w:val="center"/>
                    <w:textAlignment w:val="center"/>
                    <w:rPr>
                      <w:color w:val="auto"/>
                      <w:sz w:val="18"/>
                      <w:szCs w:val="18"/>
                    </w:rPr>
                  </w:pPr>
                  <w:r>
                    <w:rPr>
                      <w:color w:val="auto"/>
                      <w:kern w:val="0"/>
                      <w:sz w:val="18"/>
                      <w:szCs w:val="18"/>
                      <w:lang w:bidi="ar"/>
                    </w:rPr>
                    <w:t>5</w:t>
                  </w:r>
                </w:p>
              </w:tc>
              <w:tc>
                <w:tcPr>
                  <w:tcW w:w="777" w:type="pct"/>
                  <w:vAlign w:val="center"/>
                </w:tcPr>
                <w:p w14:paraId="550057ED">
                  <w:pPr>
                    <w:widowControl/>
                    <w:jc w:val="center"/>
                    <w:textAlignment w:val="center"/>
                    <w:rPr>
                      <w:color w:val="auto"/>
                      <w:sz w:val="18"/>
                      <w:szCs w:val="18"/>
                    </w:rPr>
                  </w:pPr>
                  <w:r>
                    <w:rPr>
                      <w:color w:val="auto"/>
                      <w:kern w:val="0"/>
                      <w:sz w:val="18"/>
                      <w:szCs w:val="18"/>
                      <w:lang w:bidi="ar"/>
                    </w:rPr>
                    <w:t>5</w:t>
                  </w:r>
                </w:p>
              </w:tc>
              <w:tc>
                <w:tcPr>
                  <w:tcW w:w="1178" w:type="pct"/>
                  <w:vAlign w:val="center"/>
                </w:tcPr>
                <w:p w14:paraId="093A0049">
                  <w:pPr>
                    <w:pStyle w:val="55"/>
                    <w:spacing w:before="24" w:after="24" w:line="240" w:lineRule="auto"/>
                    <w:rPr>
                      <w:rFonts w:ascii="Times New Roman"/>
                      <w:color w:val="auto"/>
                      <w:sz w:val="18"/>
                      <w:szCs w:val="18"/>
                    </w:rPr>
                  </w:pPr>
                  <w:r>
                    <w:rPr>
                      <w:rFonts w:ascii="Times New Roman"/>
                      <w:color w:val="auto"/>
                      <w:sz w:val="18"/>
                      <w:szCs w:val="18"/>
                    </w:rPr>
                    <w:t>进入固废（实验废液）</w:t>
                  </w:r>
                </w:p>
              </w:tc>
              <w:tc>
                <w:tcPr>
                  <w:tcW w:w="716" w:type="pct"/>
                  <w:vAlign w:val="center"/>
                </w:tcPr>
                <w:p w14:paraId="11299430">
                  <w:pPr>
                    <w:pStyle w:val="55"/>
                    <w:spacing w:before="24" w:after="24" w:line="240" w:lineRule="auto"/>
                    <w:rPr>
                      <w:rFonts w:hint="eastAsia" w:ascii="Times New Roman" w:eastAsia="宋体"/>
                      <w:color w:val="auto"/>
                      <w:sz w:val="18"/>
                      <w:szCs w:val="18"/>
                      <w:lang w:eastAsia="zh-CN"/>
                    </w:rPr>
                  </w:pPr>
                  <w:r>
                    <w:rPr>
                      <w:rFonts w:ascii="Times New Roman"/>
                      <w:color w:val="auto"/>
                      <w:sz w:val="18"/>
                      <w:szCs w:val="18"/>
                    </w:rPr>
                    <w:t>18.</w:t>
                  </w:r>
                  <w:r>
                    <w:rPr>
                      <w:rFonts w:hint="eastAsia" w:ascii="Times New Roman"/>
                      <w:color w:val="auto"/>
                      <w:sz w:val="18"/>
                      <w:szCs w:val="18"/>
                      <w:lang w:val="en-US" w:eastAsia="zh-CN"/>
                    </w:rPr>
                    <w:t>4</w:t>
                  </w:r>
                </w:p>
              </w:tc>
            </w:tr>
            <w:tr w14:paraId="1E91EE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1" w:hRule="atLeast"/>
                <w:jc w:val="center"/>
              </w:trPr>
              <w:tc>
                <w:tcPr>
                  <w:tcW w:w="401" w:type="pct"/>
                  <w:vMerge w:val="continue"/>
                  <w:vAlign w:val="center"/>
                </w:tcPr>
                <w:p w14:paraId="7FD14C28">
                  <w:pPr>
                    <w:pStyle w:val="55"/>
                    <w:spacing w:before="24" w:after="24" w:line="240" w:lineRule="auto"/>
                    <w:rPr>
                      <w:rFonts w:ascii="Times New Roman"/>
                      <w:color w:val="auto"/>
                      <w:sz w:val="18"/>
                      <w:szCs w:val="18"/>
                    </w:rPr>
                  </w:pPr>
                </w:p>
              </w:tc>
              <w:tc>
                <w:tcPr>
                  <w:tcW w:w="1188" w:type="pct"/>
                  <w:vAlign w:val="center"/>
                </w:tcPr>
                <w:p w14:paraId="1B638CCD">
                  <w:pPr>
                    <w:widowControl/>
                    <w:jc w:val="center"/>
                    <w:textAlignment w:val="center"/>
                    <w:rPr>
                      <w:color w:val="auto"/>
                      <w:sz w:val="18"/>
                      <w:szCs w:val="18"/>
                    </w:rPr>
                  </w:pPr>
                  <w:r>
                    <w:rPr>
                      <w:color w:val="auto"/>
                      <w:kern w:val="0"/>
                      <w:sz w:val="18"/>
                      <w:szCs w:val="18"/>
                      <w:lang w:bidi="ar"/>
                    </w:rPr>
                    <w:t>甲酸</w:t>
                  </w:r>
                </w:p>
              </w:tc>
              <w:tc>
                <w:tcPr>
                  <w:tcW w:w="736" w:type="pct"/>
                  <w:vAlign w:val="center"/>
                </w:tcPr>
                <w:p w14:paraId="551D5F06">
                  <w:pPr>
                    <w:widowControl/>
                    <w:jc w:val="center"/>
                    <w:textAlignment w:val="center"/>
                    <w:rPr>
                      <w:color w:val="auto"/>
                      <w:sz w:val="18"/>
                      <w:szCs w:val="18"/>
                    </w:rPr>
                  </w:pPr>
                  <w:r>
                    <w:rPr>
                      <w:color w:val="auto"/>
                      <w:kern w:val="0"/>
                      <w:sz w:val="18"/>
                      <w:szCs w:val="18"/>
                      <w:lang w:bidi="ar"/>
                    </w:rPr>
                    <w:t>4</w:t>
                  </w:r>
                </w:p>
              </w:tc>
              <w:tc>
                <w:tcPr>
                  <w:tcW w:w="777" w:type="pct"/>
                  <w:vAlign w:val="center"/>
                </w:tcPr>
                <w:p w14:paraId="62D35F1D">
                  <w:pPr>
                    <w:widowControl/>
                    <w:jc w:val="center"/>
                    <w:textAlignment w:val="center"/>
                    <w:rPr>
                      <w:color w:val="auto"/>
                      <w:sz w:val="18"/>
                      <w:szCs w:val="18"/>
                    </w:rPr>
                  </w:pPr>
                  <w:r>
                    <w:rPr>
                      <w:color w:val="auto"/>
                      <w:kern w:val="0"/>
                      <w:sz w:val="18"/>
                      <w:szCs w:val="18"/>
                      <w:lang w:bidi="ar"/>
                    </w:rPr>
                    <w:t>4</w:t>
                  </w:r>
                </w:p>
              </w:tc>
              <w:tc>
                <w:tcPr>
                  <w:tcW w:w="1178" w:type="pct"/>
                  <w:vAlign w:val="center"/>
                </w:tcPr>
                <w:p w14:paraId="61F4D7FD">
                  <w:pPr>
                    <w:pStyle w:val="55"/>
                    <w:spacing w:before="24" w:after="24" w:line="240" w:lineRule="auto"/>
                    <w:rPr>
                      <w:rFonts w:ascii="Times New Roman"/>
                      <w:color w:val="auto"/>
                      <w:sz w:val="18"/>
                      <w:szCs w:val="18"/>
                    </w:rPr>
                  </w:pPr>
                  <w:r>
                    <w:rPr>
                      <w:rFonts w:ascii="Times New Roman"/>
                      <w:color w:val="auto"/>
                      <w:sz w:val="18"/>
                      <w:szCs w:val="18"/>
                    </w:rPr>
                    <w:t>进入样品</w:t>
                  </w:r>
                </w:p>
              </w:tc>
              <w:tc>
                <w:tcPr>
                  <w:tcW w:w="716" w:type="pct"/>
                  <w:vAlign w:val="center"/>
                </w:tcPr>
                <w:p w14:paraId="090EF9CD">
                  <w:pPr>
                    <w:pStyle w:val="55"/>
                    <w:spacing w:before="24" w:after="24" w:line="240" w:lineRule="auto"/>
                    <w:rPr>
                      <w:rFonts w:hint="default" w:ascii="Times New Roman" w:eastAsia="宋体"/>
                      <w:color w:val="auto"/>
                      <w:sz w:val="18"/>
                      <w:szCs w:val="18"/>
                      <w:lang w:val="en-US" w:eastAsia="zh-CN"/>
                    </w:rPr>
                  </w:pPr>
                  <w:r>
                    <w:rPr>
                      <w:rFonts w:hint="eastAsia" w:ascii="Times New Roman"/>
                      <w:color w:val="auto"/>
                      <w:sz w:val="18"/>
                      <w:szCs w:val="18"/>
                      <w:lang w:val="en-US" w:eastAsia="zh-CN"/>
                    </w:rPr>
                    <w:t>276</w:t>
                  </w:r>
                </w:p>
              </w:tc>
            </w:tr>
            <w:tr w14:paraId="3816E8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1" w:hRule="atLeast"/>
                <w:jc w:val="center"/>
              </w:trPr>
              <w:tc>
                <w:tcPr>
                  <w:tcW w:w="401" w:type="pct"/>
                  <w:vMerge w:val="continue"/>
                  <w:vAlign w:val="center"/>
                </w:tcPr>
                <w:p w14:paraId="5F808427">
                  <w:pPr>
                    <w:pStyle w:val="55"/>
                    <w:spacing w:before="24" w:after="24" w:line="240" w:lineRule="auto"/>
                    <w:rPr>
                      <w:rFonts w:ascii="Times New Roman"/>
                      <w:color w:val="auto"/>
                      <w:sz w:val="18"/>
                      <w:szCs w:val="18"/>
                    </w:rPr>
                  </w:pPr>
                </w:p>
              </w:tc>
              <w:tc>
                <w:tcPr>
                  <w:tcW w:w="1188" w:type="pct"/>
                  <w:vAlign w:val="center"/>
                </w:tcPr>
                <w:p w14:paraId="605AAE8C">
                  <w:pPr>
                    <w:widowControl/>
                    <w:jc w:val="center"/>
                    <w:textAlignment w:val="center"/>
                    <w:rPr>
                      <w:color w:val="auto"/>
                      <w:sz w:val="18"/>
                      <w:szCs w:val="18"/>
                    </w:rPr>
                  </w:pPr>
                  <w:r>
                    <w:rPr>
                      <w:color w:val="auto"/>
                      <w:kern w:val="0"/>
                      <w:sz w:val="18"/>
                      <w:szCs w:val="18"/>
                      <w:lang w:bidi="ar"/>
                    </w:rPr>
                    <w:t>冰醋酸</w:t>
                  </w:r>
                </w:p>
              </w:tc>
              <w:tc>
                <w:tcPr>
                  <w:tcW w:w="736" w:type="pct"/>
                  <w:vAlign w:val="center"/>
                </w:tcPr>
                <w:p w14:paraId="11E71DA9">
                  <w:pPr>
                    <w:widowControl/>
                    <w:jc w:val="center"/>
                    <w:textAlignment w:val="center"/>
                    <w:rPr>
                      <w:color w:val="auto"/>
                      <w:sz w:val="18"/>
                      <w:szCs w:val="18"/>
                    </w:rPr>
                  </w:pPr>
                  <w:r>
                    <w:rPr>
                      <w:color w:val="auto"/>
                      <w:kern w:val="0"/>
                      <w:sz w:val="18"/>
                      <w:szCs w:val="18"/>
                      <w:lang w:bidi="ar"/>
                    </w:rPr>
                    <w:t>10</w:t>
                  </w:r>
                </w:p>
              </w:tc>
              <w:tc>
                <w:tcPr>
                  <w:tcW w:w="777" w:type="pct"/>
                  <w:vAlign w:val="center"/>
                </w:tcPr>
                <w:p w14:paraId="6A6985FA">
                  <w:pPr>
                    <w:widowControl/>
                    <w:jc w:val="center"/>
                    <w:textAlignment w:val="center"/>
                    <w:rPr>
                      <w:color w:val="auto"/>
                      <w:sz w:val="18"/>
                      <w:szCs w:val="18"/>
                    </w:rPr>
                  </w:pPr>
                  <w:r>
                    <w:rPr>
                      <w:color w:val="auto"/>
                      <w:kern w:val="0"/>
                      <w:sz w:val="18"/>
                      <w:szCs w:val="18"/>
                      <w:lang w:bidi="ar"/>
                    </w:rPr>
                    <w:t>10</w:t>
                  </w:r>
                </w:p>
              </w:tc>
              <w:tc>
                <w:tcPr>
                  <w:tcW w:w="1178" w:type="pct"/>
                  <w:vAlign w:val="center"/>
                </w:tcPr>
                <w:p w14:paraId="6D45C0C1">
                  <w:pPr>
                    <w:pStyle w:val="55"/>
                    <w:spacing w:before="24" w:after="24" w:line="240" w:lineRule="auto"/>
                    <w:rPr>
                      <w:rFonts w:ascii="Times New Roman"/>
                      <w:color w:val="auto"/>
                      <w:sz w:val="18"/>
                      <w:szCs w:val="18"/>
                    </w:rPr>
                  </w:pPr>
                </w:p>
              </w:tc>
              <w:tc>
                <w:tcPr>
                  <w:tcW w:w="716" w:type="pct"/>
                  <w:vAlign w:val="center"/>
                </w:tcPr>
                <w:p w14:paraId="28008C66">
                  <w:pPr>
                    <w:pStyle w:val="55"/>
                    <w:spacing w:before="24" w:after="24" w:line="240" w:lineRule="auto"/>
                    <w:rPr>
                      <w:rFonts w:ascii="Times New Roman"/>
                      <w:color w:val="auto"/>
                      <w:sz w:val="18"/>
                      <w:szCs w:val="18"/>
                    </w:rPr>
                  </w:pPr>
                </w:p>
              </w:tc>
            </w:tr>
            <w:tr w14:paraId="1F7DC2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8" w:hRule="atLeast"/>
                <w:jc w:val="center"/>
              </w:trPr>
              <w:tc>
                <w:tcPr>
                  <w:tcW w:w="401" w:type="pct"/>
                  <w:vMerge w:val="continue"/>
                  <w:vAlign w:val="center"/>
                </w:tcPr>
                <w:p w14:paraId="61D94FEB">
                  <w:pPr>
                    <w:pStyle w:val="55"/>
                    <w:spacing w:before="24" w:after="24" w:line="240" w:lineRule="auto"/>
                    <w:rPr>
                      <w:rFonts w:ascii="Times New Roman"/>
                      <w:color w:val="auto"/>
                      <w:sz w:val="18"/>
                      <w:szCs w:val="18"/>
                    </w:rPr>
                  </w:pPr>
                </w:p>
              </w:tc>
              <w:tc>
                <w:tcPr>
                  <w:tcW w:w="1188" w:type="pct"/>
                  <w:vAlign w:val="center"/>
                </w:tcPr>
                <w:p w14:paraId="68DBD4B1">
                  <w:pPr>
                    <w:widowControl/>
                    <w:jc w:val="center"/>
                    <w:textAlignment w:val="center"/>
                    <w:rPr>
                      <w:color w:val="auto"/>
                      <w:sz w:val="18"/>
                      <w:szCs w:val="18"/>
                    </w:rPr>
                  </w:pPr>
                  <w:r>
                    <w:rPr>
                      <w:color w:val="auto"/>
                      <w:kern w:val="0"/>
                      <w:sz w:val="18"/>
                      <w:szCs w:val="18"/>
                      <w:lang w:bidi="ar"/>
                    </w:rPr>
                    <w:t>正丁醇</w:t>
                  </w:r>
                </w:p>
              </w:tc>
              <w:tc>
                <w:tcPr>
                  <w:tcW w:w="736" w:type="pct"/>
                  <w:vAlign w:val="center"/>
                </w:tcPr>
                <w:p w14:paraId="547B80D6">
                  <w:pPr>
                    <w:widowControl/>
                    <w:jc w:val="center"/>
                    <w:textAlignment w:val="center"/>
                    <w:rPr>
                      <w:color w:val="auto"/>
                      <w:sz w:val="18"/>
                      <w:szCs w:val="18"/>
                    </w:rPr>
                  </w:pPr>
                  <w:r>
                    <w:rPr>
                      <w:color w:val="auto"/>
                      <w:kern w:val="0"/>
                      <w:sz w:val="18"/>
                      <w:szCs w:val="18"/>
                      <w:lang w:bidi="ar"/>
                    </w:rPr>
                    <w:t>2</w:t>
                  </w:r>
                </w:p>
              </w:tc>
              <w:tc>
                <w:tcPr>
                  <w:tcW w:w="777" w:type="pct"/>
                  <w:vAlign w:val="center"/>
                </w:tcPr>
                <w:p w14:paraId="210A7938">
                  <w:pPr>
                    <w:widowControl/>
                    <w:jc w:val="center"/>
                    <w:textAlignment w:val="center"/>
                    <w:rPr>
                      <w:color w:val="auto"/>
                      <w:sz w:val="18"/>
                      <w:szCs w:val="18"/>
                    </w:rPr>
                  </w:pPr>
                  <w:r>
                    <w:rPr>
                      <w:color w:val="auto"/>
                      <w:kern w:val="0"/>
                      <w:sz w:val="18"/>
                      <w:szCs w:val="18"/>
                      <w:lang w:bidi="ar"/>
                    </w:rPr>
                    <w:t>2</w:t>
                  </w:r>
                </w:p>
              </w:tc>
              <w:tc>
                <w:tcPr>
                  <w:tcW w:w="1178" w:type="pct"/>
                  <w:vAlign w:val="center"/>
                </w:tcPr>
                <w:p w14:paraId="29D92D44">
                  <w:pPr>
                    <w:pStyle w:val="55"/>
                    <w:spacing w:before="24" w:after="24" w:line="240" w:lineRule="auto"/>
                    <w:rPr>
                      <w:rFonts w:ascii="Times New Roman"/>
                      <w:color w:val="auto"/>
                      <w:sz w:val="18"/>
                      <w:szCs w:val="18"/>
                    </w:rPr>
                  </w:pPr>
                </w:p>
              </w:tc>
              <w:tc>
                <w:tcPr>
                  <w:tcW w:w="716" w:type="pct"/>
                  <w:vAlign w:val="center"/>
                </w:tcPr>
                <w:p w14:paraId="0BAA4DF7">
                  <w:pPr>
                    <w:pStyle w:val="55"/>
                    <w:spacing w:before="24" w:after="24" w:line="240" w:lineRule="auto"/>
                    <w:rPr>
                      <w:rFonts w:ascii="Times New Roman"/>
                      <w:color w:val="auto"/>
                      <w:sz w:val="18"/>
                      <w:szCs w:val="18"/>
                    </w:rPr>
                  </w:pPr>
                </w:p>
              </w:tc>
            </w:tr>
            <w:tr w14:paraId="6C8DF4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2" w:hRule="atLeast"/>
                <w:jc w:val="center"/>
              </w:trPr>
              <w:tc>
                <w:tcPr>
                  <w:tcW w:w="401" w:type="pct"/>
                  <w:vMerge w:val="continue"/>
                  <w:vAlign w:val="center"/>
                </w:tcPr>
                <w:p w14:paraId="36983380">
                  <w:pPr>
                    <w:pStyle w:val="55"/>
                    <w:spacing w:before="24" w:after="24" w:line="240" w:lineRule="auto"/>
                    <w:rPr>
                      <w:rFonts w:ascii="Times New Roman"/>
                      <w:color w:val="auto"/>
                      <w:sz w:val="18"/>
                      <w:szCs w:val="18"/>
                    </w:rPr>
                  </w:pPr>
                </w:p>
              </w:tc>
              <w:tc>
                <w:tcPr>
                  <w:tcW w:w="1188" w:type="pct"/>
                  <w:vAlign w:val="center"/>
                </w:tcPr>
                <w:p w14:paraId="07FC8AEC">
                  <w:pPr>
                    <w:widowControl/>
                    <w:jc w:val="center"/>
                    <w:textAlignment w:val="center"/>
                    <w:rPr>
                      <w:color w:val="auto"/>
                      <w:sz w:val="18"/>
                      <w:szCs w:val="18"/>
                    </w:rPr>
                  </w:pPr>
                  <w:r>
                    <w:rPr>
                      <w:color w:val="auto"/>
                      <w:kern w:val="0"/>
                      <w:sz w:val="18"/>
                      <w:szCs w:val="18"/>
                      <w:lang w:bidi="ar"/>
                    </w:rPr>
                    <w:t>异丙醇</w:t>
                  </w:r>
                </w:p>
              </w:tc>
              <w:tc>
                <w:tcPr>
                  <w:tcW w:w="736" w:type="pct"/>
                  <w:vAlign w:val="center"/>
                </w:tcPr>
                <w:p w14:paraId="7E6A35E7">
                  <w:pPr>
                    <w:widowControl/>
                    <w:jc w:val="center"/>
                    <w:textAlignment w:val="center"/>
                    <w:rPr>
                      <w:color w:val="auto"/>
                      <w:sz w:val="18"/>
                      <w:szCs w:val="18"/>
                    </w:rPr>
                  </w:pPr>
                  <w:r>
                    <w:rPr>
                      <w:color w:val="auto"/>
                      <w:kern w:val="0"/>
                      <w:sz w:val="18"/>
                      <w:szCs w:val="18"/>
                      <w:lang w:bidi="ar"/>
                    </w:rPr>
                    <w:t>2</w:t>
                  </w:r>
                </w:p>
              </w:tc>
              <w:tc>
                <w:tcPr>
                  <w:tcW w:w="777" w:type="pct"/>
                  <w:vAlign w:val="center"/>
                </w:tcPr>
                <w:p w14:paraId="4BA2EBA2">
                  <w:pPr>
                    <w:widowControl/>
                    <w:jc w:val="center"/>
                    <w:textAlignment w:val="center"/>
                    <w:rPr>
                      <w:color w:val="auto"/>
                      <w:sz w:val="18"/>
                      <w:szCs w:val="18"/>
                    </w:rPr>
                  </w:pPr>
                  <w:r>
                    <w:rPr>
                      <w:color w:val="auto"/>
                      <w:kern w:val="0"/>
                      <w:sz w:val="18"/>
                      <w:szCs w:val="18"/>
                      <w:lang w:bidi="ar"/>
                    </w:rPr>
                    <w:t>2</w:t>
                  </w:r>
                </w:p>
              </w:tc>
              <w:tc>
                <w:tcPr>
                  <w:tcW w:w="1178" w:type="pct"/>
                  <w:vAlign w:val="center"/>
                </w:tcPr>
                <w:p w14:paraId="4436847C">
                  <w:pPr>
                    <w:pStyle w:val="55"/>
                    <w:spacing w:before="24" w:after="24" w:line="240" w:lineRule="auto"/>
                    <w:rPr>
                      <w:rFonts w:ascii="Times New Roman"/>
                      <w:color w:val="auto"/>
                      <w:sz w:val="18"/>
                      <w:szCs w:val="18"/>
                    </w:rPr>
                  </w:pPr>
                </w:p>
              </w:tc>
              <w:tc>
                <w:tcPr>
                  <w:tcW w:w="716" w:type="pct"/>
                  <w:vAlign w:val="center"/>
                </w:tcPr>
                <w:p w14:paraId="7A8572B1">
                  <w:pPr>
                    <w:pStyle w:val="55"/>
                    <w:spacing w:before="24" w:after="24" w:line="240" w:lineRule="auto"/>
                    <w:rPr>
                      <w:rFonts w:ascii="Times New Roman"/>
                      <w:color w:val="auto"/>
                      <w:sz w:val="18"/>
                      <w:szCs w:val="18"/>
                    </w:rPr>
                  </w:pPr>
                </w:p>
              </w:tc>
            </w:tr>
            <w:tr w14:paraId="3D54E7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401" w:type="pct"/>
                  <w:vMerge w:val="continue"/>
                  <w:vAlign w:val="center"/>
                </w:tcPr>
                <w:p w14:paraId="1CF70F1D">
                  <w:pPr>
                    <w:pStyle w:val="55"/>
                    <w:spacing w:before="24" w:after="24" w:line="240" w:lineRule="auto"/>
                    <w:rPr>
                      <w:rFonts w:ascii="Times New Roman"/>
                      <w:color w:val="auto"/>
                      <w:sz w:val="18"/>
                      <w:szCs w:val="18"/>
                    </w:rPr>
                  </w:pPr>
                </w:p>
              </w:tc>
              <w:tc>
                <w:tcPr>
                  <w:tcW w:w="1188" w:type="pct"/>
                  <w:vAlign w:val="center"/>
                </w:tcPr>
                <w:p w14:paraId="4D0B7CC3">
                  <w:pPr>
                    <w:widowControl/>
                    <w:jc w:val="center"/>
                    <w:textAlignment w:val="center"/>
                    <w:rPr>
                      <w:color w:val="auto"/>
                      <w:sz w:val="18"/>
                      <w:szCs w:val="18"/>
                    </w:rPr>
                  </w:pPr>
                  <w:r>
                    <w:rPr>
                      <w:color w:val="auto"/>
                      <w:kern w:val="0"/>
                      <w:sz w:val="18"/>
                      <w:szCs w:val="18"/>
                      <w:lang w:bidi="ar"/>
                    </w:rPr>
                    <w:t>异戊二烯</w:t>
                  </w:r>
                </w:p>
              </w:tc>
              <w:tc>
                <w:tcPr>
                  <w:tcW w:w="736" w:type="pct"/>
                  <w:vAlign w:val="center"/>
                </w:tcPr>
                <w:p w14:paraId="4CBE2BA4">
                  <w:pPr>
                    <w:widowControl/>
                    <w:jc w:val="center"/>
                    <w:textAlignment w:val="center"/>
                    <w:rPr>
                      <w:color w:val="auto"/>
                      <w:sz w:val="18"/>
                      <w:szCs w:val="18"/>
                    </w:rPr>
                  </w:pPr>
                  <w:r>
                    <w:rPr>
                      <w:color w:val="auto"/>
                      <w:kern w:val="0"/>
                      <w:sz w:val="18"/>
                      <w:szCs w:val="18"/>
                      <w:lang w:bidi="ar"/>
                    </w:rPr>
                    <w:t>1</w:t>
                  </w:r>
                </w:p>
              </w:tc>
              <w:tc>
                <w:tcPr>
                  <w:tcW w:w="777" w:type="pct"/>
                  <w:vAlign w:val="center"/>
                </w:tcPr>
                <w:p w14:paraId="369D1483">
                  <w:pPr>
                    <w:widowControl/>
                    <w:jc w:val="center"/>
                    <w:textAlignment w:val="center"/>
                    <w:rPr>
                      <w:color w:val="auto"/>
                      <w:sz w:val="18"/>
                      <w:szCs w:val="18"/>
                    </w:rPr>
                  </w:pPr>
                  <w:r>
                    <w:rPr>
                      <w:color w:val="auto"/>
                      <w:kern w:val="0"/>
                      <w:sz w:val="18"/>
                      <w:szCs w:val="18"/>
                      <w:lang w:bidi="ar"/>
                    </w:rPr>
                    <w:t>1</w:t>
                  </w:r>
                </w:p>
              </w:tc>
              <w:tc>
                <w:tcPr>
                  <w:tcW w:w="1178" w:type="pct"/>
                  <w:vAlign w:val="center"/>
                </w:tcPr>
                <w:p w14:paraId="4328A893">
                  <w:pPr>
                    <w:pStyle w:val="55"/>
                    <w:spacing w:before="24" w:after="24" w:line="240" w:lineRule="auto"/>
                    <w:rPr>
                      <w:rFonts w:ascii="Times New Roman"/>
                      <w:color w:val="auto"/>
                      <w:sz w:val="18"/>
                      <w:szCs w:val="18"/>
                    </w:rPr>
                  </w:pPr>
                </w:p>
              </w:tc>
              <w:tc>
                <w:tcPr>
                  <w:tcW w:w="716" w:type="pct"/>
                  <w:vAlign w:val="center"/>
                </w:tcPr>
                <w:p w14:paraId="09D7F815">
                  <w:pPr>
                    <w:pStyle w:val="55"/>
                    <w:spacing w:before="24" w:after="24" w:line="240" w:lineRule="auto"/>
                    <w:rPr>
                      <w:rFonts w:ascii="Times New Roman"/>
                      <w:color w:val="auto"/>
                      <w:sz w:val="18"/>
                      <w:szCs w:val="18"/>
                    </w:rPr>
                  </w:pPr>
                </w:p>
              </w:tc>
            </w:tr>
            <w:tr w14:paraId="03D602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401" w:type="pct"/>
                  <w:vMerge w:val="continue"/>
                  <w:vAlign w:val="center"/>
                </w:tcPr>
                <w:p w14:paraId="3DFEB3F8">
                  <w:pPr>
                    <w:pStyle w:val="55"/>
                    <w:spacing w:before="24" w:after="24" w:line="240" w:lineRule="auto"/>
                    <w:rPr>
                      <w:rFonts w:ascii="Times New Roman"/>
                      <w:color w:val="auto"/>
                      <w:sz w:val="18"/>
                      <w:szCs w:val="18"/>
                    </w:rPr>
                  </w:pPr>
                </w:p>
              </w:tc>
              <w:tc>
                <w:tcPr>
                  <w:tcW w:w="1188" w:type="pct"/>
                  <w:vAlign w:val="center"/>
                </w:tcPr>
                <w:p w14:paraId="6F4B06A9">
                  <w:pPr>
                    <w:widowControl/>
                    <w:jc w:val="center"/>
                    <w:textAlignment w:val="center"/>
                    <w:rPr>
                      <w:color w:val="auto"/>
                      <w:sz w:val="18"/>
                      <w:szCs w:val="18"/>
                    </w:rPr>
                  </w:pPr>
                  <w:r>
                    <w:rPr>
                      <w:color w:val="auto"/>
                      <w:kern w:val="0"/>
                      <w:sz w:val="18"/>
                      <w:szCs w:val="18"/>
                      <w:lang w:bidi="ar"/>
                    </w:rPr>
                    <w:t>三氟乙酸</w:t>
                  </w:r>
                </w:p>
              </w:tc>
              <w:tc>
                <w:tcPr>
                  <w:tcW w:w="736" w:type="pct"/>
                  <w:vAlign w:val="center"/>
                </w:tcPr>
                <w:p w14:paraId="2C4B6BDF">
                  <w:pPr>
                    <w:widowControl/>
                    <w:jc w:val="center"/>
                    <w:textAlignment w:val="center"/>
                    <w:rPr>
                      <w:color w:val="auto"/>
                      <w:sz w:val="18"/>
                      <w:szCs w:val="18"/>
                    </w:rPr>
                  </w:pPr>
                  <w:r>
                    <w:rPr>
                      <w:color w:val="auto"/>
                      <w:kern w:val="0"/>
                      <w:sz w:val="18"/>
                      <w:szCs w:val="18"/>
                      <w:lang w:bidi="ar"/>
                    </w:rPr>
                    <w:t>2</w:t>
                  </w:r>
                </w:p>
              </w:tc>
              <w:tc>
                <w:tcPr>
                  <w:tcW w:w="777" w:type="pct"/>
                  <w:vAlign w:val="center"/>
                </w:tcPr>
                <w:p w14:paraId="647601D5">
                  <w:pPr>
                    <w:widowControl/>
                    <w:jc w:val="center"/>
                    <w:textAlignment w:val="center"/>
                    <w:rPr>
                      <w:color w:val="auto"/>
                      <w:sz w:val="18"/>
                      <w:szCs w:val="18"/>
                    </w:rPr>
                  </w:pPr>
                  <w:r>
                    <w:rPr>
                      <w:color w:val="auto"/>
                      <w:kern w:val="0"/>
                      <w:sz w:val="18"/>
                      <w:szCs w:val="18"/>
                      <w:lang w:bidi="ar"/>
                    </w:rPr>
                    <w:t>2</w:t>
                  </w:r>
                </w:p>
              </w:tc>
              <w:tc>
                <w:tcPr>
                  <w:tcW w:w="1178" w:type="pct"/>
                  <w:vAlign w:val="center"/>
                </w:tcPr>
                <w:p w14:paraId="1E312E95">
                  <w:pPr>
                    <w:pStyle w:val="55"/>
                    <w:spacing w:before="24" w:after="24" w:line="240" w:lineRule="auto"/>
                    <w:rPr>
                      <w:rFonts w:ascii="Times New Roman"/>
                      <w:color w:val="auto"/>
                      <w:sz w:val="18"/>
                      <w:szCs w:val="18"/>
                    </w:rPr>
                  </w:pPr>
                </w:p>
              </w:tc>
              <w:tc>
                <w:tcPr>
                  <w:tcW w:w="716" w:type="pct"/>
                  <w:vAlign w:val="center"/>
                </w:tcPr>
                <w:p w14:paraId="5FD4DAAD">
                  <w:pPr>
                    <w:pStyle w:val="55"/>
                    <w:spacing w:before="24" w:after="24" w:line="240" w:lineRule="auto"/>
                    <w:rPr>
                      <w:rFonts w:ascii="Times New Roman"/>
                      <w:color w:val="auto"/>
                      <w:sz w:val="18"/>
                      <w:szCs w:val="18"/>
                    </w:rPr>
                  </w:pPr>
                </w:p>
              </w:tc>
            </w:tr>
            <w:tr w14:paraId="52CC64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401" w:type="pct"/>
                  <w:vMerge w:val="continue"/>
                  <w:vAlign w:val="center"/>
                </w:tcPr>
                <w:p w14:paraId="44365827">
                  <w:pPr>
                    <w:pStyle w:val="55"/>
                    <w:spacing w:before="24" w:after="24" w:line="240" w:lineRule="auto"/>
                    <w:rPr>
                      <w:rFonts w:ascii="Times New Roman"/>
                      <w:color w:val="auto"/>
                      <w:sz w:val="18"/>
                      <w:szCs w:val="18"/>
                    </w:rPr>
                  </w:pPr>
                </w:p>
              </w:tc>
              <w:tc>
                <w:tcPr>
                  <w:tcW w:w="1188" w:type="pct"/>
                  <w:vAlign w:val="center"/>
                </w:tcPr>
                <w:p w14:paraId="73E0964C">
                  <w:pPr>
                    <w:widowControl/>
                    <w:jc w:val="center"/>
                    <w:textAlignment w:val="center"/>
                    <w:rPr>
                      <w:color w:val="auto"/>
                      <w:sz w:val="18"/>
                      <w:szCs w:val="18"/>
                    </w:rPr>
                  </w:pPr>
                  <w:r>
                    <w:rPr>
                      <w:color w:val="auto"/>
                      <w:kern w:val="0"/>
                      <w:sz w:val="18"/>
                      <w:szCs w:val="18"/>
                      <w:lang w:bidi="ar"/>
                    </w:rPr>
                    <w:t>三乙胺</w:t>
                  </w:r>
                </w:p>
              </w:tc>
              <w:tc>
                <w:tcPr>
                  <w:tcW w:w="736" w:type="pct"/>
                  <w:vAlign w:val="center"/>
                </w:tcPr>
                <w:p w14:paraId="09F2E26A">
                  <w:pPr>
                    <w:widowControl/>
                    <w:jc w:val="center"/>
                    <w:textAlignment w:val="center"/>
                    <w:rPr>
                      <w:color w:val="auto"/>
                      <w:sz w:val="18"/>
                      <w:szCs w:val="18"/>
                    </w:rPr>
                  </w:pPr>
                  <w:r>
                    <w:rPr>
                      <w:color w:val="auto"/>
                      <w:kern w:val="0"/>
                      <w:sz w:val="18"/>
                      <w:szCs w:val="18"/>
                      <w:lang w:bidi="ar"/>
                    </w:rPr>
                    <w:t>2</w:t>
                  </w:r>
                </w:p>
              </w:tc>
              <w:tc>
                <w:tcPr>
                  <w:tcW w:w="777" w:type="pct"/>
                  <w:vAlign w:val="center"/>
                </w:tcPr>
                <w:p w14:paraId="45E4B946">
                  <w:pPr>
                    <w:widowControl/>
                    <w:jc w:val="center"/>
                    <w:textAlignment w:val="center"/>
                    <w:rPr>
                      <w:color w:val="auto"/>
                      <w:sz w:val="18"/>
                      <w:szCs w:val="18"/>
                    </w:rPr>
                  </w:pPr>
                  <w:r>
                    <w:rPr>
                      <w:color w:val="auto"/>
                      <w:kern w:val="0"/>
                      <w:sz w:val="18"/>
                      <w:szCs w:val="18"/>
                      <w:lang w:bidi="ar"/>
                    </w:rPr>
                    <w:t>2</w:t>
                  </w:r>
                </w:p>
              </w:tc>
              <w:tc>
                <w:tcPr>
                  <w:tcW w:w="1178" w:type="pct"/>
                  <w:vAlign w:val="center"/>
                </w:tcPr>
                <w:p w14:paraId="72A4982E">
                  <w:pPr>
                    <w:pStyle w:val="55"/>
                    <w:spacing w:before="24" w:after="24" w:line="240" w:lineRule="auto"/>
                    <w:rPr>
                      <w:rFonts w:ascii="Times New Roman"/>
                      <w:color w:val="auto"/>
                      <w:sz w:val="18"/>
                      <w:szCs w:val="18"/>
                    </w:rPr>
                  </w:pPr>
                </w:p>
              </w:tc>
              <w:tc>
                <w:tcPr>
                  <w:tcW w:w="716" w:type="pct"/>
                  <w:vAlign w:val="center"/>
                </w:tcPr>
                <w:p w14:paraId="2F6F102D">
                  <w:pPr>
                    <w:pStyle w:val="55"/>
                    <w:spacing w:before="24" w:after="24" w:line="240" w:lineRule="auto"/>
                    <w:rPr>
                      <w:rFonts w:ascii="Times New Roman"/>
                      <w:color w:val="auto"/>
                      <w:sz w:val="18"/>
                      <w:szCs w:val="18"/>
                    </w:rPr>
                  </w:pPr>
                </w:p>
              </w:tc>
            </w:tr>
            <w:tr w14:paraId="7709A3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401" w:type="pct"/>
                  <w:vMerge w:val="continue"/>
                  <w:vAlign w:val="center"/>
                </w:tcPr>
                <w:p w14:paraId="207F7FEA">
                  <w:pPr>
                    <w:pStyle w:val="55"/>
                    <w:spacing w:before="24" w:after="24" w:line="240" w:lineRule="auto"/>
                    <w:rPr>
                      <w:rFonts w:ascii="Times New Roman"/>
                      <w:color w:val="auto"/>
                      <w:sz w:val="18"/>
                      <w:szCs w:val="18"/>
                    </w:rPr>
                  </w:pPr>
                </w:p>
              </w:tc>
              <w:tc>
                <w:tcPr>
                  <w:tcW w:w="1188" w:type="pct"/>
                  <w:vAlign w:val="center"/>
                </w:tcPr>
                <w:p w14:paraId="565AF63E">
                  <w:pPr>
                    <w:widowControl/>
                    <w:jc w:val="center"/>
                    <w:textAlignment w:val="center"/>
                    <w:rPr>
                      <w:color w:val="auto"/>
                      <w:sz w:val="18"/>
                      <w:szCs w:val="18"/>
                    </w:rPr>
                  </w:pPr>
                  <w:r>
                    <w:rPr>
                      <w:color w:val="auto"/>
                      <w:kern w:val="0"/>
                      <w:sz w:val="18"/>
                      <w:szCs w:val="18"/>
                      <w:lang w:bidi="ar"/>
                    </w:rPr>
                    <w:t>乙腈</w:t>
                  </w:r>
                </w:p>
              </w:tc>
              <w:tc>
                <w:tcPr>
                  <w:tcW w:w="736" w:type="pct"/>
                  <w:vAlign w:val="center"/>
                </w:tcPr>
                <w:p w14:paraId="7AA5983D">
                  <w:pPr>
                    <w:widowControl/>
                    <w:jc w:val="center"/>
                    <w:textAlignment w:val="center"/>
                    <w:rPr>
                      <w:color w:val="auto"/>
                      <w:sz w:val="18"/>
                      <w:szCs w:val="18"/>
                    </w:rPr>
                  </w:pPr>
                  <w:r>
                    <w:rPr>
                      <w:color w:val="auto"/>
                      <w:kern w:val="0"/>
                      <w:sz w:val="18"/>
                      <w:szCs w:val="18"/>
                      <w:lang w:bidi="ar"/>
                    </w:rPr>
                    <w:t>10</w:t>
                  </w:r>
                </w:p>
              </w:tc>
              <w:tc>
                <w:tcPr>
                  <w:tcW w:w="777" w:type="pct"/>
                  <w:vAlign w:val="center"/>
                </w:tcPr>
                <w:p w14:paraId="3DCE55B2">
                  <w:pPr>
                    <w:widowControl/>
                    <w:jc w:val="center"/>
                    <w:textAlignment w:val="center"/>
                    <w:rPr>
                      <w:color w:val="auto"/>
                      <w:sz w:val="18"/>
                      <w:szCs w:val="18"/>
                    </w:rPr>
                  </w:pPr>
                  <w:r>
                    <w:rPr>
                      <w:color w:val="auto"/>
                      <w:kern w:val="0"/>
                      <w:sz w:val="18"/>
                      <w:szCs w:val="18"/>
                      <w:lang w:bidi="ar"/>
                    </w:rPr>
                    <w:t>10</w:t>
                  </w:r>
                </w:p>
              </w:tc>
              <w:tc>
                <w:tcPr>
                  <w:tcW w:w="1178" w:type="pct"/>
                  <w:vAlign w:val="center"/>
                </w:tcPr>
                <w:p w14:paraId="2FBA591E">
                  <w:pPr>
                    <w:pStyle w:val="55"/>
                    <w:spacing w:before="24" w:after="24" w:line="240" w:lineRule="auto"/>
                    <w:rPr>
                      <w:rFonts w:ascii="Times New Roman"/>
                      <w:color w:val="auto"/>
                      <w:sz w:val="18"/>
                      <w:szCs w:val="18"/>
                    </w:rPr>
                  </w:pPr>
                </w:p>
              </w:tc>
              <w:tc>
                <w:tcPr>
                  <w:tcW w:w="716" w:type="pct"/>
                  <w:vAlign w:val="center"/>
                </w:tcPr>
                <w:p w14:paraId="1AF9AA5E">
                  <w:pPr>
                    <w:pStyle w:val="55"/>
                    <w:spacing w:before="24" w:after="24" w:line="240" w:lineRule="auto"/>
                    <w:rPr>
                      <w:rFonts w:ascii="Times New Roman"/>
                      <w:color w:val="auto"/>
                      <w:sz w:val="18"/>
                      <w:szCs w:val="18"/>
                    </w:rPr>
                  </w:pPr>
                </w:p>
              </w:tc>
            </w:tr>
            <w:tr w14:paraId="2A122D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401" w:type="pct"/>
                  <w:vMerge w:val="continue"/>
                  <w:vAlign w:val="center"/>
                </w:tcPr>
                <w:p w14:paraId="256C7092">
                  <w:pPr>
                    <w:pStyle w:val="55"/>
                    <w:spacing w:before="24" w:after="24" w:line="240" w:lineRule="auto"/>
                    <w:rPr>
                      <w:rFonts w:ascii="Times New Roman"/>
                      <w:color w:val="auto"/>
                      <w:sz w:val="18"/>
                      <w:szCs w:val="18"/>
                    </w:rPr>
                  </w:pPr>
                </w:p>
              </w:tc>
              <w:tc>
                <w:tcPr>
                  <w:tcW w:w="1188" w:type="pct"/>
                  <w:vAlign w:val="center"/>
                </w:tcPr>
                <w:p w14:paraId="4C274F14">
                  <w:pPr>
                    <w:widowControl/>
                    <w:jc w:val="center"/>
                    <w:textAlignment w:val="center"/>
                    <w:rPr>
                      <w:color w:val="auto"/>
                      <w:sz w:val="18"/>
                      <w:szCs w:val="18"/>
                    </w:rPr>
                  </w:pPr>
                  <w:r>
                    <w:rPr>
                      <w:color w:val="auto"/>
                      <w:kern w:val="0"/>
                      <w:sz w:val="18"/>
                      <w:szCs w:val="18"/>
                      <w:lang w:bidi="ar"/>
                    </w:rPr>
                    <w:t>乙酸乙酯</w:t>
                  </w:r>
                </w:p>
              </w:tc>
              <w:tc>
                <w:tcPr>
                  <w:tcW w:w="736" w:type="pct"/>
                  <w:vAlign w:val="center"/>
                </w:tcPr>
                <w:p w14:paraId="1B119B65">
                  <w:pPr>
                    <w:widowControl/>
                    <w:jc w:val="center"/>
                    <w:textAlignment w:val="center"/>
                    <w:rPr>
                      <w:color w:val="auto"/>
                      <w:sz w:val="18"/>
                      <w:szCs w:val="18"/>
                    </w:rPr>
                  </w:pPr>
                  <w:r>
                    <w:rPr>
                      <w:color w:val="auto"/>
                      <w:kern w:val="0"/>
                      <w:sz w:val="18"/>
                      <w:szCs w:val="18"/>
                      <w:lang w:bidi="ar"/>
                    </w:rPr>
                    <w:t>5</w:t>
                  </w:r>
                </w:p>
              </w:tc>
              <w:tc>
                <w:tcPr>
                  <w:tcW w:w="777" w:type="pct"/>
                  <w:vAlign w:val="center"/>
                </w:tcPr>
                <w:p w14:paraId="0D831F1A">
                  <w:pPr>
                    <w:widowControl/>
                    <w:jc w:val="center"/>
                    <w:textAlignment w:val="center"/>
                    <w:rPr>
                      <w:color w:val="auto"/>
                      <w:sz w:val="18"/>
                      <w:szCs w:val="18"/>
                    </w:rPr>
                  </w:pPr>
                  <w:r>
                    <w:rPr>
                      <w:color w:val="auto"/>
                      <w:kern w:val="0"/>
                      <w:sz w:val="18"/>
                      <w:szCs w:val="18"/>
                      <w:lang w:bidi="ar"/>
                    </w:rPr>
                    <w:t>5</w:t>
                  </w:r>
                </w:p>
              </w:tc>
              <w:tc>
                <w:tcPr>
                  <w:tcW w:w="1178" w:type="pct"/>
                  <w:vAlign w:val="center"/>
                </w:tcPr>
                <w:p w14:paraId="7A4CDEC4">
                  <w:pPr>
                    <w:pStyle w:val="55"/>
                    <w:spacing w:before="24" w:after="24" w:line="240" w:lineRule="auto"/>
                    <w:rPr>
                      <w:rFonts w:ascii="Times New Roman"/>
                      <w:color w:val="auto"/>
                      <w:sz w:val="18"/>
                      <w:szCs w:val="18"/>
                    </w:rPr>
                  </w:pPr>
                </w:p>
              </w:tc>
              <w:tc>
                <w:tcPr>
                  <w:tcW w:w="716" w:type="pct"/>
                  <w:vAlign w:val="center"/>
                </w:tcPr>
                <w:p w14:paraId="720AF97D">
                  <w:pPr>
                    <w:pStyle w:val="55"/>
                    <w:spacing w:before="24" w:after="24" w:line="240" w:lineRule="auto"/>
                    <w:rPr>
                      <w:rFonts w:ascii="Times New Roman"/>
                      <w:color w:val="auto"/>
                      <w:sz w:val="18"/>
                      <w:szCs w:val="18"/>
                    </w:rPr>
                  </w:pPr>
                </w:p>
              </w:tc>
            </w:tr>
            <w:tr w14:paraId="495F41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401" w:type="pct"/>
                  <w:vMerge w:val="continue"/>
                  <w:vAlign w:val="center"/>
                </w:tcPr>
                <w:p w14:paraId="1655CEFE">
                  <w:pPr>
                    <w:pStyle w:val="55"/>
                    <w:spacing w:before="24" w:after="24" w:line="240" w:lineRule="auto"/>
                    <w:rPr>
                      <w:rFonts w:ascii="Times New Roman"/>
                      <w:color w:val="auto"/>
                      <w:sz w:val="18"/>
                      <w:szCs w:val="18"/>
                    </w:rPr>
                  </w:pPr>
                </w:p>
              </w:tc>
              <w:tc>
                <w:tcPr>
                  <w:tcW w:w="1188" w:type="pct"/>
                  <w:vAlign w:val="center"/>
                </w:tcPr>
                <w:p w14:paraId="74F2A642">
                  <w:pPr>
                    <w:widowControl/>
                    <w:jc w:val="center"/>
                    <w:textAlignment w:val="center"/>
                    <w:rPr>
                      <w:color w:val="auto"/>
                      <w:sz w:val="18"/>
                      <w:szCs w:val="18"/>
                    </w:rPr>
                  </w:pPr>
                  <w:r>
                    <w:rPr>
                      <w:color w:val="auto"/>
                      <w:kern w:val="0"/>
                      <w:sz w:val="18"/>
                      <w:szCs w:val="18"/>
                      <w:lang w:bidi="ar"/>
                    </w:rPr>
                    <w:t>吡啶</w:t>
                  </w:r>
                </w:p>
              </w:tc>
              <w:tc>
                <w:tcPr>
                  <w:tcW w:w="736" w:type="pct"/>
                  <w:vAlign w:val="center"/>
                </w:tcPr>
                <w:p w14:paraId="1BE136D4">
                  <w:pPr>
                    <w:widowControl/>
                    <w:jc w:val="center"/>
                    <w:textAlignment w:val="center"/>
                    <w:rPr>
                      <w:color w:val="auto"/>
                      <w:sz w:val="18"/>
                      <w:szCs w:val="18"/>
                    </w:rPr>
                  </w:pPr>
                  <w:r>
                    <w:rPr>
                      <w:color w:val="auto"/>
                      <w:kern w:val="0"/>
                      <w:sz w:val="18"/>
                      <w:szCs w:val="18"/>
                      <w:lang w:bidi="ar"/>
                    </w:rPr>
                    <w:t>2</w:t>
                  </w:r>
                </w:p>
              </w:tc>
              <w:tc>
                <w:tcPr>
                  <w:tcW w:w="777" w:type="pct"/>
                  <w:vAlign w:val="center"/>
                </w:tcPr>
                <w:p w14:paraId="2A011871">
                  <w:pPr>
                    <w:widowControl/>
                    <w:jc w:val="center"/>
                    <w:textAlignment w:val="center"/>
                    <w:rPr>
                      <w:color w:val="auto"/>
                      <w:sz w:val="18"/>
                      <w:szCs w:val="18"/>
                    </w:rPr>
                  </w:pPr>
                  <w:r>
                    <w:rPr>
                      <w:color w:val="auto"/>
                      <w:kern w:val="0"/>
                      <w:sz w:val="18"/>
                      <w:szCs w:val="18"/>
                      <w:lang w:bidi="ar"/>
                    </w:rPr>
                    <w:t>2</w:t>
                  </w:r>
                </w:p>
              </w:tc>
              <w:tc>
                <w:tcPr>
                  <w:tcW w:w="1178" w:type="pct"/>
                  <w:vAlign w:val="center"/>
                </w:tcPr>
                <w:p w14:paraId="07136E16">
                  <w:pPr>
                    <w:pStyle w:val="55"/>
                    <w:spacing w:before="24" w:after="24" w:line="240" w:lineRule="auto"/>
                    <w:rPr>
                      <w:rFonts w:ascii="Times New Roman"/>
                      <w:color w:val="auto"/>
                      <w:sz w:val="18"/>
                      <w:szCs w:val="18"/>
                    </w:rPr>
                  </w:pPr>
                </w:p>
              </w:tc>
              <w:tc>
                <w:tcPr>
                  <w:tcW w:w="716" w:type="pct"/>
                  <w:vAlign w:val="center"/>
                </w:tcPr>
                <w:p w14:paraId="0F72FCF7">
                  <w:pPr>
                    <w:pStyle w:val="55"/>
                    <w:spacing w:before="24" w:after="24" w:line="240" w:lineRule="auto"/>
                    <w:rPr>
                      <w:rFonts w:ascii="Times New Roman"/>
                      <w:color w:val="auto"/>
                      <w:sz w:val="18"/>
                      <w:szCs w:val="18"/>
                    </w:rPr>
                  </w:pPr>
                </w:p>
              </w:tc>
            </w:tr>
            <w:tr w14:paraId="077628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401" w:type="pct"/>
                  <w:vMerge w:val="continue"/>
                  <w:vAlign w:val="center"/>
                </w:tcPr>
                <w:p w14:paraId="665A3D28">
                  <w:pPr>
                    <w:pStyle w:val="55"/>
                    <w:spacing w:before="24" w:after="24" w:line="240" w:lineRule="auto"/>
                    <w:rPr>
                      <w:rFonts w:ascii="Times New Roman"/>
                      <w:color w:val="auto"/>
                      <w:sz w:val="18"/>
                      <w:szCs w:val="18"/>
                    </w:rPr>
                  </w:pPr>
                </w:p>
              </w:tc>
              <w:tc>
                <w:tcPr>
                  <w:tcW w:w="1188" w:type="pct"/>
                  <w:vAlign w:val="center"/>
                </w:tcPr>
                <w:p w14:paraId="2EE91B39">
                  <w:pPr>
                    <w:widowControl/>
                    <w:jc w:val="center"/>
                    <w:textAlignment w:val="center"/>
                    <w:rPr>
                      <w:color w:val="auto"/>
                      <w:sz w:val="18"/>
                      <w:szCs w:val="18"/>
                    </w:rPr>
                  </w:pPr>
                  <w:r>
                    <w:rPr>
                      <w:color w:val="auto"/>
                      <w:kern w:val="0"/>
                      <w:sz w:val="18"/>
                      <w:szCs w:val="18"/>
                      <w:lang w:bidi="ar"/>
                    </w:rPr>
                    <w:t>叔丁醇</w:t>
                  </w:r>
                </w:p>
              </w:tc>
              <w:tc>
                <w:tcPr>
                  <w:tcW w:w="736" w:type="pct"/>
                  <w:vAlign w:val="center"/>
                </w:tcPr>
                <w:p w14:paraId="3FC61E91">
                  <w:pPr>
                    <w:widowControl/>
                    <w:jc w:val="center"/>
                    <w:textAlignment w:val="center"/>
                    <w:rPr>
                      <w:color w:val="auto"/>
                      <w:sz w:val="18"/>
                      <w:szCs w:val="18"/>
                    </w:rPr>
                  </w:pPr>
                  <w:r>
                    <w:rPr>
                      <w:color w:val="auto"/>
                      <w:kern w:val="0"/>
                      <w:sz w:val="18"/>
                      <w:szCs w:val="18"/>
                      <w:lang w:bidi="ar"/>
                    </w:rPr>
                    <w:t>4</w:t>
                  </w:r>
                </w:p>
              </w:tc>
              <w:tc>
                <w:tcPr>
                  <w:tcW w:w="777" w:type="pct"/>
                  <w:vAlign w:val="center"/>
                </w:tcPr>
                <w:p w14:paraId="2E8F77BE">
                  <w:pPr>
                    <w:widowControl/>
                    <w:jc w:val="center"/>
                    <w:textAlignment w:val="center"/>
                    <w:rPr>
                      <w:color w:val="auto"/>
                      <w:sz w:val="18"/>
                      <w:szCs w:val="18"/>
                    </w:rPr>
                  </w:pPr>
                  <w:r>
                    <w:rPr>
                      <w:color w:val="auto"/>
                      <w:kern w:val="0"/>
                      <w:sz w:val="18"/>
                      <w:szCs w:val="18"/>
                      <w:lang w:bidi="ar"/>
                    </w:rPr>
                    <w:t>4</w:t>
                  </w:r>
                </w:p>
              </w:tc>
              <w:tc>
                <w:tcPr>
                  <w:tcW w:w="1178" w:type="pct"/>
                  <w:vAlign w:val="center"/>
                </w:tcPr>
                <w:p w14:paraId="50F19069">
                  <w:pPr>
                    <w:pStyle w:val="55"/>
                    <w:spacing w:before="24" w:after="24" w:line="240" w:lineRule="auto"/>
                    <w:rPr>
                      <w:rFonts w:ascii="Times New Roman"/>
                      <w:color w:val="auto"/>
                      <w:sz w:val="18"/>
                      <w:szCs w:val="18"/>
                    </w:rPr>
                  </w:pPr>
                </w:p>
              </w:tc>
              <w:tc>
                <w:tcPr>
                  <w:tcW w:w="716" w:type="pct"/>
                  <w:vAlign w:val="center"/>
                </w:tcPr>
                <w:p w14:paraId="5E3DE48F">
                  <w:pPr>
                    <w:pStyle w:val="55"/>
                    <w:spacing w:before="24" w:after="24" w:line="240" w:lineRule="auto"/>
                    <w:rPr>
                      <w:rFonts w:ascii="Times New Roman"/>
                      <w:color w:val="auto"/>
                      <w:sz w:val="18"/>
                      <w:szCs w:val="18"/>
                    </w:rPr>
                  </w:pPr>
                </w:p>
              </w:tc>
            </w:tr>
            <w:tr w14:paraId="16C1B9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401" w:type="pct"/>
                  <w:vMerge w:val="continue"/>
                  <w:vAlign w:val="center"/>
                </w:tcPr>
                <w:p w14:paraId="5B034FCF">
                  <w:pPr>
                    <w:pStyle w:val="55"/>
                    <w:spacing w:before="24" w:after="24" w:line="240" w:lineRule="auto"/>
                    <w:rPr>
                      <w:rFonts w:ascii="Times New Roman"/>
                      <w:color w:val="auto"/>
                      <w:sz w:val="18"/>
                      <w:szCs w:val="18"/>
                    </w:rPr>
                  </w:pPr>
                </w:p>
              </w:tc>
              <w:tc>
                <w:tcPr>
                  <w:tcW w:w="1188" w:type="pct"/>
                  <w:vAlign w:val="center"/>
                </w:tcPr>
                <w:p w14:paraId="2919A5AC">
                  <w:pPr>
                    <w:widowControl/>
                    <w:jc w:val="center"/>
                    <w:textAlignment w:val="center"/>
                    <w:rPr>
                      <w:color w:val="auto"/>
                      <w:sz w:val="18"/>
                      <w:szCs w:val="18"/>
                    </w:rPr>
                  </w:pPr>
                  <w:r>
                    <w:rPr>
                      <w:color w:val="auto"/>
                      <w:kern w:val="0"/>
                      <w:sz w:val="18"/>
                      <w:szCs w:val="18"/>
                      <w:lang w:bidi="ar"/>
                    </w:rPr>
                    <w:t>二甲基乙酰胺</w:t>
                  </w:r>
                </w:p>
              </w:tc>
              <w:tc>
                <w:tcPr>
                  <w:tcW w:w="736" w:type="pct"/>
                  <w:vAlign w:val="center"/>
                </w:tcPr>
                <w:p w14:paraId="57F5796C">
                  <w:pPr>
                    <w:widowControl/>
                    <w:jc w:val="center"/>
                    <w:textAlignment w:val="center"/>
                    <w:rPr>
                      <w:color w:val="auto"/>
                      <w:sz w:val="18"/>
                      <w:szCs w:val="18"/>
                    </w:rPr>
                  </w:pPr>
                  <w:r>
                    <w:rPr>
                      <w:color w:val="auto"/>
                      <w:kern w:val="0"/>
                      <w:sz w:val="18"/>
                      <w:szCs w:val="18"/>
                      <w:lang w:bidi="ar"/>
                    </w:rPr>
                    <w:t>4</w:t>
                  </w:r>
                </w:p>
              </w:tc>
              <w:tc>
                <w:tcPr>
                  <w:tcW w:w="777" w:type="pct"/>
                  <w:vAlign w:val="center"/>
                </w:tcPr>
                <w:p w14:paraId="7F3FF813">
                  <w:pPr>
                    <w:widowControl/>
                    <w:jc w:val="center"/>
                    <w:textAlignment w:val="center"/>
                    <w:rPr>
                      <w:color w:val="auto"/>
                      <w:sz w:val="18"/>
                      <w:szCs w:val="18"/>
                    </w:rPr>
                  </w:pPr>
                  <w:r>
                    <w:rPr>
                      <w:color w:val="auto"/>
                      <w:kern w:val="0"/>
                      <w:sz w:val="18"/>
                      <w:szCs w:val="18"/>
                      <w:lang w:bidi="ar"/>
                    </w:rPr>
                    <w:t>4</w:t>
                  </w:r>
                </w:p>
              </w:tc>
              <w:tc>
                <w:tcPr>
                  <w:tcW w:w="1178" w:type="pct"/>
                  <w:vAlign w:val="center"/>
                </w:tcPr>
                <w:p w14:paraId="541CFAEB">
                  <w:pPr>
                    <w:pStyle w:val="55"/>
                    <w:spacing w:before="24" w:after="24" w:line="240" w:lineRule="auto"/>
                    <w:rPr>
                      <w:rFonts w:ascii="Times New Roman"/>
                      <w:color w:val="auto"/>
                      <w:sz w:val="18"/>
                      <w:szCs w:val="18"/>
                    </w:rPr>
                  </w:pPr>
                </w:p>
              </w:tc>
              <w:tc>
                <w:tcPr>
                  <w:tcW w:w="716" w:type="pct"/>
                  <w:vAlign w:val="center"/>
                </w:tcPr>
                <w:p w14:paraId="76D2F9B0">
                  <w:pPr>
                    <w:pStyle w:val="55"/>
                    <w:spacing w:before="24" w:after="24" w:line="240" w:lineRule="auto"/>
                    <w:rPr>
                      <w:rFonts w:ascii="Times New Roman"/>
                      <w:color w:val="auto"/>
                      <w:sz w:val="18"/>
                      <w:szCs w:val="18"/>
                    </w:rPr>
                  </w:pPr>
                </w:p>
              </w:tc>
            </w:tr>
            <w:tr w14:paraId="4A4BA2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401" w:type="pct"/>
                  <w:vMerge w:val="continue"/>
                  <w:vAlign w:val="center"/>
                </w:tcPr>
                <w:p w14:paraId="378A0E54">
                  <w:pPr>
                    <w:pStyle w:val="55"/>
                    <w:spacing w:before="24" w:after="24" w:line="240" w:lineRule="auto"/>
                    <w:rPr>
                      <w:rFonts w:ascii="Times New Roman"/>
                      <w:color w:val="auto"/>
                      <w:sz w:val="18"/>
                      <w:szCs w:val="18"/>
                    </w:rPr>
                  </w:pPr>
                </w:p>
              </w:tc>
              <w:tc>
                <w:tcPr>
                  <w:tcW w:w="1188" w:type="pct"/>
                  <w:vAlign w:val="center"/>
                </w:tcPr>
                <w:p w14:paraId="46548B13">
                  <w:pPr>
                    <w:widowControl/>
                    <w:jc w:val="center"/>
                    <w:textAlignment w:val="center"/>
                    <w:rPr>
                      <w:color w:val="auto"/>
                      <w:sz w:val="18"/>
                      <w:szCs w:val="18"/>
                    </w:rPr>
                  </w:pPr>
                  <w:r>
                    <w:rPr>
                      <w:color w:val="auto"/>
                      <w:kern w:val="0"/>
                      <w:sz w:val="18"/>
                      <w:szCs w:val="18"/>
                      <w:lang w:bidi="ar"/>
                    </w:rPr>
                    <w:t>二氧六环</w:t>
                  </w:r>
                </w:p>
              </w:tc>
              <w:tc>
                <w:tcPr>
                  <w:tcW w:w="736" w:type="pct"/>
                  <w:vAlign w:val="center"/>
                </w:tcPr>
                <w:p w14:paraId="34683A95">
                  <w:pPr>
                    <w:widowControl/>
                    <w:jc w:val="center"/>
                    <w:textAlignment w:val="center"/>
                    <w:rPr>
                      <w:color w:val="auto"/>
                      <w:sz w:val="18"/>
                      <w:szCs w:val="18"/>
                    </w:rPr>
                  </w:pPr>
                  <w:r>
                    <w:rPr>
                      <w:color w:val="auto"/>
                      <w:kern w:val="0"/>
                      <w:sz w:val="18"/>
                      <w:szCs w:val="18"/>
                      <w:lang w:bidi="ar"/>
                    </w:rPr>
                    <w:t>3</w:t>
                  </w:r>
                </w:p>
              </w:tc>
              <w:tc>
                <w:tcPr>
                  <w:tcW w:w="777" w:type="pct"/>
                  <w:vAlign w:val="center"/>
                </w:tcPr>
                <w:p w14:paraId="1D9C4870">
                  <w:pPr>
                    <w:widowControl/>
                    <w:jc w:val="center"/>
                    <w:textAlignment w:val="center"/>
                    <w:rPr>
                      <w:color w:val="auto"/>
                      <w:sz w:val="18"/>
                      <w:szCs w:val="18"/>
                    </w:rPr>
                  </w:pPr>
                  <w:r>
                    <w:rPr>
                      <w:color w:val="auto"/>
                      <w:kern w:val="0"/>
                      <w:sz w:val="18"/>
                      <w:szCs w:val="18"/>
                      <w:lang w:bidi="ar"/>
                    </w:rPr>
                    <w:t>3</w:t>
                  </w:r>
                </w:p>
              </w:tc>
              <w:tc>
                <w:tcPr>
                  <w:tcW w:w="1178" w:type="pct"/>
                  <w:vAlign w:val="center"/>
                </w:tcPr>
                <w:p w14:paraId="0F93B028">
                  <w:pPr>
                    <w:pStyle w:val="55"/>
                    <w:spacing w:before="24" w:after="24" w:line="240" w:lineRule="auto"/>
                    <w:rPr>
                      <w:rFonts w:ascii="Times New Roman"/>
                      <w:color w:val="auto"/>
                      <w:sz w:val="18"/>
                      <w:szCs w:val="18"/>
                    </w:rPr>
                  </w:pPr>
                </w:p>
              </w:tc>
              <w:tc>
                <w:tcPr>
                  <w:tcW w:w="716" w:type="pct"/>
                  <w:vAlign w:val="center"/>
                </w:tcPr>
                <w:p w14:paraId="2FD99C3D">
                  <w:pPr>
                    <w:pStyle w:val="55"/>
                    <w:spacing w:before="24" w:after="24" w:line="240" w:lineRule="auto"/>
                    <w:rPr>
                      <w:rFonts w:ascii="Times New Roman"/>
                      <w:color w:val="auto"/>
                      <w:sz w:val="18"/>
                      <w:szCs w:val="18"/>
                    </w:rPr>
                  </w:pPr>
                </w:p>
              </w:tc>
            </w:tr>
            <w:tr w14:paraId="69F4D9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401" w:type="pct"/>
                  <w:vMerge w:val="continue"/>
                  <w:vAlign w:val="center"/>
                </w:tcPr>
                <w:p w14:paraId="52A060DD">
                  <w:pPr>
                    <w:pStyle w:val="55"/>
                    <w:spacing w:before="24" w:after="24" w:line="240" w:lineRule="auto"/>
                    <w:rPr>
                      <w:rFonts w:ascii="Times New Roman"/>
                      <w:color w:val="auto"/>
                      <w:sz w:val="18"/>
                      <w:szCs w:val="18"/>
                    </w:rPr>
                  </w:pPr>
                </w:p>
              </w:tc>
              <w:tc>
                <w:tcPr>
                  <w:tcW w:w="1188" w:type="pct"/>
                  <w:vAlign w:val="center"/>
                </w:tcPr>
                <w:p w14:paraId="6DB0D606">
                  <w:pPr>
                    <w:widowControl/>
                    <w:jc w:val="center"/>
                    <w:textAlignment w:val="center"/>
                    <w:rPr>
                      <w:color w:val="auto"/>
                      <w:sz w:val="18"/>
                      <w:szCs w:val="18"/>
                    </w:rPr>
                  </w:pPr>
                  <w:r>
                    <w:rPr>
                      <w:color w:val="auto"/>
                      <w:kern w:val="0"/>
                      <w:sz w:val="18"/>
                      <w:szCs w:val="18"/>
                      <w:lang w:bidi="ar"/>
                    </w:rPr>
                    <w:t>异丙苯</w:t>
                  </w:r>
                </w:p>
              </w:tc>
              <w:tc>
                <w:tcPr>
                  <w:tcW w:w="736" w:type="pct"/>
                  <w:vAlign w:val="center"/>
                </w:tcPr>
                <w:p w14:paraId="340F98EB">
                  <w:pPr>
                    <w:widowControl/>
                    <w:jc w:val="center"/>
                    <w:textAlignment w:val="center"/>
                    <w:rPr>
                      <w:color w:val="auto"/>
                      <w:sz w:val="18"/>
                      <w:szCs w:val="18"/>
                    </w:rPr>
                  </w:pPr>
                  <w:r>
                    <w:rPr>
                      <w:color w:val="auto"/>
                      <w:kern w:val="0"/>
                      <w:sz w:val="18"/>
                      <w:szCs w:val="18"/>
                      <w:lang w:bidi="ar"/>
                    </w:rPr>
                    <w:t>2</w:t>
                  </w:r>
                </w:p>
              </w:tc>
              <w:tc>
                <w:tcPr>
                  <w:tcW w:w="777" w:type="pct"/>
                  <w:vAlign w:val="center"/>
                </w:tcPr>
                <w:p w14:paraId="556A4936">
                  <w:pPr>
                    <w:widowControl/>
                    <w:jc w:val="center"/>
                    <w:textAlignment w:val="center"/>
                    <w:rPr>
                      <w:color w:val="auto"/>
                      <w:sz w:val="18"/>
                      <w:szCs w:val="18"/>
                    </w:rPr>
                  </w:pPr>
                  <w:r>
                    <w:rPr>
                      <w:color w:val="auto"/>
                      <w:kern w:val="0"/>
                      <w:sz w:val="18"/>
                      <w:szCs w:val="18"/>
                      <w:lang w:bidi="ar"/>
                    </w:rPr>
                    <w:t>2</w:t>
                  </w:r>
                </w:p>
              </w:tc>
              <w:tc>
                <w:tcPr>
                  <w:tcW w:w="1178" w:type="pct"/>
                  <w:vAlign w:val="center"/>
                </w:tcPr>
                <w:p w14:paraId="69876E49">
                  <w:pPr>
                    <w:pStyle w:val="55"/>
                    <w:spacing w:before="24" w:after="24" w:line="240" w:lineRule="auto"/>
                    <w:rPr>
                      <w:rFonts w:ascii="Times New Roman"/>
                      <w:color w:val="auto"/>
                      <w:sz w:val="18"/>
                      <w:szCs w:val="18"/>
                    </w:rPr>
                  </w:pPr>
                </w:p>
              </w:tc>
              <w:tc>
                <w:tcPr>
                  <w:tcW w:w="716" w:type="pct"/>
                  <w:vAlign w:val="center"/>
                </w:tcPr>
                <w:p w14:paraId="0B9EE647">
                  <w:pPr>
                    <w:pStyle w:val="55"/>
                    <w:spacing w:before="24" w:after="24" w:line="240" w:lineRule="auto"/>
                    <w:rPr>
                      <w:rFonts w:ascii="Times New Roman"/>
                      <w:color w:val="auto"/>
                      <w:sz w:val="18"/>
                      <w:szCs w:val="18"/>
                    </w:rPr>
                  </w:pPr>
                </w:p>
              </w:tc>
            </w:tr>
            <w:tr w14:paraId="599DFC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8" w:hRule="atLeast"/>
                <w:jc w:val="center"/>
              </w:trPr>
              <w:tc>
                <w:tcPr>
                  <w:tcW w:w="401" w:type="pct"/>
                  <w:vMerge w:val="continue"/>
                  <w:vAlign w:val="center"/>
                </w:tcPr>
                <w:p w14:paraId="714ECDC8">
                  <w:pPr>
                    <w:pStyle w:val="55"/>
                    <w:spacing w:before="24" w:after="24" w:line="240" w:lineRule="auto"/>
                    <w:rPr>
                      <w:rFonts w:ascii="Times New Roman"/>
                      <w:color w:val="auto"/>
                      <w:sz w:val="18"/>
                      <w:szCs w:val="18"/>
                    </w:rPr>
                  </w:pPr>
                </w:p>
              </w:tc>
              <w:tc>
                <w:tcPr>
                  <w:tcW w:w="1188" w:type="pct"/>
                  <w:vAlign w:val="center"/>
                </w:tcPr>
                <w:p w14:paraId="773963FE">
                  <w:pPr>
                    <w:widowControl/>
                    <w:jc w:val="center"/>
                    <w:textAlignment w:val="center"/>
                    <w:rPr>
                      <w:color w:val="auto"/>
                      <w:sz w:val="18"/>
                      <w:szCs w:val="18"/>
                    </w:rPr>
                  </w:pPr>
                  <w:r>
                    <w:rPr>
                      <w:color w:val="auto"/>
                      <w:kern w:val="0"/>
                      <w:sz w:val="18"/>
                      <w:szCs w:val="18"/>
                      <w:lang w:bidi="ar"/>
                    </w:rPr>
                    <w:t>对二甲苯</w:t>
                  </w:r>
                </w:p>
              </w:tc>
              <w:tc>
                <w:tcPr>
                  <w:tcW w:w="736" w:type="pct"/>
                  <w:vAlign w:val="center"/>
                </w:tcPr>
                <w:p w14:paraId="6FBE0EAB">
                  <w:pPr>
                    <w:widowControl/>
                    <w:jc w:val="center"/>
                    <w:textAlignment w:val="center"/>
                    <w:rPr>
                      <w:color w:val="auto"/>
                      <w:sz w:val="18"/>
                      <w:szCs w:val="18"/>
                    </w:rPr>
                  </w:pPr>
                  <w:r>
                    <w:rPr>
                      <w:color w:val="auto"/>
                      <w:kern w:val="0"/>
                      <w:sz w:val="18"/>
                      <w:szCs w:val="18"/>
                      <w:lang w:bidi="ar"/>
                    </w:rPr>
                    <w:t>2</w:t>
                  </w:r>
                </w:p>
              </w:tc>
              <w:tc>
                <w:tcPr>
                  <w:tcW w:w="777" w:type="pct"/>
                  <w:vAlign w:val="center"/>
                </w:tcPr>
                <w:p w14:paraId="694598A6">
                  <w:pPr>
                    <w:widowControl/>
                    <w:jc w:val="center"/>
                    <w:textAlignment w:val="center"/>
                    <w:rPr>
                      <w:color w:val="auto"/>
                      <w:sz w:val="18"/>
                      <w:szCs w:val="18"/>
                    </w:rPr>
                  </w:pPr>
                  <w:r>
                    <w:rPr>
                      <w:color w:val="auto"/>
                      <w:kern w:val="0"/>
                      <w:sz w:val="18"/>
                      <w:szCs w:val="18"/>
                      <w:lang w:bidi="ar"/>
                    </w:rPr>
                    <w:t>2</w:t>
                  </w:r>
                </w:p>
              </w:tc>
              <w:tc>
                <w:tcPr>
                  <w:tcW w:w="1178" w:type="pct"/>
                  <w:vAlign w:val="center"/>
                </w:tcPr>
                <w:p w14:paraId="2DFE131D">
                  <w:pPr>
                    <w:pStyle w:val="55"/>
                    <w:spacing w:before="24" w:after="24" w:line="240" w:lineRule="auto"/>
                    <w:rPr>
                      <w:rFonts w:ascii="Times New Roman"/>
                      <w:color w:val="auto"/>
                      <w:sz w:val="18"/>
                      <w:szCs w:val="18"/>
                    </w:rPr>
                  </w:pPr>
                </w:p>
              </w:tc>
              <w:tc>
                <w:tcPr>
                  <w:tcW w:w="716" w:type="pct"/>
                  <w:vAlign w:val="center"/>
                </w:tcPr>
                <w:p w14:paraId="07300E37">
                  <w:pPr>
                    <w:pStyle w:val="55"/>
                    <w:spacing w:before="24" w:after="24" w:line="240" w:lineRule="auto"/>
                    <w:rPr>
                      <w:rFonts w:ascii="Times New Roman"/>
                      <w:color w:val="auto"/>
                      <w:sz w:val="18"/>
                      <w:szCs w:val="18"/>
                    </w:rPr>
                  </w:pPr>
                </w:p>
              </w:tc>
            </w:tr>
            <w:tr w14:paraId="4D01F9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401" w:type="pct"/>
                  <w:vMerge w:val="continue"/>
                  <w:vAlign w:val="center"/>
                </w:tcPr>
                <w:p w14:paraId="1CF8B78B">
                  <w:pPr>
                    <w:pStyle w:val="55"/>
                    <w:spacing w:before="24" w:after="24" w:line="240" w:lineRule="auto"/>
                    <w:rPr>
                      <w:rFonts w:ascii="Times New Roman"/>
                      <w:color w:val="auto"/>
                      <w:sz w:val="18"/>
                      <w:szCs w:val="18"/>
                    </w:rPr>
                  </w:pPr>
                </w:p>
              </w:tc>
              <w:tc>
                <w:tcPr>
                  <w:tcW w:w="1188" w:type="pct"/>
                  <w:vAlign w:val="center"/>
                </w:tcPr>
                <w:p w14:paraId="0CA60C44">
                  <w:pPr>
                    <w:widowControl/>
                    <w:jc w:val="center"/>
                    <w:textAlignment w:val="center"/>
                    <w:rPr>
                      <w:color w:val="auto"/>
                      <w:sz w:val="18"/>
                      <w:szCs w:val="18"/>
                    </w:rPr>
                  </w:pPr>
                  <w:r>
                    <w:rPr>
                      <w:color w:val="auto"/>
                      <w:kern w:val="0"/>
                      <w:sz w:val="18"/>
                      <w:szCs w:val="18"/>
                      <w:lang w:bidi="ar"/>
                    </w:rPr>
                    <w:t>邻二甲苯</w:t>
                  </w:r>
                </w:p>
              </w:tc>
              <w:tc>
                <w:tcPr>
                  <w:tcW w:w="736" w:type="pct"/>
                  <w:vAlign w:val="center"/>
                </w:tcPr>
                <w:p w14:paraId="59314C17">
                  <w:pPr>
                    <w:widowControl/>
                    <w:jc w:val="center"/>
                    <w:textAlignment w:val="center"/>
                    <w:rPr>
                      <w:color w:val="auto"/>
                      <w:sz w:val="18"/>
                      <w:szCs w:val="18"/>
                    </w:rPr>
                  </w:pPr>
                  <w:r>
                    <w:rPr>
                      <w:color w:val="auto"/>
                      <w:kern w:val="0"/>
                      <w:sz w:val="18"/>
                      <w:szCs w:val="18"/>
                      <w:lang w:bidi="ar"/>
                    </w:rPr>
                    <w:t>2</w:t>
                  </w:r>
                </w:p>
              </w:tc>
              <w:tc>
                <w:tcPr>
                  <w:tcW w:w="777" w:type="pct"/>
                  <w:vAlign w:val="center"/>
                </w:tcPr>
                <w:p w14:paraId="534101D2">
                  <w:pPr>
                    <w:widowControl/>
                    <w:jc w:val="center"/>
                    <w:textAlignment w:val="center"/>
                    <w:rPr>
                      <w:color w:val="auto"/>
                      <w:sz w:val="18"/>
                      <w:szCs w:val="18"/>
                    </w:rPr>
                  </w:pPr>
                  <w:r>
                    <w:rPr>
                      <w:color w:val="auto"/>
                      <w:kern w:val="0"/>
                      <w:sz w:val="18"/>
                      <w:szCs w:val="18"/>
                      <w:lang w:bidi="ar"/>
                    </w:rPr>
                    <w:t>2</w:t>
                  </w:r>
                </w:p>
              </w:tc>
              <w:tc>
                <w:tcPr>
                  <w:tcW w:w="1178" w:type="pct"/>
                  <w:vAlign w:val="center"/>
                </w:tcPr>
                <w:p w14:paraId="7FEFAB9A">
                  <w:pPr>
                    <w:pStyle w:val="55"/>
                    <w:spacing w:before="24" w:after="24" w:line="240" w:lineRule="auto"/>
                    <w:rPr>
                      <w:rFonts w:ascii="Times New Roman"/>
                      <w:color w:val="auto"/>
                      <w:sz w:val="18"/>
                      <w:szCs w:val="18"/>
                    </w:rPr>
                  </w:pPr>
                </w:p>
              </w:tc>
              <w:tc>
                <w:tcPr>
                  <w:tcW w:w="716" w:type="pct"/>
                  <w:vAlign w:val="center"/>
                </w:tcPr>
                <w:p w14:paraId="28973CBD">
                  <w:pPr>
                    <w:pStyle w:val="55"/>
                    <w:spacing w:before="24" w:after="24" w:line="240" w:lineRule="auto"/>
                    <w:rPr>
                      <w:rFonts w:ascii="Times New Roman"/>
                      <w:color w:val="auto"/>
                      <w:sz w:val="18"/>
                      <w:szCs w:val="18"/>
                    </w:rPr>
                  </w:pPr>
                </w:p>
              </w:tc>
            </w:tr>
            <w:tr w14:paraId="5248FC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401" w:type="pct"/>
                  <w:vMerge w:val="continue"/>
                  <w:vAlign w:val="center"/>
                </w:tcPr>
                <w:p w14:paraId="5FE09595">
                  <w:pPr>
                    <w:pStyle w:val="55"/>
                    <w:spacing w:before="24" w:after="24" w:line="240" w:lineRule="auto"/>
                    <w:rPr>
                      <w:rFonts w:ascii="Times New Roman"/>
                      <w:color w:val="auto"/>
                      <w:sz w:val="18"/>
                      <w:szCs w:val="18"/>
                    </w:rPr>
                  </w:pPr>
                </w:p>
              </w:tc>
              <w:tc>
                <w:tcPr>
                  <w:tcW w:w="1188" w:type="pct"/>
                  <w:vAlign w:val="center"/>
                </w:tcPr>
                <w:p w14:paraId="45D76F30">
                  <w:pPr>
                    <w:widowControl/>
                    <w:jc w:val="center"/>
                    <w:textAlignment w:val="center"/>
                    <w:rPr>
                      <w:color w:val="auto"/>
                      <w:sz w:val="18"/>
                      <w:szCs w:val="18"/>
                    </w:rPr>
                  </w:pPr>
                  <w:r>
                    <w:rPr>
                      <w:color w:val="auto"/>
                      <w:kern w:val="0"/>
                      <w:sz w:val="18"/>
                      <w:szCs w:val="18"/>
                      <w:lang w:bidi="ar"/>
                    </w:rPr>
                    <w:t>间二甲苯</w:t>
                  </w:r>
                </w:p>
              </w:tc>
              <w:tc>
                <w:tcPr>
                  <w:tcW w:w="736" w:type="pct"/>
                  <w:vAlign w:val="center"/>
                </w:tcPr>
                <w:p w14:paraId="74D15A27">
                  <w:pPr>
                    <w:widowControl/>
                    <w:jc w:val="center"/>
                    <w:textAlignment w:val="center"/>
                    <w:rPr>
                      <w:color w:val="auto"/>
                      <w:sz w:val="18"/>
                      <w:szCs w:val="18"/>
                    </w:rPr>
                  </w:pPr>
                  <w:r>
                    <w:rPr>
                      <w:color w:val="auto"/>
                      <w:kern w:val="0"/>
                      <w:sz w:val="18"/>
                      <w:szCs w:val="18"/>
                      <w:lang w:bidi="ar"/>
                    </w:rPr>
                    <w:t>2</w:t>
                  </w:r>
                </w:p>
              </w:tc>
              <w:tc>
                <w:tcPr>
                  <w:tcW w:w="777" w:type="pct"/>
                  <w:vAlign w:val="center"/>
                </w:tcPr>
                <w:p w14:paraId="1E7C8295">
                  <w:pPr>
                    <w:widowControl/>
                    <w:jc w:val="center"/>
                    <w:textAlignment w:val="center"/>
                    <w:rPr>
                      <w:color w:val="auto"/>
                      <w:sz w:val="18"/>
                      <w:szCs w:val="18"/>
                    </w:rPr>
                  </w:pPr>
                  <w:r>
                    <w:rPr>
                      <w:color w:val="auto"/>
                      <w:kern w:val="0"/>
                      <w:sz w:val="18"/>
                      <w:szCs w:val="18"/>
                      <w:lang w:bidi="ar"/>
                    </w:rPr>
                    <w:t>2</w:t>
                  </w:r>
                </w:p>
              </w:tc>
              <w:tc>
                <w:tcPr>
                  <w:tcW w:w="1178" w:type="pct"/>
                  <w:vAlign w:val="center"/>
                </w:tcPr>
                <w:p w14:paraId="29AA3DB6">
                  <w:pPr>
                    <w:pStyle w:val="55"/>
                    <w:spacing w:before="24" w:after="24" w:line="240" w:lineRule="auto"/>
                    <w:rPr>
                      <w:rFonts w:ascii="Times New Roman"/>
                      <w:color w:val="auto"/>
                      <w:sz w:val="18"/>
                      <w:szCs w:val="18"/>
                    </w:rPr>
                  </w:pPr>
                </w:p>
              </w:tc>
              <w:tc>
                <w:tcPr>
                  <w:tcW w:w="716" w:type="pct"/>
                  <w:vAlign w:val="center"/>
                </w:tcPr>
                <w:p w14:paraId="030E2FB6">
                  <w:pPr>
                    <w:pStyle w:val="55"/>
                    <w:spacing w:before="24" w:after="24" w:line="240" w:lineRule="auto"/>
                    <w:rPr>
                      <w:rFonts w:ascii="Times New Roman"/>
                      <w:color w:val="auto"/>
                      <w:sz w:val="18"/>
                      <w:szCs w:val="18"/>
                    </w:rPr>
                  </w:pPr>
                </w:p>
              </w:tc>
            </w:tr>
            <w:tr w14:paraId="301A18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401" w:type="pct"/>
                  <w:vMerge w:val="continue"/>
                  <w:vAlign w:val="center"/>
                </w:tcPr>
                <w:p w14:paraId="55025116">
                  <w:pPr>
                    <w:pStyle w:val="55"/>
                    <w:spacing w:before="24" w:after="24" w:line="240" w:lineRule="auto"/>
                    <w:rPr>
                      <w:rFonts w:ascii="Times New Roman"/>
                      <w:color w:val="auto"/>
                      <w:sz w:val="18"/>
                      <w:szCs w:val="18"/>
                    </w:rPr>
                  </w:pPr>
                </w:p>
              </w:tc>
              <w:tc>
                <w:tcPr>
                  <w:tcW w:w="1188" w:type="pct"/>
                  <w:vAlign w:val="center"/>
                </w:tcPr>
                <w:p w14:paraId="54ED930E">
                  <w:pPr>
                    <w:widowControl/>
                    <w:jc w:val="center"/>
                    <w:textAlignment w:val="center"/>
                    <w:rPr>
                      <w:color w:val="auto"/>
                      <w:sz w:val="18"/>
                      <w:szCs w:val="18"/>
                    </w:rPr>
                  </w:pPr>
                  <w:r>
                    <w:rPr>
                      <w:color w:val="auto"/>
                      <w:kern w:val="0"/>
                      <w:sz w:val="18"/>
                      <w:szCs w:val="18"/>
                      <w:lang w:bidi="ar"/>
                    </w:rPr>
                    <w:t>苯乙烯</w:t>
                  </w:r>
                </w:p>
              </w:tc>
              <w:tc>
                <w:tcPr>
                  <w:tcW w:w="736" w:type="pct"/>
                  <w:vAlign w:val="center"/>
                </w:tcPr>
                <w:p w14:paraId="392F66AA">
                  <w:pPr>
                    <w:widowControl/>
                    <w:jc w:val="center"/>
                    <w:textAlignment w:val="center"/>
                    <w:rPr>
                      <w:color w:val="auto"/>
                      <w:sz w:val="18"/>
                      <w:szCs w:val="18"/>
                    </w:rPr>
                  </w:pPr>
                  <w:r>
                    <w:rPr>
                      <w:color w:val="auto"/>
                      <w:kern w:val="0"/>
                      <w:sz w:val="18"/>
                      <w:szCs w:val="18"/>
                      <w:lang w:bidi="ar"/>
                    </w:rPr>
                    <w:t>2</w:t>
                  </w:r>
                </w:p>
              </w:tc>
              <w:tc>
                <w:tcPr>
                  <w:tcW w:w="777" w:type="pct"/>
                  <w:vAlign w:val="center"/>
                </w:tcPr>
                <w:p w14:paraId="6A8254C8">
                  <w:pPr>
                    <w:widowControl/>
                    <w:jc w:val="center"/>
                    <w:textAlignment w:val="center"/>
                    <w:rPr>
                      <w:color w:val="auto"/>
                      <w:sz w:val="18"/>
                      <w:szCs w:val="18"/>
                    </w:rPr>
                  </w:pPr>
                  <w:r>
                    <w:rPr>
                      <w:color w:val="auto"/>
                      <w:kern w:val="0"/>
                      <w:sz w:val="18"/>
                      <w:szCs w:val="18"/>
                      <w:lang w:bidi="ar"/>
                    </w:rPr>
                    <w:t>2</w:t>
                  </w:r>
                </w:p>
              </w:tc>
              <w:tc>
                <w:tcPr>
                  <w:tcW w:w="1178" w:type="pct"/>
                  <w:vAlign w:val="center"/>
                </w:tcPr>
                <w:p w14:paraId="24FB725F">
                  <w:pPr>
                    <w:pStyle w:val="55"/>
                    <w:spacing w:before="24" w:after="24" w:line="240" w:lineRule="auto"/>
                    <w:rPr>
                      <w:rFonts w:ascii="Times New Roman"/>
                      <w:color w:val="auto"/>
                      <w:sz w:val="18"/>
                      <w:szCs w:val="18"/>
                    </w:rPr>
                  </w:pPr>
                </w:p>
              </w:tc>
              <w:tc>
                <w:tcPr>
                  <w:tcW w:w="716" w:type="pct"/>
                  <w:vAlign w:val="center"/>
                </w:tcPr>
                <w:p w14:paraId="5D5F67B3">
                  <w:pPr>
                    <w:pStyle w:val="55"/>
                    <w:spacing w:before="24" w:after="24" w:line="240" w:lineRule="auto"/>
                    <w:rPr>
                      <w:rFonts w:ascii="Times New Roman"/>
                      <w:color w:val="auto"/>
                      <w:sz w:val="18"/>
                      <w:szCs w:val="18"/>
                    </w:rPr>
                  </w:pPr>
                </w:p>
              </w:tc>
            </w:tr>
            <w:tr w14:paraId="731EF5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401" w:type="pct"/>
                  <w:vMerge w:val="continue"/>
                  <w:vAlign w:val="center"/>
                </w:tcPr>
                <w:p w14:paraId="743AAF82">
                  <w:pPr>
                    <w:rPr>
                      <w:color w:val="auto"/>
                    </w:rPr>
                  </w:pPr>
                </w:p>
                <w:p w14:paraId="0A6BFAA7">
                  <w:pPr>
                    <w:rPr>
                      <w:color w:val="auto"/>
                    </w:rPr>
                  </w:pPr>
                </w:p>
              </w:tc>
              <w:tc>
                <w:tcPr>
                  <w:tcW w:w="1188" w:type="pct"/>
                  <w:vAlign w:val="center"/>
                </w:tcPr>
                <w:p w14:paraId="6B7B85D9">
                  <w:pPr>
                    <w:widowControl/>
                    <w:jc w:val="center"/>
                    <w:textAlignment w:val="center"/>
                    <w:rPr>
                      <w:color w:val="auto"/>
                      <w:sz w:val="18"/>
                      <w:szCs w:val="18"/>
                    </w:rPr>
                  </w:pPr>
                  <w:r>
                    <w:rPr>
                      <w:color w:val="auto"/>
                      <w:kern w:val="0"/>
                      <w:sz w:val="18"/>
                      <w:szCs w:val="18"/>
                      <w:lang w:bidi="ar"/>
                    </w:rPr>
                    <w:t>苯酚</w:t>
                  </w:r>
                </w:p>
              </w:tc>
              <w:tc>
                <w:tcPr>
                  <w:tcW w:w="736" w:type="pct"/>
                  <w:vAlign w:val="center"/>
                </w:tcPr>
                <w:p w14:paraId="7CCAC3F9">
                  <w:pPr>
                    <w:widowControl/>
                    <w:jc w:val="center"/>
                    <w:textAlignment w:val="center"/>
                    <w:rPr>
                      <w:color w:val="auto"/>
                      <w:sz w:val="18"/>
                      <w:szCs w:val="18"/>
                    </w:rPr>
                  </w:pPr>
                  <w:r>
                    <w:rPr>
                      <w:color w:val="auto"/>
                      <w:kern w:val="0"/>
                      <w:sz w:val="18"/>
                      <w:szCs w:val="18"/>
                      <w:lang w:bidi="ar"/>
                    </w:rPr>
                    <w:t>2</w:t>
                  </w:r>
                </w:p>
              </w:tc>
              <w:tc>
                <w:tcPr>
                  <w:tcW w:w="777" w:type="pct"/>
                  <w:vAlign w:val="center"/>
                </w:tcPr>
                <w:p w14:paraId="09CD2843">
                  <w:pPr>
                    <w:widowControl/>
                    <w:jc w:val="center"/>
                    <w:textAlignment w:val="center"/>
                    <w:rPr>
                      <w:color w:val="auto"/>
                      <w:sz w:val="18"/>
                      <w:szCs w:val="18"/>
                    </w:rPr>
                  </w:pPr>
                  <w:r>
                    <w:rPr>
                      <w:color w:val="auto"/>
                      <w:kern w:val="0"/>
                      <w:sz w:val="18"/>
                      <w:szCs w:val="18"/>
                      <w:lang w:bidi="ar"/>
                    </w:rPr>
                    <w:t>2</w:t>
                  </w:r>
                </w:p>
              </w:tc>
              <w:tc>
                <w:tcPr>
                  <w:tcW w:w="1178" w:type="pct"/>
                  <w:vAlign w:val="center"/>
                </w:tcPr>
                <w:p w14:paraId="1E8E4F1C">
                  <w:pPr>
                    <w:pStyle w:val="55"/>
                    <w:spacing w:before="24" w:after="24" w:line="240" w:lineRule="auto"/>
                    <w:rPr>
                      <w:rFonts w:ascii="Times New Roman"/>
                      <w:color w:val="auto"/>
                      <w:sz w:val="18"/>
                      <w:szCs w:val="18"/>
                    </w:rPr>
                  </w:pPr>
                </w:p>
              </w:tc>
              <w:tc>
                <w:tcPr>
                  <w:tcW w:w="716" w:type="pct"/>
                  <w:vAlign w:val="center"/>
                </w:tcPr>
                <w:p w14:paraId="547DA48F">
                  <w:pPr>
                    <w:pStyle w:val="55"/>
                    <w:spacing w:before="24" w:after="24" w:line="240" w:lineRule="auto"/>
                    <w:rPr>
                      <w:rFonts w:ascii="Times New Roman"/>
                      <w:color w:val="auto"/>
                      <w:sz w:val="18"/>
                      <w:szCs w:val="18"/>
                    </w:rPr>
                  </w:pPr>
                </w:p>
              </w:tc>
            </w:tr>
            <w:tr w14:paraId="573C8E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401" w:type="pct"/>
                  <w:vMerge w:val="continue"/>
                  <w:vAlign w:val="center"/>
                </w:tcPr>
                <w:p w14:paraId="05B9B9D4">
                  <w:pPr>
                    <w:rPr>
                      <w:color w:val="auto"/>
                    </w:rPr>
                  </w:pPr>
                </w:p>
              </w:tc>
              <w:tc>
                <w:tcPr>
                  <w:tcW w:w="1188" w:type="pct"/>
                  <w:vAlign w:val="center"/>
                </w:tcPr>
                <w:p w14:paraId="411AB715">
                  <w:pPr>
                    <w:widowControl/>
                    <w:jc w:val="center"/>
                    <w:textAlignment w:val="center"/>
                    <w:rPr>
                      <w:color w:val="auto"/>
                      <w:sz w:val="18"/>
                      <w:szCs w:val="18"/>
                    </w:rPr>
                  </w:pPr>
                  <w:r>
                    <w:rPr>
                      <w:color w:val="auto"/>
                      <w:kern w:val="0"/>
                      <w:sz w:val="18"/>
                      <w:szCs w:val="18"/>
                      <w:lang w:bidi="ar"/>
                    </w:rPr>
                    <w:t>苯胺</w:t>
                  </w:r>
                </w:p>
              </w:tc>
              <w:tc>
                <w:tcPr>
                  <w:tcW w:w="736" w:type="pct"/>
                  <w:vAlign w:val="center"/>
                </w:tcPr>
                <w:p w14:paraId="38EE7BE4">
                  <w:pPr>
                    <w:widowControl/>
                    <w:jc w:val="center"/>
                    <w:textAlignment w:val="center"/>
                    <w:rPr>
                      <w:color w:val="auto"/>
                      <w:sz w:val="18"/>
                      <w:szCs w:val="18"/>
                    </w:rPr>
                  </w:pPr>
                  <w:r>
                    <w:rPr>
                      <w:color w:val="auto"/>
                      <w:kern w:val="0"/>
                      <w:sz w:val="18"/>
                      <w:szCs w:val="18"/>
                      <w:lang w:bidi="ar"/>
                    </w:rPr>
                    <w:t>2</w:t>
                  </w:r>
                </w:p>
              </w:tc>
              <w:tc>
                <w:tcPr>
                  <w:tcW w:w="777" w:type="pct"/>
                  <w:vAlign w:val="center"/>
                </w:tcPr>
                <w:p w14:paraId="3013BCCF">
                  <w:pPr>
                    <w:widowControl/>
                    <w:jc w:val="center"/>
                    <w:textAlignment w:val="center"/>
                    <w:rPr>
                      <w:color w:val="auto"/>
                      <w:sz w:val="18"/>
                      <w:szCs w:val="18"/>
                    </w:rPr>
                  </w:pPr>
                  <w:r>
                    <w:rPr>
                      <w:color w:val="auto"/>
                      <w:kern w:val="0"/>
                      <w:sz w:val="18"/>
                      <w:szCs w:val="18"/>
                      <w:lang w:bidi="ar"/>
                    </w:rPr>
                    <w:t>2</w:t>
                  </w:r>
                </w:p>
              </w:tc>
              <w:tc>
                <w:tcPr>
                  <w:tcW w:w="1178" w:type="pct"/>
                  <w:vAlign w:val="center"/>
                </w:tcPr>
                <w:p w14:paraId="003F2905">
                  <w:pPr>
                    <w:pStyle w:val="55"/>
                    <w:spacing w:before="24" w:after="24" w:line="240" w:lineRule="auto"/>
                    <w:rPr>
                      <w:rFonts w:ascii="Times New Roman"/>
                      <w:color w:val="auto"/>
                      <w:sz w:val="18"/>
                      <w:szCs w:val="18"/>
                    </w:rPr>
                  </w:pPr>
                </w:p>
              </w:tc>
              <w:tc>
                <w:tcPr>
                  <w:tcW w:w="716" w:type="pct"/>
                  <w:vAlign w:val="center"/>
                </w:tcPr>
                <w:p w14:paraId="121553CD">
                  <w:pPr>
                    <w:pStyle w:val="55"/>
                    <w:spacing w:before="24" w:after="24" w:line="240" w:lineRule="auto"/>
                    <w:rPr>
                      <w:rFonts w:ascii="Times New Roman"/>
                      <w:color w:val="auto"/>
                      <w:sz w:val="18"/>
                      <w:szCs w:val="18"/>
                    </w:rPr>
                  </w:pPr>
                </w:p>
              </w:tc>
            </w:tr>
            <w:tr w14:paraId="7F3758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401" w:type="pct"/>
                  <w:vMerge w:val="continue"/>
                  <w:vAlign w:val="center"/>
                </w:tcPr>
                <w:p w14:paraId="75AF02D0">
                  <w:pPr>
                    <w:rPr>
                      <w:color w:val="auto"/>
                    </w:rPr>
                  </w:pPr>
                </w:p>
              </w:tc>
              <w:tc>
                <w:tcPr>
                  <w:tcW w:w="1188" w:type="pct"/>
                  <w:vAlign w:val="center"/>
                </w:tcPr>
                <w:p w14:paraId="560BE131">
                  <w:pPr>
                    <w:widowControl/>
                    <w:jc w:val="center"/>
                    <w:textAlignment w:val="center"/>
                    <w:rPr>
                      <w:color w:val="auto"/>
                      <w:sz w:val="18"/>
                      <w:szCs w:val="18"/>
                    </w:rPr>
                  </w:pPr>
                  <w:r>
                    <w:rPr>
                      <w:color w:val="auto"/>
                      <w:kern w:val="0"/>
                      <w:sz w:val="18"/>
                      <w:szCs w:val="18"/>
                      <w:lang w:bidi="ar"/>
                    </w:rPr>
                    <w:t>β-环柠檬醛</w:t>
                  </w:r>
                </w:p>
              </w:tc>
              <w:tc>
                <w:tcPr>
                  <w:tcW w:w="736" w:type="pct"/>
                  <w:vAlign w:val="center"/>
                </w:tcPr>
                <w:p w14:paraId="20CB09EA">
                  <w:pPr>
                    <w:widowControl/>
                    <w:jc w:val="center"/>
                    <w:textAlignment w:val="center"/>
                    <w:rPr>
                      <w:color w:val="auto"/>
                      <w:sz w:val="18"/>
                      <w:szCs w:val="18"/>
                    </w:rPr>
                  </w:pPr>
                  <w:r>
                    <w:rPr>
                      <w:color w:val="auto"/>
                      <w:kern w:val="0"/>
                      <w:sz w:val="18"/>
                      <w:szCs w:val="18"/>
                      <w:lang w:bidi="ar"/>
                    </w:rPr>
                    <w:t>0.5</w:t>
                  </w:r>
                </w:p>
              </w:tc>
              <w:tc>
                <w:tcPr>
                  <w:tcW w:w="777" w:type="pct"/>
                  <w:vAlign w:val="center"/>
                </w:tcPr>
                <w:p w14:paraId="28482C2D">
                  <w:pPr>
                    <w:widowControl/>
                    <w:jc w:val="center"/>
                    <w:textAlignment w:val="center"/>
                    <w:rPr>
                      <w:color w:val="auto"/>
                      <w:sz w:val="18"/>
                      <w:szCs w:val="18"/>
                    </w:rPr>
                  </w:pPr>
                  <w:r>
                    <w:rPr>
                      <w:color w:val="auto"/>
                      <w:kern w:val="0"/>
                      <w:sz w:val="18"/>
                      <w:szCs w:val="18"/>
                      <w:lang w:bidi="ar"/>
                    </w:rPr>
                    <w:t>0.5</w:t>
                  </w:r>
                </w:p>
              </w:tc>
              <w:tc>
                <w:tcPr>
                  <w:tcW w:w="1178" w:type="pct"/>
                  <w:vAlign w:val="center"/>
                </w:tcPr>
                <w:p w14:paraId="73D38FD7">
                  <w:pPr>
                    <w:pStyle w:val="55"/>
                    <w:spacing w:before="24" w:after="24" w:line="240" w:lineRule="auto"/>
                    <w:rPr>
                      <w:rFonts w:ascii="Times New Roman"/>
                      <w:color w:val="auto"/>
                      <w:sz w:val="18"/>
                      <w:szCs w:val="18"/>
                    </w:rPr>
                  </w:pPr>
                </w:p>
              </w:tc>
              <w:tc>
                <w:tcPr>
                  <w:tcW w:w="716" w:type="pct"/>
                  <w:vAlign w:val="center"/>
                </w:tcPr>
                <w:p w14:paraId="16420E9D">
                  <w:pPr>
                    <w:pStyle w:val="55"/>
                    <w:spacing w:before="24" w:after="24" w:line="240" w:lineRule="auto"/>
                    <w:rPr>
                      <w:rFonts w:ascii="Times New Roman"/>
                      <w:color w:val="auto"/>
                      <w:sz w:val="18"/>
                      <w:szCs w:val="18"/>
                    </w:rPr>
                  </w:pPr>
                </w:p>
              </w:tc>
            </w:tr>
            <w:tr w14:paraId="74596C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401" w:type="pct"/>
                  <w:vMerge w:val="continue"/>
                  <w:vAlign w:val="center"/>
                </w:tcPr>
                <w:p w14:paraId="095A74C8">
                  <w:pPr>
                    <w:rPr>
                      <w:color w:val="auto"/>
                    </w:rPr>
                  </w:pPr>
                </w:p>
              </w:tc>
              <w:tc>
                <w:tcPr>
                  <w:tcW w:w="1188" w:type="pct"/>
                  <w:vAlign w:val="center"/>
                </w:tcPr>
                <w:p w14:paraId="6E3ECEA2">
                  <w:pPr>
                    <w:widowControl/>
                    <w:jc w:val="center"/>
                    <w:textAlignment w:val="center"/>
                    <w:rPr>
                      <w:color w:val="auto"/>
                      <w:sz w:val="18"/>
                      <w:szCs w:val="18"/>
                    </w:rPr>
                  </w:pPr>
                  <w:r>
                    <w:rPr>
                      <w:color w:val="auto"/>
                      <w:kern w:val="0"/>
                      <w:sz w:val="18"/>
                      <w:szCs w:val="18"/>
                      <w:lang w:bidi="ar"/>
                    </w:rPr>
                    <w:t>2，4-二溴酚</w:t>
                  </w:r>
                </w:p>
              </w:tc>
              <w:tc>
                <w:tcPr>
                  <w:tcW w:w="736" w:type="pct"/>
                  <w:vAlign w:val="center"/>
                </w:tcPr>
                <w:p w14:paraId="7A89FC9B">
                  <w:pPr>
                    <w:widowControl/>
                    <w:jc w:val="center"/>
                    <w:textAlignment w:val="center"/>
                    <w:rPr>
                      <w:color w:val="auto"/>
                      <w:sz w:val="18"/>
                      <w:szCs w:val="18"/>
                    </w:rPr>
                  </w:pPr>
                  <w:r>
                    <w:rPr>
                      <w:color w:val="auto"/>
                      <w:kern w:val="0"/>
                      <w:sz w:val="18"/>
                      <w:szCs w:val="18"/>
                      <w:lang w:bidi="ar"/>
                    </w:rPr>
                    <w:t>0.5</w:t>
                  </w:r>
                </w:p>
              </w:tc>
              <w:tc>
                <w:tcPr>
                  <w:tcW w:w="777" w:type="pct"/>
                  <w:vAlign w:val="center"/>
                </w:tcPr>
                <w:p w14:paraId="1AACCBE9">
                  <w:pPr>
                    <w:widowControl/>
                    <w:jc w:val="center"/>
                    <w:textAlignment w:val="center"/>
                    <w:rPr>
                      <w:color w:val="auto"/>
                      <w:sz w:val="18"/>
                      <w:szCs w:val="18"/>
                    </w:rPr>
                  </w:pPr>
                  <w:r>
                    <w:rPr>
                      <w:color w:val="auto"/>
                      <w:kern w:val="0"/>
                      <w:sz w:val="18"/>
                      <w:szCs w:val="18"/>
                      <w:lang w:bidi="ar"/>
                    </w:rPr>
                    <w:t>0.5</w:t>
                  </w:r>
                </w:p>
              </w:tc>
              <w:tc>
                <w:tcPr>
                  <w:tcW w:w="1178" w:type="pct"/>
                  <w:vAlign w:val="center"/>
                </w:tcPr>
                <w:p w14:paraId="72175806">
                  <w:pPr>
                    <w:pStyle w:val="55"/>
                    <w:spacing w:before="24" w:after="24" w:line="240" w:lineRule="auto"/>
                    <w:rPr>
                      <w:rFonts w:ascii="Times New Roman"/>
                      <w:color w:val="auto"/>
                      <w:sz w:val="18"/>
                      <w:szCs w:val="18"/>
                    </w:rPr>
                  </w:pPr>
                </w:p>
              </w:tc>
              <w:tc>
                <w:tcPr>
                  <w:tcW w:w="716" w:type="pct"/>
                  <w:vAlign w:val="center"/>
                </w:tcPr>
                <w:p w14:paraId="0498C8BB">
                  <w:pPr>
                    <w:pStyle w:val="55"/>
                    <w:spacing w:before="24" w:after="24" w:line="240" w:lineRule="auto"/>
                    <w:rPr>
                      <w:rFonts w:ascii="Times New Roman"/>
                      <w:color w:val="auto"/>
                      <w:sz w:val="18"/>
                      <w:szCs w:val="18"/>
                    </w:rPr>
                  </w:pPr>
                </w:p>
              </w:tc>
            </w:tr>
            <w:tr w14:paraId="21EFC4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401" w:type="pct"/>
                  <w:vMerge w:val="continue"/>
                  <w:vAlign w:val="center"/>
                </w:tcPr>
                <w:p w14:paraId="25AFB729">
                  <w:pPr>
                    <w:rPr>
                      <w:color w:val="auto"/>
                    </w:rPr>
                  </w:pPr>
                </w:p>
              </w:tc>
              <w:tc>
                <w:tcPr>
                  <w:tcW w:w="1188" w:type="pct"/>
                  <w:vAlign w:val="center"/>
                </w:tcPr>
                <w:p w14:paraId="61126CD8">
                  <w:pPr>
                    <w:widowControl/>
                    <w:jc w:val="center"/>
                    <w:textAlignment w:val="center"/>
                    <w:rPr>
                      <w:color w:val="auto"/>
                      <w:sz w:val="18"/>
                      <w:szCs w:val="18"/>
                    </w:rPr>
                  </w:pPr>
                  <w:r>
                    <w:rPr>
                      <w:color w:val="auto"/>
                      <w:kern w:val="0"/>
                      <w:sz w:val="18"/>
                      <w:szCs w:val="18"/>
                      <w:lang w:bidi="ar"/>
                    </w:rPr>
                    <w:t>1，2-二溴丙烷</w:t>
                  </w:r>
                </w:p>
              </w:tc>
              <w:tc>
                <w:tcPr>
                  <w:tcW w:w="736" w:type="pct"/>
                  <w:vAlign w:val="center"/>
                </w:tcPr>
                <w:p w14:paraId="1AE68937">
                  <w:pPr>
                    <w:widowControl/>
                    <w:jc w:val="center"/>
                    <w:textAlignment w:val="center"/>
                    <w:rPr>
                      <w:color w:val="auto"/>
                      <w:sz w:val="18"/>
                      <w:szCs w:val="18"/>
                    </w:rPr>
                  </w:pPr>
                  <w:r>
                    <w:rPr>
                      <w:color w:val="auto"/>
                      <w:kern w:val="0"/>
                      <w:sz w:val="18"/>
                      <w:szCs w:val="18"/>
                      <w:lang w:bidi="ar"/>
                    </w:rPr>
                    <w:t>0.5</w:t>
                  </w:r>
                </w:p>
              </w:tc>
              <w:tc>
                <w:tcPr>
                  <w:tcW w:w="777" w:type="pct"/>
                  <w:vAlign w:val="center"/>
                </w:tcPr>
                <w:p w14:paraId="192AC84B">
                  <w:pPr>
                    <w:widowControl/>
                    <w:jc w:val="center"/>
                    <w:textAlignment w:val="center"/>
                    <w:rPr>
                      <w:color w:val="auto"/>
                      <w:sz w:val="18"/>
                      <w:szCs w:val="18"/>
                    </w:rPr>
                  </w:pPr>
                  <w:r>
                    <w:rPr>
                      <w:color w:val="auto"/>
                      <w:kern w:val="0"/>
                      <w:sz w:val="18"/>
                      <w:szCs w:val="18"/>
                      <w:lang w:bidi="ar"/>
                    </w:rPr>
                    <w:t>0.5</w:t>
                  </w:r>
                </w:p>
              </w:tc>
              <w:tc>
                <w:tcPr>
                  <w:tcW w:w="1178" w:type="pct"/>
                  <w:vAlign w:val="center"/>
                </w:tcPr>
                <w:p w14:paraId="19529966">
                  <w:pPr>
                    <w:pStyle w:val="55"/>
                    <w:spacing w:before="24" w:after="24" w:line="240" w:lineRule="auto"/>
                    <w:rPr>
                      <w:rFonts w:ascii="Times New Roman"/>
                      <w:color w:val="auto"/>
                      <w:sz w:val="18"/>
                      <w:szCs w:val="18"/>
                    </w:rPr>
                  </w:pPr>
                </w:p>
              </w:tc>
              <w:tc>
                <w:tcPr>
                  <w:tcW w:w="716" w:type="pct"/>
                  <w:vAlign w:val="center"/>
                </w:tcPr>
                <w:p w14:paraId="10D3A1B8">
                  <w:pPr>
                    <w:pStyle w:val="55"/>
                    <w:spacing w:before="24" w:after="24" w:line="240" w:lineRule="auto"/>
                    <w:rPr>
                      <w:rFonts w:ascii="Times New Roman"/>
                      <w:color w:val="auto"/>
                      <w:sz w:val="18"/>
                      <w:szCs w:val="18"/>
                    </w:rPr>
                  </w:pPr>
                </w:p>
              </w:tc>
            </w:tr>
            <w:tr w14:paraId="248DEF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401" w:type="pct"/>
                  <w:vMerge w:val="continue"/>
                  <w:vAlign w:val="center"/>
                </w:tcPr>
                <w:p w14:paraId="0644910B">
                  <w:pPr>
                    <w:rPr>
                      <w:color w:val="auto"/>
                    </w:rPr>
                  </w:pPr>
                </w:p>
              </w:tc>
              <w:tc>
                <w:tcPr>
                  <w:tcW w:w="1188" w:type="pct"/>
                  <w:vAlign w:val="center"/>
                </w:tcPr>
                <w:p w14:paraId="0F7CFF0F">
                  <w:pPr>
                    <w:widowControl/>
                    <w:jc w:val="center"/>
                    <w:textAlignment w:val="center"/>
                    <w:rPr>
                      <w:color w:val="auto"/>
                      <w:sz w:val="18"/>
                      <w:szCs w:val="18"/>
                    </w:rPr>
                  </w:pPr>
                  <w:r>
                    <w:rPr>
                      <w:color w:val="auto"/>
                      <w:kern w:val="0"/>
                      <w:sz w:val="18"/>
                      <w:szCs w:val="18"/>
                      <w:lang w:bidi="ar"/>
                    </w:rPr>
                    <w:t>4-溴氟苯</w:t>
                  </w:r>
                </w:p>
              </w:tc>
              <w:tc>
                <w:tcPr>
                  <w:tcW w:w="736" w:type="pct"/>
                  <w:vAlign w:val="center"/>
                </w:tcPr>
                <w:p w14:paraId="49518E6F">
                  <w:pPr>
                    <w:widowControl/>
                    <w:jc w:val="center"/>
                    <w:textAlignment w:val="center"/>
                    <w:rPr>
                      <w:color w:val="auto"/>
                      <w:sz w:val="18"/>
                      <w:szCs w:val="18"/>
                    </w:rPr>
                  </w:pPr>
                  <w:r>
                    <w:rPr>
                      <w:color w:val="auto"/>
                      <w:kern w:val="0"/>
                      <w:sz w:val="18"/>
                      <w:szCs w:val="18"/>
                      <w:lang w:bidi="ar"/>
                    </w:rPr>
                    <w:t>0.5</w:t>
                  </w:r>
                </w:p>
              </w:tc>
              <w:tc>
                <w:tcPr>
                  <w:tcW w:w="777" w:type="pct"/>
                  <w:vAlign w:val="center"/>
                </w:tcPr>
                <w:p w14:paraId="58D203B3">
                  <w:pPr>
                    <w:widowControl/>
                    <w:jc w:val="center"/>
                    <w:textAlignment w:val="center"/>
                    <w:rPr>
                      <w:color w:val="auto"/>
                      <w:sz w:val="18"/>
                      <w:szCs w:val="18"/>
                    </w:rPr>
                  </w:pPr>
                  <w:r>
                    <w:rPr>
                      <w:color w:val="auto"/>
                      <w:kern w:val="0"/>
                      <w:sz w:val="18"/>
                      <w:szCs w:val="18"/>
                      <w:lang w:bidi="ar"/>
                    </w:rPr>
                    <w:t>0.5</w:t>
                  </w:r>
                </w:p>
              </w:tc>
              <w:tc>
                <w:tcPr>
                  <w:tcW w:w="1178" w:type="pct"/>
                  <w:vAlign w:val="center"/>
                </w:tcPr>
                <w:p w14:paraId="0BE4DFE5">
                  <w:pPr>
                    <w:pStyle w:val="55"/>
                    <w:spacing w:before="24" w:after="24" w:line="240" w:lineRule="auto"/>
                    <w:rPr>
                      <w:rFonts w:ascii="Times New Roman"/>
                      <w:color w:val="auto"/>
                      <w:sz w:val="18"/>
                      <w:szCs w:val="18"/>
                    </w:rPr>
                  </w:pPr>
                </w:p>
              </w:tc>
              <w:tc>
                <w:tcPr>
                  <w:tcW w:w="716" w:type="pct"/>
                  <w:vAlign w:val="center"/>
                </w:tcPr>
                <w:p w14:paraId="666DFCF3">
                  <w:pPr>
                    <w:pStyle w:val="55"/>
                    <w:spacing w:before="24" w:after="24" w:line="240" w:lineRule="auto"/>
                    <w:rPr>
                      <w:rFonts w:ascii="Times New Roman"/>
                      <w:color w:val="auto"/>
                      <w:sz w:val="18"/>
                      <w:szCs w:val="18"/>
                    </w:rPr>
                  </w:pPr>
                </w:p>
              </w:tc>
            </w:tr>
            <w:tr w14:paraId="79E559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1" w:hRule="atLeast"/>
                <w:jc w:val="center"/>
              </w:trPr>
              <w:tc>
                <w:tcPr>
                  <w:tcW w:w="401" w:type="pct"/>
                  <w:vMerge w:val="continue"/>
                  <w:vAlign w:val="center"/>
                </w:tcPr>
                <w:p w14:paraId="7421AAC5">
                  <w:pPr>
                    <w:rPr>
                      <w:color w:val="auto"/>
                    </w:rPr>
                  </w:pPr>
                </w:p>
              </w:tc>
              <w:tc>
                <w:tcPr>
                  <w:tcW w:w="1188" w:type="pct"/>
                  <w:vAlign w:val="center"/>
                </w:tcPr>
                <w:p w14:paraId="4AA12CF2">
                  <w:pPr>
                    <w:widowControl/>
                    <w:jc w:val="center"/>
                    <w:textAlignment w:val="center"/>
                    <w:rPr>
                      <w:color w:val="auto"/>
                      <w:sz w:val="18"/>
                      <w:szCs w:val="18"/>
                    </w:rPr>
                  </w:pPr>
                  <w:r>
                    <w:rPr>
                      <w:color w:val="auto"/>
                      <w:kern w:val="0"/>
                      <w:sz w:val="18"/>
                      <w:szCs w:val="18"/>
                      <w:lang w:bidi="ar"/>
                    </w:rPr>
                    <w:t>2-异丁基-3-甲氧基吡嗪</w:t>
                  </w:r>
                </w:p>
              </w:tc>
              <w:tc>
                <w:tcPr>
                  <w:tcW w:w="736" w:type="pct"/>
                  <w:vAlign w:val="center"/>
                </w:tcPr>
                <w:p w14:paraId="2446109D">
                  <w:pPr>
                    <w:widowControl/>
                    <w:jc w:val="center"/>
                    <w:textAlignment w:val="center"/>
                    <w:rPr>
                      <w:color w:val="auto"/>
                      <w:sz w:val="18"/>
                      <w:szCs w:val="18"/>
                    </w:rPr>
                  </w:pPr>
                  <w:r>
                    <w:rPr>
                      <w:color w:val="auto"/>
                      <w:kern w:val="0"/>
                      <w:sz w:val="18"/>
                      <w:szCs w:val="18"/>
                      <w:lang w:bidi="ar"/>
                    </w:rPr>
                    <w:t>0.5</w:t>
                  </w:r>
                </w:p>
              </w:tc>
              <w:tc>
                <w:tcPr>
                  <w:tcW w:w="777" w:type="pct"/>
                  <w:vAlign w:val="center"/>
                </w:tcPr>
                <w:p w14:paraId="2EF82290">
                  <w:pPr>
                    <w:widowControl/>
                    <w:jc w:val="center"/>
                    <w:textAlignment w:val="center"/>
                    <w:rPr>
                      <w:color w:val="auto"/>
                      <w:sz w:val="18"/>
                      <w:szCs w:val="18"/>
                    </w:rPr>
                  </w:pPr>
                  <w:r>
                    <w:rPr>
                      <w:color w:val="auto"/>
                      <w:kern w:val="0"/>
                      <w:sz w:val="18"/>
                      <w:szCs w:val="18"/>
                      <w:lang w:bidi="ar"/>
                    </w:rPr>
                    <w:t>0.5</w:t>
                  </w:r>
                </w:p>
              </w:tc>
              <w:tc>
                <w:tcPr>
                  <w:tcW w:w="1178" w:type="pct"/>
                  <w:vAlign w:val="center"/>
                </w:tcPr>
                <w:p w14:paraId="0052CBC1">
                  <w:pPr>
                    <w:pStyle w:val="55"/>
                    <w:spacing w:before="24" w:after="24" w:line="240" w:lineRule="auto"/>
                    <w:rPr>
                      <w:rFonts w:ascii="Times New Roman"/>
                      <w:color w:val="auto"/>
                      <w:sz w:val="18"/>
                      <w:szCs w:val="18"/>
                    </w:rPr>
                  </w:pPr>
                </w:p>
              </w:tc>
              <w:tc>
                <w:tcPr>
                  <w:tcW w:w="716" w:type="pct"/>
                  <w:vAlign w:val="center"/>
                </w:tcPr>
                <w:p w14:paraId="035F4BA3">
                  <w:pPr>
                    <w:pStyle w:val="55"/>
                    <w:spacing w:before="24" w:after="24" w:line="240" w:lineRule="auto"/>
                    <w:rPr>
                      <w:rFonts w:ascii="Times New Roman"/>
                      <w:color w:val="auto"/>
                      <w:sz w:val="18"/>
                      <w:szCs w:val="18"/>
                    </w:rPr>
                  </w:pPr>
                </w:p>
              </w:tc>
            </w:tr>
            <w:tr w14:paraId="13B77F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401" w:type="pct"/>
                  <w:vMerge w:val="continue"/>
                  <w:vAlign w:val="center"/>
                </w:tcPr>
                <w:p w14:paraId="6E9DB477">
                  <w:pPr>
                    <w:rPr>
                      <w:color w:val="auto"/>
                    </w:rPr>
                  </w:pPr>
                </w:p>
              </w:tc>
              <w:tc>
                <w:tcPr>
                  <w:tcW w:w="1188" w:type="pct"/>
                  <w:vAlign w:val="center"/>
                </w:tcPr>
                <w:p w14:paraId="3321268D">
                  <w:pPr>
                    <w:widowControl/>
                    <w:jc w:val="center"/>
                    <w:textAlignment w:val="center"/>
                    <w:rPr>
                      <w:color w:val="auto"/>
                      <w:sz w:val="18"/>
                      <w:szCs w:val="18"/>
                    </w:rPr>
                  </w:pPr>
                  <w:r>
                    <w:rPr>
                      <w:color w:val="auto"/>
                      <w:kern w:val="0"/>
                      <w:sz w:val="18"/>
                      <w:szCs w:val="18"/>
                      <w:lang w:bidi="ar"/>
                    </w:rPr>
                    <w:t>2-异丙基-3-甲氧基吡嗪</w:t>
                  </w:r>
                </w:p>
              </w:tc>
              <w:tc>
                <w:tcPr>
                  <w:tcW w:w="736" w:type="pct"/>
                  <w:vAlign w:val="center"/>
                </w:tcPr>
                <w:p w14:paraId="19D0C9AA">
                  <w:pPr>
                    <w:widowControl/>
                    <w:jc w:val="center"/>
                    <w:textAlignment w:val="center"/>
                    <w:rPr>
                      <w:color w:val="auto"/>
                      <w:sz w:val="18"/>
                      <w:szCs w:val="18"/>
                    </w:rPr>
                  </w:pPr>
                  <w:r>
                    <w:rPr>
                      <w:color w:val="auto"/>
                      <w:kern w:val="0"/>
                      <w:sz w:val="18"/>
                      <w:szCs w:val="18"/>
                      <w:lang w:bidi="ar"/>
                    </w:rPr>
                    <w:t>0.5</w:t>
                  </w:r>
                </w:p>
              </w:tc>
              <w:tc>
                <w:tcPr>
                  <w:tcW w:w="777" w:type="pct"/>
                  <w:vAlign w:val="center"/>
                </w:tcPr>
                <w:p w14:paraId="79D53B72">
                  <w:pPr>
                    <w:widowControl/>
                    <w:jc w:val="center"/>
                    <w:textAlignment w:val="center"/>
                    <w:rPr>
                      <w:color w:val="auto"/>
                      <w:sz w:val="18"/>
                      <w:szCs w:val="18"/>
                    </w:rPr>
                  </w:pPr>
                  <w:r>
                    <w:rPr>
                      <w:color w:val="auto"/>
                      <w:kern w:val="0"/>
                      <w:sz w:val="18"/>
                      <w:szCs w:val="18"/>
                      <w:lang w:bidi="ar"/>
                    </w:rPr>
                    <w:t>0.5</w:t>
                  </w:r>
                </w:p>
              </w:tc>
              <w:tc>
                <w:tcPr>
                  <w:tcW w:w="1178" w:type="pct"/>
                  <w:vAlign w:val="center"/>
                </w:tcPr>
                <w:p w14:paraId="04568991">
                  <w:pPr>
                    <w:pStyle w:val="55"/>
                    <w:spacing w:before="24" w:after="24" w:line="240" w:lineRule="auto"/>
                    <w:rPr>
                      <w:rFonts w:ascii="Times New Roman"/>
                      <w:color w:val="auto"/>
                      <w:sz w:val="18"/>
                      <w:szCs w:val="18"/>
                    </w:rPr>
                  </w:pPr>
                </w:p>
              </w:tc>
              <w:tc>
                <w:tcPr>
                  <w:tcW w:w="716" w:type="pct"/>
                  <w:vAlign w:val="center"/>
                </w:tcPr>
                <w:p w14:paraId="06E82A9D">
                  <w:pPr>
                    <w:pStyle w:val="55"/>
                    <w:spacing w:before="24" w:after="24" w:line="240" w:lineRule="auto"/>
                    <w:rPr>
                      <w:rFonts w:ascii="Times New Roman"/>
                      <w:color w:val="auto"/>
                      <w:sz w:val="18"/>
                      <w:szCs w:val="18"/>
                    </w:rPr>
                  </w:pPr>
                </w:p>
              </w:tc>
            </w:tr>
            <w:tr w14:paraId="52087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401" w:type="pct"/>
                  <w:vMerge w:val="continue"/>
                  <w:vAlign w:val="center"/>
                </w:tcPr>
                <w:p w14:paraId="01A659F7">
                  <w:pPr>
                    <w:rPr>
                      <w:color w:val="auto"/>
                    </w:rPr>
                  </w:pPr>
                </w:p>
              </w:tc>
              <w:tc>
                <w:tcPr>
                  <w:tcW w:w="1188" w:type="pct"/>
                  <w:vAlign w:val="center"/>
                </w:tcPr>
                <w:p w14:paraId="65D5FC3F">
                  <w:pPr>
                    <w:widowControl/>
                    <w:jc w:val="center"/>
                    <w:textAlignment w:val="center"/>
                    <w:rPr>
                      <w:color w:val="auto"/>
                      <w:sz w:val="18"/>
                      <w:szCs w:val="18"/>
                    </w:rPr>
                  </w:pPr>
                  <w:r>
                    <w:rPr>
                      <w:color w:val="auto"/>
                      <w:kern w:val="0"/>
                      <w:sz w:val="18"/>
                      <w:szCs w:val="18"/>
                      <w:lang w:bidi="ar"/>
                    </w:rPr>
                    <w:t>β-紫罗兰酮</w:t>
                  </w:r>
                </w:p>
              </w:tc>
              <w:tc>
                <w:tcPr>
                  <w:tcW w:w="736" w:type="pct"/>
                  <w:vAlign w:val="center"/>
                </w:tcPr>
                <w:p w14:paraId="5D3ADA79">
                  <w:pPr>
                    <w:widowControl/>
                    <w:jc w:val="center"/>
                    <w:textAlignment w:val="center"/>
                    <w:rPr>
                      <w:color w:val="auto"/>
                      <w:sz w:val="18"/>
                      <w:szCs w:val="18"/>
                    </w:rPr>
                  </w:pPr>
                  <w:r>
                    <w:rPr>
                      <w:color w:val="auto"/>
                      <w:kern w:val="0"/>
                      <w:sz w:val="18"/>
                      <w:szCs w:val="18"/>
                      <w:lang w:bidi="ar"/>
                    </w:rPr>
                    <w:t>0.5</w:t>
                  </w:r>
                </w:p>
              </w:tc>
              <w:tc>
                <w:tcPr>
                  <w:tcW w:w="777" w:type="pct"/>
                  <w:vAlign w:val="center"/>
                </w:tcPr>
                <w:p w14:paraId="35DC343E">
                  <w:pPr>
                    <w:widowControl/>
                    <w:jc w:val="center"/>
                    <w:textAlignment w:val="center"/>
                    <w:rPr>
                      <w:color w:val="auto"/>
                      <w:sz w:val="18"/>
                      <w:szCs w:val="18"/>
                    </w:rPr>
                  </w:pPr>
                  <w:r>
                    <w:rPr>
                      <w:color w:val="auto"/>
                      <w:kern w:val="0"/>
                      <w:sz w:val="18"/>
                      <w:szCs w:val="18"/>
                      <w:lang w:bidi="ar"/>
                    </w:rPr>
                    <w:t>0.5</w:t>
                  </w:r>
                </w:p>
              </w:tc>
              <w:tc>
                <w:tcPr>
                  <w:tcW w:w="1178" w:type="pct"/>
                  <w:vAlign w:val="center"/>
                </w:tcPr>
                <w:p w14:paraId="5BCCF1A8">
                  <w:pPr>
                    <w:pStyle w:val="55"/>
                    <w:spacing w:before="24" w:after="24" w:line="240" w:lineRule="auto"/>
                    <w:rPr>
                      <w:rFonts w:ascii="Times New Roman"/>
                      <w:color w:val="auto"/>
                      <w:sz w:val="18"/>
                      <w:szCs w:val="18"/>
                    </w:rPr>
                  </w:pPr>
                </w:p>
              </w:tc>
              <w:tc>
                <w:tcPr>
                  <w:tcW w:w="716" w:type="pct"/>
                  <w:vAlign w:val="center"/>
                </w:tcPr>
                <w:p w14:paraId="605FB0A4">
                  <w:pPr>
                    <w:pStyle w:val="55"/>
                    <w:spacing w:before="24" w:after="24" w:line="240" w:lineRule="auto"/>
                    <w:rPr>
                      <w:rFonts w:ascii="Times New Roman"/>
                      <w:color w:val="auto"/>
                      <w:sz w:val="18"/>
                      <w:szCs w:val="18"/>
                    </w:rPr>
                  </w:pPr>
                </w:p>
              </w:tc>
            </w:tr>
            <w:tr w14:paraId="23CAAC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6" w:hRule="atLeast"/>
                <w:jc w:val="center"/>
              </w:trPr>
              <w:tc>
                <w:tcPr>
                  <w:tcW w:w="401" w:type="pct"/>
                  <w:vMerge w:val="continue"/>
                  <w:vAlign w:val="center"/>
                </w:tcPr>
                <w:p w14:paraId="290B1FFB">
                  <w:pPr>
                    <w:rPr>
                      <w:color w:val="auto"/>
                    </w:rPr>
                  </w:pPr>
                </w:p>
              </w:tc>
              <w:tc>
                <w:tcPr>
                  <w:tcW w:w="1188" w:type="pct"/>
                  <w:vAlign w:val="center"/>
                </w:tcPr>
                <w:p w14:paraId="2AD6A4D2">
                  <w:pPr>
                    <w:widowControl/>
                    <w:jc w:val="center"/>
                    <w:textAlignment w:val="center"/>
                    <w:rPr>
                      <w:color w:val="auto"/>
                      <w:sz w:val="18"/>
                      <w:szCs w:val="18"/>
                    </w:rPr>
                  </w:pPr>
                  <w:r>
                    <w:rPr>
                      <w:color w:val="auto"/>
                      <w:kern w:val="0"/>
                      <w:sz w:val="18"/>
                      <w:szCs w:val="18"/>
                      <w:lang w:bidi="ar"/>
                    </w:rPr>
                    <w:t>N-亚硝基正丙胺-D14</w:t>
                  </w:r>
                </w:p>
              </w:tc>
              <w:tc>
                <w:tcPr>
                  <w:tcW w:w="736" w:type="pct"/>
                  <w:vAlign w:val="center"/>
                </w:tcPr>
                <w:p w14:paraId="077DCE74">
                  <w:pPr>
                    <w:widowControl/>
                    <w:jc w:val="center"/>
                    <w:textAlignment w:val="center"/>
                    <w:rPr>
                      <w:color w:val="auto"/>
                      <w:sz w:val="18"/>
                      <w:szCs w:val="18"/>
                    </w:rPr>
                  </w:pPr>
                  <w:r>
                    <w:rPr>
                      <w:color w:val="auto"/>
                      <w:kern w:val="0"/>
                      <w:sz w:val="18"/>
                      <w:szCs w:val="18"/>
                      <w:lang w:bidi="ar"/>
                    </w:rPr>
                    <w:t>0.5</w:t>
                  </w:r>
                </w:p>
              </w:tc>
              <w:tc>
                <w:tcPr>
                  <w:tcW w:w="777" w:type="pct"/>
                  <w:vAlign w:val="center"/>
                </w:tcPr>
                <w:p w14:paraId="0065FA88">
                  <w:pPr>
                    <w:widowControl/>
                    <w:jc w:val="center"/>
                    <w:textAlignment w:val="center"/>
                    <w:rPr>
                      <w:color w:val="auto"/>
                      <w:sz w:val="18"/>
                      <w:szCs w:val="18"/>
                    </w:rPr>
                  </w:pPr>
                  <w:r>
                    <w:rPr>
                      <w:color w:val="auto"/>
                      <w:kern w:val="0"/>
                      <w:sz w:val="18"/>
                      <w:szCs w:val="18"/>
                      <w:lang w:bidi="ar"/>
                    </w:rPr>
                    <w:t>0.5</w:t>
                  </w:r>
                </w:p>
              </w:tc>
              <w:tc>
                <w:tcPr>
                  <w:tcW w:w="1178" w:type="pct"/>
                  <w:vAlign w:val="center"/>
                </w:tcPr>
                <w:p w14:paraId="6348E455">
                  <w:pPr>
                    <w:pStyle w:val="55"/>
                    <w:spacing w:before="24" w:after="24" w:line="240" w:lineRule="auto"/>
                    <w:rPr>
                      <w:rFonts w:ascii="Times New Roman"/>
                      <w:color w:val="auto"/>
                      <w:sz w:val="18"/>
                      <w:szCs w:val="18"/>
                    </w:rPr>
                  </w:pPr>
                </w:p>
              </w:tc>
              <w:tc>
                <w:tcPr>
                  <w:tcW w:w="716" w:type="pct"/>
                  <w:vAlign w:val="center"/>
                </w:tcPr>
                <w:p w14:paraId="7E6C822B">
                  <w:pPr>
                    <w:pStyle w:val="55"/>
                    <w:spacing w:before="24" w:after="24" w:line="240" w:lineRule="auto"/>
                    <w:rPr>
                      <w:rFonts w:ascii="Times New Roman"/>
                      <w:color w:val="auto"/>
                      <w:sz w:val="18"/>
                      <w:szCs w:val="18"/>
                    </w:rPr>
                  </w:pPr>
                </w:p>
              </w:tc>
            </w:tr>
            <w:tr w14:paraId="5CA88A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401" w:type="pct"/>
                  <w:vMerge w:val="continue"/>
                  <w:vAlign w:val="center"/>
                </w:tcPr>
                <w:p w14:paraId="31458E5E">
                  <w:pPr>
                    <w:rPr>
                      <w:color w:val="auto"/>
                    </w:rPr>
                  </w:pPr>
                </w:p>
              </w:tc>
              <w:tc>
                <w:tcPr>
                  <w:tcW w:w="1188" w:type="pct"/>
                  <w:vAlign w:val="center"/>
                </w:tcPr>
                <w:p w14:paraId="54736B89">
                  <w:pPr>
                    <w:widowControl/>
                    <w:jc w:val="center"/>
                    <w:textAlignment w:val="center"/>
                    <w:rPr>
                      <w:color w:val="auto"/>
                      <w:sz w:val="18"/>
                      <w:szCs w:val="18"/>
                    </w:rPr>
                  </w:pPr>
                  <w:r>
                    <w:rPr>
                      <w:color w:val="auto"/>
                      <w:kern w:val="0"/>
                      <w:sz w:val="18"/>
                      <w:szCs w:val="18"/>
                      <w:lang w:bidi="ar"/>
                    </w:rPr>
                    <w:t>2,4,6-三氯苯甲醚</w:t>
                  </w:r>
                </w:p>
              </w:tc>
              <w:tc>
                <w:tcPr>
                  <w:tcW w:w="736" w:type="pct"/>
                  <w:vAlign w:val="center"/>
                </w:tcPr>
                <w:p w14:paraId="6AF15A3B">
                  <w:pPr>
                    <w:widowControl/>
                    <w:jc w:val="center"/>
                    <w:textAlignment w:val="center"/>
                    <w:rPr>
                      <w:color w:val="auto"/>
                      <w:sz w:val="18"/>
                      <w:szCs w:val="18"/>
                    </w:rPr>
                  </w:pPr>
                  <w:r>
                    <w:rPr>
                      <w:color w:val="auto"/>
                      <w:kern w:val="0"/>
                      <w:sz w:val="18"/>
                      <w:szCs w:val="18"/>
                      <w:lang w:bidi="ar"/>
                    </w:rPr>
                    <w:t>0.5</w:t>
                  </w:r>
                </w:p>
              </w:tc>
              <w:tc>
                <w:tcPr>
                  <w:tcW w:w="777" w:type="pct"/>
                  <w:vAlign w:val="center"/>
                </w:tcPr>
                <w:p w14:paraId="481F861D">
                  <w:pPr>
                    <w:widowControl/>
                    <w:jc w:val="center"/>
                    <w:textAlignment w:val="center"/>
                    <w:rPr>
                      <w:color w:val="auto"/>
                      <w:sz w:val="18"/>
                      <w:szCs w:val="18"/>
                    </w:rPr>
                  </w:pPr>
                  <w:r>
                    <w:rPr>
                      <w:color w:val="auto"/>
                      <w:kern w:val="0"/>
                      <w:sz w:val="18"/>
                      <w:szCs w:val="18"/>
                      <w:lang w:bidi="ar"/>
                    </w:rPr>
                    <w:t>0.5</w:t>
                  </w:r>
                </w:p>
              </w:tc>
              <w:tc>
                <w:tcPr>
                  <w:tcW w:w="1178" w:type="pct"/>
                  <w:vAlign w:val="center"/>
                </w:tcPr>
                <w:p w14:paraId="7C68E9F6">
                  <w:pPr>
                    <w:pStyle w:val="55"/>
                    <w:spacing w:before="24" w:after="24" w:line="240" w:lineRule="auto"/>
                    <w:rPr>
                      <w:rFonts w:ascii="Times New Roman"/>
                      <w:color w:val="auto"/>
                      <w:sz w:val="18"/>
                      <w:szCs w:val="18"/>
                    </w:rPr>
                  </w:pPr>
                </w:p>
              </w:tc>
              <w:tc>
                <w:tcPr>
                  <w:tcW w:w="716" w:type="pct"/>
                  <w:vAlign w:val="center"/>
                </w:tcPr>
                <w:p w14:paraId="5FE483FE">
                  <w:pPr>
                    <w:pStyle w:val="55"/>
                    <w:spacing w:before="24" w:after="24" w:line="240" w:lineRule="auto"/>
                    <w:rPr>
                      <w:rFonts w:ascii="Times New Roman"/>
                      <w:color w:val="auto"/>
                      <w:sz w:val="18"/>
                      <w:szCs w:val="18"/>
                    </w:rPr>
                  </w:pPr>
                </w:p>
              </w:tc>
            </w:tr>
            <w:tr w14:paraId="02B27A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401" w:type="pct"/>
                  <w:vMerge w:val="continue"/>
                  <w:vAlign w:val="center"/>
                </w:tcPr>
                <w:p w14:paraId="48D2772C">
                  <w:pPr>
                    <w:rPr>
                      <w:color w:val="auto"/>
                    </w:rPr>
                  </w:pPr>
                </w:p>
              </w:tc>
              <w:tc>
                <w:tcPr>
                  <w:tcW w:w="1188" w:type="pct"/>
                  <w:vAlign w:val="center"/>
                </w:tcPr>
                <w:p w14:paraId="4D32A016">
                  <w:pPr>
                    <w:widowControl/>
                    <w:jc w:val="center"/>
                    <w:textAlignment w:val="center"/>
                    <w:rPr>
                      <w:color w:val="auto"/>
                      <w:sz w:val="18"/>
                      <w:szCs w:val="18"/>
                    </w:rPr>
                  </w:pPr>
                  <w:r>
                    <w:rPr>
                      <w:color w:val="auto"/>
                      <w:kern w:val="0"/>
                      <w:sz w:val="18"/>
                      <w:szCs w:val="18"/>
                      <w:lang w:bidi="ar"/>
                    </w:rPr>
                    <w:t>2,3,6-三氯苯甲醚</w:t>
                  </w:r>
                </w:p>
              </w:tc>
              <w:tc>
                <w:tcPr>
                  <w:tcW w:w="736" w:type="pct"/>
                  <w:vAlign w:val="center"/>
                </w:tcPr>
                <w:p w14:paraId="2A344250">
                  <w:pPr>
                    <w:widowControl/>
                    <w:jc w:val="center"/>
                    <w:textAlignment w:val="center"/>
                    <w:rPr>
                      <w:color w:val="auto"/>
                      <w:sz w:val="18"/>
                      <w:szCs w:val="18"/>
                    </w:rPr>
                  </w:pPr>
                  <w:r>
                    <w:rPr>
                      <w:color w:val="auto"/>
                      <w:kern w:val="0"/>
                      <w:sz w:val="18"/>
                      <w:szCs w:val="18"/>
                      <w:lang w:bidi="ar"/>
                    </w:rPr>
                    <w:t>0.5</w:t>
                  </w:r>
                </w:p>
              </w:tc>
              <w:tc>
                <w:tcPr>
                  <w:tcW w:w="777" w:type="pct"/>
                  <w:vAlign w:val="center"/>
                </w:tcPr>
                <w:p w14:paraId="31E0B421">
                  <w:pPr>
                    <w:widowControl/>
                    <w:jc w:val="center"/>
                    <w:textAlignment w:val="center"/>
                    <w:rPr>
                      <w:color w:val="auto"/>
                      <w:sz w:val="18"/>
                      <w:szCs w:val="18"/>
                    </w:rPr>
                  </w:pPr>
                  <w:r>
                    <w:rPr>
                      <w:color w:val="auto"/>
                      <w:kern w:val="0"/>
                      <w:sz w:val="18"/>
                      <w:szCs w:val="18"/>
                      <w:lang w:bidi="ar"/>
                    </w:rPr>
                    <w:t>0.5</w:t>
                  </w:r>
                </w:p>
              </w:tc>
              <w:tc>
                <w:tcPr>
                  <w:tcW w:w="1178" w:type="pct"/>
                  <w:vAlign w:val="center"/>
                </w:tcPr>
                <w:p w14:paraId="146B3141">
                  <w:pPr>
                    <w:pStyle w:val="55"/>
                    <w:spacing w:before="24" w:after="24" w:line="240" w:lineRule="auto"/>
                    <w:rPr>
                      <w:rFonts w:ascii="Times New Roman"/>
                      <w:color w:val="auto"/>
                      <w:sz w:val="18"/>
                      <w:szCs w:val="18"/>
                    </w:rPr>
                  </w:pPr>
                </w:p>
              </w:tc>
              <w:tc>
                <w:tcPr>
                  <w:tcW w:w="716" w:type="pct"/>
                  <w:vAlign w:val="center"/>
                </w:tcPr>
                <w:p w14:paraId="6F4D473A">
                  <w:pPr>
                    <w:pStyle w:val="55"/>
                    <w:spacing w:before="24" w:after="24" w:line="240" w:lineRule="auto"/>
                    <w:rPr>
                      <w:rFonts w:ascii="Times New Roman"/>
                      <w:color w:val="auto"/>
                      <w:sz w:val="18"/>
                      <w:szCs w:val="18"/>
                    </w:rPr>
                  </w:pPr>
                </w:p>
              </w:tc>
            </w:tr>
            <w:tr w14:paraId="082902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401" w:type="pct"/>
                  <w:vMerge w:val="continue"/>
                  <w:vAlign w:val="center"/>
                </w:tcPr>
                <w:p w14:paraId="1408BE99">
                  <w:pPr>
                    <w:rPr>
                      <w:color w:val="auto"/>
                    </w:rPr>
                  </w:pPr>
                </w:p>
              </w:tc>
              <w:tc>
                <w:tcPr>
                  <w:tcW w:w="1188" w:type="pct"/>
                  <w:vAlign w:val="center"/>
                </w:tcPr>
                <w:p w14:paraId="2E84A2CA">
                  <w:pPr>
                    <w:widowControl/>
                    <w:jc w:val="center"/>
                    <w:textAlignment w:val="center"/>
                    <w:rPr>
                      <w:color w:val="auto"/>
                      <w:sz w:val="18"/>
                      <w:szCs w:val="18"/>
                    </w:rPr>
                  </w:pPr>
                  <w:r>
                    <w:rPr>
                      <w:color w:val="auto"/>
                      <w:kern w:val="0"/>
                      <w:sz w:val="18"/>
                      <w:szCs w:val="18"/>
                      <w:lang w:bidi="ar"/>
                    </w:rPr>
                    <w:t>2,3,4-三氯苯甲醚</w:t>
                  </w:r>
                </w:p>
              </w:tc>
              <w:tc>
                <w:tcPr>
                  <w:tcW w:w="736" w:type="pct"/>
                  <w:vAlign w:val="center"/>
                </w:tcPr>
                <w:p w14:paraId="3165FA7F">
                  <w:pPr>
                    <w:widowControl/>
                    <w:jc w:val="center"/>
                    <w:textAlignment w:val="center"/>
                    <w:rPr>
                      <w:color w:val="auto"/>
                      <w:sz w:val="18"/>
                      <w:szCs w:val="18"/>
                    </w:rPr>
                  </w:pPr>
                  <w:r>
                    <w:rPr>
                      <w:color w:val="auto"/>
                      <w:kern w:val="0"/>
                      <w:sz w:val="18"/>
                      <w:szCs w:val="18"/>
                      <w:lang w:bidi="ar"/>
                    </w:rPr>
                    <w:t>0.5</w:t>
                  </w:r>
                </w:p>
              </w:tc>
              <w:tc>
                <w:tcPr>
                  <w:tcW w:w="777" w:type="pct"/>
                  <w:vAlign w:val="center"/>
                </w:tcPr>
                <w:p w14:paraId="3047AF2E">
                  <w:pPr>
                    <w:widowControl/>
                    <w:jc w:val="center"/>
                    <w:textAlignment w:val="center"/>
                    <w:rPr>
                      <w:color w:val="auto"/>
                      <w:sz w:val="18"/>
                      <w:szCs w:val="18"/>
                    </w:rPr>
                  </w:pPr>
                  <w:r>
                    <w:rPr>
                      <w:color w:val="auto"/>
                      <w:kern w:val="0"/>
                      <w:sz w:val="18"/>
                      <w:szCs w:val="18"/>
                      <w:lang w:bidi="ar"/>
                    </w:rPr>
                    <w:t>0.5</w:t>
                  </w:r>
                </w:p>
              </w:tc>
              <w:tc>
                <w:tcPr>
                  <w:tcW w:w="1178" w:type="pct"/>
                  <w:vAlign w:val="center"/>
                </w:tcPr>
                <w:p w14:paraId="491857C5">
                  <w:pPr>
                    <w:pStyle w:val="55"/>
                    <w:spacing w:before="24" w:after="24" w:line="240" w:lineRule="auto"/>
                    <w:rPr>
                      <w:rFonts w:ascii="Times New Roman"/>
                      <w:color w:val="auto"/>
                      <w:sz w:val="18"/>
                      <w:szCs w:val="18"/>
                    </w:rPr>
                  </w:pPr>
                </w:p>
              </w:tc>
              <w:tc>
                <w:tcPr>
                  <w:tcW w:w="716" w:type="pct"/>
                  <w:vAlign w:val="center"/>
                </w:tcPr>
                <w:p w14:paraId="45EBF529">
                  <w:pPr>
                    <w:pStyle w:val="55"/>
                    <w:spacing w:before="24" w:after="24" w:line="240" w:lineRule="auto"/>
                    <w:rPr>
                      <w:rFonts w:ascii="Times New Roman"/>
                      <w:color w:val="auto"/>
                      <w:sz w:val="18"/>
                      <w:szCs w:val="18"/>
                    </w:rPr>
                  </w:pPr>
                </w:p>
              </w:tc>
            </w:tr>
            <w:tr w14:paraId="0BB151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2326" w:type="pct"/>
                  <w:gridSpan w:val="3"/>
                  <w:vAlign w:val="center"/>
                </w:tcPr>
                <w:p w14:paraId="2851FC2F">
                  <w:pPr>
                    <w:pStyle w:val="55"/>
                    <w:spacing w:before="24" w:after="24" w:line="240" w:lineRule="auto"/>
                    <w:rPr>
                      <w:rFonts w:ascii="Times New Roman"/>
                      <w:color w:val="auto"/>
                      <w:sz w:val="18"/>
                      <w:szCs w:val="18"/>
                    </w:rPr>
                  </w:pPr>
                  <w:r>
                    <w:rPr>
                      <w:rFonts w:ascii="Times New Roman"/>
                      <w:color w:val="auto"/>
                      <w:sz w:val="18"/>
                      <w:szCs w:val="18"/>
                    </w:rPr>
                    <w:t>合计</w:t>
                  </w:r>
                </w:p>
              </w:tc>
              <w:tc>
                <w:tcPr>
                  <w:tcW w:w="777" w:type="pct"/>
                  <w:vAlign w:val="center"/>
                </w:tcPr>
                <w:p w14:paraId="6C44716F">
                  <w:pPr>
                    <w:pStyle w:val="55"/>
                    <w:spacing w:before="24" w:after="24" w:line="240" w:lineRule="auto"/>
                    <w:rPr>
                      <w:rFonts w:hint="default" w:ascii="Times New Roman" w:eastAsia="宋体"/>
                      <w:color w:val="auto"/>
                      <w:sz w:val="18"/>
                      <w:szCs w:val="18"/>
                      <w:lang w:val="en-US" w:eastAsia="zh-CN"/>
                    </w:rPr>
                  </w:pPr>
                  <w:r>
                    <w:rPr>
                      <w:rFonts w:ascii="Times New Roman"/>
                      <w:color w:val="auto"/>
                      <w:sz w:val="18"/>
                      <w:szCs w:val="18"/>
                    </w:rPr>
                    <w:t>3</w:t>
                  </w:r>
                  <w:r>
                    <w:rPr>
                      <w:rFonts w:hint="eastAsia" w:ascii="Times New Roman"/>
                      <w:color w:val="auto"/>
                      <w:sz w:val="18"/>
                      <w:szCs w:val="18"/>
                      <w:lang w:val="en-US" w:eastAsia="zh-CN"/>
                    </w:rPr>
                    <w:t>68</w:t>
                  </w:r>
                </w:p>
              </w:tc>
              <w:tc>
                <w:tcPr>
                  <w:tcW w:w="1178" w:type="pct"/>
                  <w:vAlign w:val="center"/>
                </w:tcPr>
                <w:p w14:paraId="18C0B1C7">
                  <w:pPr>
                    <w:pStyle w:val="55"/>
                    <w:spacing w:before="24" w:after="24" w:line="240" w:lineRule="auto"/>
                    <w:rPr>
                      <w:rFonts w:ascii="Times New Roman"/>
                      <w:color w:val="auto"/>
                      <w:sz w:val="18"/>
                      <w:szCs w:val="18"/>
                    </w:rPr>
                  </w:pPr>
                  <w:r>
                    <w:rPr>
                      <w:rFonts w:ascii="Times New Roman"/>
                      <w:color w:val="auto"/>
                      <w:sz w:val="18"/>
                      <w:szCs w:val="18"/>
                    </w:rPr>
                    <w:t>合计</w:t>
                  </w:r>
                </w:p>
              </w:tc>
              <w:tc>
                <w:tcPr>
                  <w:tcW w:w="716" w:type="pct"/>
                  <w:vAlign w:val="center"/>
                </w:tcPr>
                <w:p w14:paraId="3370DBE9">
                  <w:pPr>
                    <w:pStyle w:val="55"/>
                    <w:spacing w:before="24" w:after="24" w:line="240" w:lineRule="auto"/>
                    <w:rPr>
                      <w:rFonts w:hint="default" w:ascii="Times New Roman" w:eastAsia="宋体"/>
                      <w:color w:val="auto"/>
                      <w:sz w:val="18"/>
                      <w:szCs w:val="18"/>
                      <w:lang w:val="en-US" w:eastAsia="zh-CN"/>
                    </w:rPr>
                  </w:pPr>
                  <w:r>
                    <w:rPr>
                      <w:rFonts w:hint="eastAsia" w:ascii="Times New Roman"/>
                      <w:color w:val="auto"/>
                      <w:sz w:val="18"/>
                      <w:szCs w:val="18"/>
                      <w:lang w:val="en-US" w:eastAsia="zh-CN"/>
                    </w:rPr>
                    <w:t>368</w:t>
                  </w:r>
                </w:p>
              </w:tc>
            </w:tr>
          </w:tbl>
          <w:p w14:paraId="2C8EF136">
            <w:pPr>
              <w:adjustRightInd w:val="0"/>
              <w:snapToGrid w:val="0"/>
              <w:spacing w:line="360" w:lineRule="auto"/>
              <w:ind w:firstLine="446" w:firstLineChars="200"/>
              <w:jc w:val="left"/>
              <w:rPr>
                <w:b/>
                <w:bCs/>
                <w:color w:val="auto"/>
                <w:spacing w:val="6"/>
                <w:szCs w:val="21"/>
                <w:shd w:val="clear" w:color="auto" w:fill="FFFFFF"/>
              </w:rPr>
            </w:pPr>
            <w:r>
              <w:rPr>
                <w:rFonts w:hint="eastAsia"/>
                <w:b/>
                <w:bCs/>
                <w:color w:val="auto"/>
                <w:spacing w:val="6"/>
                <w:szCs w:val="21"/>
                <w:shd w:val="clear" w:color="auto" w:fill="FFFFFF"/>
              </w:rPr>
              <w:t>8</w:t>
            </w:r>
            <w:r>
              <w:rPr>
                <w:b/>
                <w:bCs/>
                <w:color w:val="auto"/>
                <w:spacing w:val="6"/>
                <w:szCs w:val="21"/>
                <w:shd w:val="clear" w:color="auto" w:fill="FFFFFF"/>
              </w:rPr>
              <w:t>.劳动定员及工作制度</w:t>
            </w:r>
          </w:p>
          <w:p w14:paraId="02C87A30">
            <w:pPr>
              <w:adjustRightInd w:val="0"/>
              <w:snapToGrid w:val="0"/>
              <w:spacing w:line="360" w:lineRule="auto"/>
              <w:ind w:firstLine="444" w:firstLineChars="200"/>
              <w:rPr>
                <w:color w:val="auto"/>
                <w:spacing w:val="6"/>
                <w:szCs w:val="21"/>
                <w:shd w:val="clear" w:color="auto" w:fill="FFFFFF"/>
              </w:rPr>
            </w:pPr>
            <w:r>
              <w:rPr>
                <w:color w:val="auto"/>
                <w:spacing w:val="6"/>
                <w:szCs w:val="21"/>
                <w:shd w:val="clear" w:color="auto" w:fill="FFFFFF"/>
              </w:rPr>
              <w:t>劳动定员：企业职工人数</w:t>
            </w:r>
            <w:r>
              <w:rPr>
                <w:rFonts w:hint="eastAsia"/>
                <w:color w:val="auto"/>
                <w:spacing w:val="6"/>
                <w:szCs w:val="21"/>
                <w:shd w:val="clear" w:color="auto" w:fill="FFFFFF"/>
              </w:rPr>
              <w:t>10</w:t>
            </w:r>
            <w:r>
              <w:rPr>
                <w:color w:val="auto"/>
                <w:spacing w:val="6"/>
                <w:szCs w:val="21"/>
                <w:shd w:val="clear" w:color="auto" w:fill="FFFFFF"/>
              </w:rPr>
              <w:t>人，</w:t>
            </w:r>
            <w:r>
              <w:rPr>
                <w:rFonts w:hint="eastAsia"/>
                <w:color w:val="auto"/>
                <w:spacing w:val="6"/>
                <w:szCs w:val="21"/>
                <w:shd w:val="clear" w:color="auto" w:fill="FFFFFF"/>
              </w:rPr>
              <w:t>项目无食堂</w:t>
            </w:r>
            <w:r>
              <w:rPr>
                <w:color w:val="auto"/>
                <w:spacing w:val="6"/>
                <w:szCs w:val="21"/>
                <w:shd w:val="clear" w:color="auto" w:fill="FFFFFF"/>
              </w:rPr>
              <w:t>，无宿舍。</w:t>
            </w:r>
          </w:p>
          <w:p w14:paraId="6004478C">
            <w:pPr>
              <w:adjustRightInd w:val="0"/>
              <w:snapToGrid w:val="0"/>
              <w:spacing w:line="360" w:lineRule="auto"/>
              <w:ind w:firstLine="444" w:firstLineChars="200"/>
              <w:rPr>
                <w:color w:val="auto"/>
                <w:spacing w:val="6"/>
                <w:szCs w:val="21"/>
                <w:shd w:val="clear" w:color="auto" w:fill="FFFFFF"/>
              </w:rPr>
            </w:pPr>
            <w:r>
              <w:rPr>
                <w:color w:val="auto"/>
                <w:spacing w:val="6"/>
                <w:szCs w:val="21"/>
                <w:shd w:val="clear" w:color="auto" w:fill="FFFFFF"/>
              </w:rPr>
              <w:t>工作制度：年工作天数</w:t>
            </w:r>
            <w:r>
              <w:rPr>
                <w:rFonts w:hint="eastAsia"/>
                <w:color w:val="auto"/>
                <w:spacing w:val="6"/>
                <w:szCs w:val="21"/>
                <w:shd w:val="clear" w:color="auto" w:fill="FFFFFF"/>
              </w:rPr>
              <w:t>250d</w:t>
            </w:r>
            <w:r>
              <w:rPr>
                <w:color w:val="auto"/>
                <w:spacing w:val="6"/>
                <w:szCs w:val="21"/>
                <w:shd w:val="clear" w:color="auto" w:fill="FFFFFF"/>
              </w:rPr>
              <w:t>，</w:t>
            </w:r>
            <w:r>
              <w:rPr>
                <w:rFonts w:hint="eastAsia"/>
                <w:color w:val="auto"/>
                <w:spacing w:val="6"/>
                <w:szCs w:val="21"/>
                <w:shd w:val="clear" w:color="auto" w:fill="FFFFFF"/>
              </w:rPr>
              <w:t>每天工作时间为8h</w:t>
            </w:r>
            <w:r>
              <w:rPr>
                <w:color w:val="auto"/>
                <w:spacing w:val="6"/>
                <w:szCs w:val="21"/>
                <w:shd w:val="clear" w:color="auto" w:fill="FFFFFF"/>
              </w:rPr>
              <w:t>，年工作时间为</w:t>
            </w:r>
            <w:r>
              <w:rPr>
                <w:rFonts w:hint="eastAsia"/>
                <w:color w:val="auto"/>
                <w:spacing w:val="6"/>
                <w:szCs w:val="21"/>
                <w:shd w:val="clear" w:color="auto" w:fill="FFFFFF"/>
              </w:rPr>
              <w:t>2000h</w:t>
            </w:r>
            <w:r>
              <w:rPr>
                <w:color w:val="auto"/>
                <w:spacing w:val="6"/>
                <w:szCs w:val="21"/>
                <w:shd w:val="clear" w:color="auto" w:fill="FFFFFF"/>
              </w:rPr>
              <w:t>。</w:t>
            </w:r>
          </w:p>
          <w:p w14:paraId="1F39A3F9">
            <w:pPr>
              <w:adjustRightInd w:val="0"/>
              <w:snapToGrid w:val="0"/>
              <w:spacing w:line="360" w:lineRule="auto"/>
              <w:ind w:firstLine="446" w:firstLineChars="200"/>
              <w:rPr>
                <w:b/>
                <w:bCs/>
                <w:color w:val="auto"/>
                <w:spacing w:val="6"/>
                <w:szCs w:val="21"/>
                <w:shd w:val="clear" w:color="auto" w:fill="FFFFFF"/>
              </w:rPr>
            </w:pPr>
            <w:r>
              <w:rPr>
                <w:rFonts w:hint="eastAsia"/>
                <w:b/>
                <w:bCs/>
                <w:color w:val="auto"/>
                <w:spacing w:val="6"/>
                <w:szCs w:val="21"/>
                <w:shd w:val="clear" w:color="auto" w:fill="FFFFFF"/>
              </w:rPr>
              <w:t>9.</w:t>
            </w:r>
            <w:r>
              <w:rPr>
                <w:b/>
                <w:bCs/>
                <w:color w:val="auto"/>
                <w:spacing w:val="6"/>
                <w:szCs w:val="21"/>
                <w:shd w:val="clear" w:color="auto" w:fill="FFFFFF"/>
              </w:rPr>
              <w:t>厂区平面布置情况</w:t>
            </w:r>
          </w:p>
          <w:p w14:paraId="76336400">
            <w:pPr>
              <w:adjustRightInd w:val="0"/>
              <w:snapToGrid w:val="0"/>
              <w:spacing w:line="360" w:lineRule="auto"/>
              <w:ind w:firstLine="444" w:firstLineChars="200"/>
              <w:rPr>
                <w:color w:val="auto"/>
                <w:spacing w:val="6"/>
                <w:szCs w:val="21"/>
                <w:shd w:val="clear" w:color="auto" w:fill="FFFFFF"/>
              </w:rPr>
            </w:pPr>
            <w:r>
              <w:rPr>
                <w:color w:val="auto"/>
                <w:spacing w:val="6"/>
                <w:szCs w:val="21"/>
                <w:shd w:val="clear" w:color="auto" w:fill="FFFFFF"/>
              </w:rPr>
              <w:t>项目租赁</w:t>
            </w:r>
            <w:r>
              <w:rPr>
                <w:rFonts w:hint="eastAsia"/>
                <w:color w:val="auto"/>
                <w:spacing w:val="6"/>
                <w:szCs w:val="21"/>
                <w:shd w:val="clear" w:color="auto" w:fill="FFFFFF"/>
              </w:rPr>
              <w:t>南通市金宏电化设备有限公司</w:t>
            </w:r>
            <w:r>
              <w:rPr>
                <w:color w:val="auto"/>
                <w:spacing w:val="6"/>
                <w:szCs w:val="21"/>
                <w:shd w:val="clear" w:color="auto" w:fill="FFFFFF"/>
              </w:rPr>
              <w:t>既有</w:t>
            </w:r>
            <w:r>
              <w:rPr>
                <w:rFonts w:hint="eastAsia"/>
                <w:color w:val="auto"/>
                <w:spacing w:val="6"/>
                <w:szCs w:val="21"/>
                <w:shd w:val="clear" w:color="auto" w:fill="FFFFFF"/>
              </w:rPr>
              <w:t>闲置</w:t>
            </w:r>
            <w:r>
              <w:rPr>
                <w:color w:val="auto"/>
                <w:spacing w:val="6"/>
                <w:szCs w:val="21"/>
                <w:shd w:val="clear" w:color="auto" w:fill="FFFFFF"/>
              </w:rPr>
              <w:t>厂房（租赁协议见附件</w:t>
            </w:r>
            <w:r>
              <w:rPr>
                <w:rFonts w:hint="eastAsia"/>
                <w:color w:val="auto"/>
                <w:spacing w:val="6"/>
                <w:szCs w:val="21"/>
                <w:shd w:val="clear" w:color="auto" w:fill="FFFFFF"/>
              </w:rPr>
              <w:t>5</w:t>
            </w:r>
            <w:r>
              <w:rPr>
                <w:color w:val="auto"/>
                <w:spacing w:val="6"/>
                <w:szCs w:val="21"/>
                <w:shd w:val="clear" w:color="auto" w:fill="FFFFFF"/>
              </w:rPr>
              <w:t>），</w:t>
            </w:r>
            <w:r>
              <w:rPr>
                <w:rFonts w:hint="eastAsia"/>
                <w:color w:val="auto"/>
                <w:spacing w:val="6"/>
                <w:szCs w:val="21"/>
                <w:shd w:val="clear" w:color="auto" w:fill="FFFFFF"/>
              </w:rPr>
              <w:t>北侧1F为研发检测车间，北侧由西向东为实验室、危废仓库，南侧由西向东为试剂室、办公室、实验室、气瓶间，南侧2F为预留车间。预留车间目前闲置，本次不进行评价。预留车间启用时需另行评价。</w:t>
            </w:r>
            <w:r>
              <w:rPr>
                <w:color w:val="auto"/>
                <w:spacing w:val="6"/>
                <w:szCs w:val="21"/>
                <w:shd w:val="clear" w:color="auto" w:fill="FFFFFF"/>
              </w:rPr>
              <w:t>厂内无食宿，主要出入口设置在厂区</w:t>
            </w:r>
            <w:r>
              <w:rPr>
                <w:rFonts w:hint="eastAsia"/>
                <w:color w:val="auto"/>
                <w:spacing w:val="6"/>
                <w:szCs w:val="21"/>
                <w:shd w:val="clear" w:color="auto" w:fill="FFFFFF"/>
              </w:rPr>
              <w:t>东</w:t>
            </w:r>
            <w:r>
              <w:rPr>
                <w:color w:val="auto"/>
                <w:spacing w:val="6"/>
                <w:szCs w:val="21"/>
                <w:shd w:val="clear" w:color="auto" w:fill="FFFFFF"/>
              </w:rPr>
              <w:t>侧。</w:t>
            </w:r>
          </w:p>
          <w:p w14:paraId="5123AEC3">
            <w:pPr>
              <w:adjustRightInd w:val="0"/>
              <w:snapToGrid w:val="0"/>
              <w:spacing w:line="360" w:lineRule="auto"/>
              <w:ind w:firstLine="444" w:firstLineChars="200"/>
              <w:rPr>
                <w:color w:val="auto"/>
                <w:spacing w:val="6"/>
                <w:szCs w:val="21"/>
                <w:shd w:val="clear" w:color="auto" w:fill="FFFFFF"/>
              </w:rPr>
            </w:pPr>
            <w:r>
              <w:rPr>
                <w:color w:val="auto"/>
                <w:spacing w:val="6"/>
                <w:szCs w:val="21"/>
                <w:shd w:val="clear" w:color="auto" w:fill="FFFFFF"/>
              </w:rPr>
              <w:t>本项目的平面布置分工基本明确，功能合理，各分区的布置规划整齐，既方便内外交通联系，又方便原辅材料和产品的运输，厂区平面布置较合理，厂区总平面布置见附图</w:t>
            </w:r>
            <w:r>
              <w:rPr>
                <w:rFonts w:hint="eastAsia"/>
                <w:color w:val="auto"/>
                <w:spacing w:val="6"/>
                <w:szCs w:val="21"/>
                <w:shd w:val="clear" w:color="auto" w:fill="FFFFFF"/>
              </w:rPr>
              <w:t>9</w:t>
            </w:r>
            <w:r>
              <w:rPr>
                <w:color w:val="auto"/>
                <w:spacing w:val="6"/>
                <w:szCs w:val="21"/>
                <w:shd w:val="clear" w:color="auto" w:fill="FFFFFF"/>
              </w:rPr>
              <w:t>。</w:t>
            </w:r>
          </w:p>
          <w:p w14:paraId="618279A7">
            <w:pPr>
              <w:adjustRightInd w:val="0"/>
              <w:snapToGrid w:val="0"/>
              <w:spacing w:line="360" w:lineRule="auto"/>
              <w:ind w:firstLine="444" w:firstLineChars="200"/>
              <w:rPr>
                <w:color w:val="auto"/>
                <w:spacing w:val="6"/>
                <w:szCs w:val="21"/>
                <w:shd w:val="clear" w:color="auto" w:fill="FFFFFF"/>
              </w:rPr>
            </w:pPr>
          </w:p>
        </w:tc>
      </w:tr>
      <w:tr w14:paraId="0307C4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29" w:hRule="atLeast"/>
          <w:jc w:val="center"/>
        </w:trPr>
        <w:tc>
          <w:tcPr>
            <w:tcW w:w="654" w:type="dxa"/>
            <w:vAlign w:val="center"/>
          </w:tcPr>
          <w:p w14:paraId="188096C5">
            <w:pPr>
              <w:pStyle w:val="18"/>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工艺流程和产排污环节</w:t>
            </w:r>
          </w:p>
        </w:tc>
        <w:tc>
          <w:tcPr>
            <w:tcW w:w="8751" w:type="dxa"/>
            <w:vAlign w:val="center"/>
          </w:tcPr>
          <w:p w14:paraId="1824CECC">
            <w:pPr>
              <w:adjustRightInd w:val="0"/>
              <w:snapToGrid w:val="0"/>
              <w:spacing w:line="360" w:lineRule="auto"/>
              <w:ind w:firstLine="444" w:firstLineChars="200"/>
              <w:jc w:val="left"/>
              <w:rPr>
                <w:color w:val="auto"/>
                <w:spacing w:val="6"/>
                <w:szCs w:val="21"/>
                <w:shd w:val="clear" w:color="auto" w:fill="FFFFFF"/>
              </w:rPr>
            </w:pPr>
            <w:r>
              <w:rPr>
                <w:rFonts w:hint="eastAsia"/>
                <w:color w:val="0000FF"/>
                <w:spacing w:val="6"/>
                <w:szCs w:val="21"/>
                <w:shd w:val="clear" w:color="auto" w:fill="FFFFFF"/>
              </w:rPr>
              <w:t>本项目为标准物质的研发及检测项目，本项目对标准物质的研发是在客户</w:t>
            </w:r>
            <w:r>
              <w:rPr>
                <w:rFonts w:hint="eastAsia"/>
                <w:color w:val="0000FF"/>
                <w:spacing w:val="6"/>
                <w:szCs w:val="21"/>
                <w:shd w:val="clear" w:color="auto" w:fill="FFFFFF"/>
                <w:lang w:val="en-US" w:eastAsia="zh-CN"/>
              </w:rPr>
              <w:t>提供作业指导书</w:t>
            </w:r>
            <w:r>
              <w:rPr>
                <w:rFonts w:hint="eastAsia"/>
                <w:color w:val="0000FF"/>
                <w:spacing w:val="6"/>
                <w:szCs w:val="21"/>
                <w:shd w:val="clear" w:color="auto" w:fill="FFFFFF"/>
              </w:rPr>
              <w:t>的基础上，采用各类有机、无机的化学试剂进行溶液配制</w:t>
            </w:r>
            <w:r>
              <w:rPr>
                <w:rFonts w:hint="eastAsia"/>
                <w:color w:val="0000FF"/>
                <w:spacing w:val="6"/>
                <w:szCs w:val="21"/>
                <w:shd w:val="clear" w:color="auto" w:fill="FFFFFF"/>
                <w:lang w:val="en-US" w:eastAsia="zh-CN"/>
              </w:rPr>
              <w:t>验证</w:t>
            </w:r>
            <w:r>
              <w:rPr>
                <w:rFonts w:hint="eastAsia"/>
                <w:color w:val="0000FF"/>
                <w:spacing w:val="6"/>
                <w:szCs w:val="21"/>
                <w:shd w:val="clear" w:color="auto" w:fill="FFFFFF"/>
              </w:rPr>
              <w:t>（单纯复配），辅以实验室检测，</w:t>
            </w:r>
            <w:r>
              <w:rPr>
                <w:rFonts w:hint="eastAsia"/>
                <w:color w:val="0000FF"/>
                <w:spacing w:val="6"/>
                <w:szCs w:val="21"/>
                <w:shd w:val="clear" w:color="auto" w:fill="FFFFFF"/>
                <w:lang w:val="en-US" w:eastAsia="zh-CN"/>
              </w:rPr>
              <w:t>验证客户提供的作业指导书，余样给客户作为仪器期间核查或样品质控使用</w:t>
            </w:r>
            <w:r>
              <w:rPr>
                <w:rFonts w:hint="eastAsia"/>
                <w:color w:val="0000FF"/>
                <w:spacing w:val="6"/>
                <w:szCs w:val="21"/>
                <w:shd w:val="clear" w:color="auto" w:fill="FFFFFF"/>
              </w:rPr>
              <w:t>。</w:t>
            </w:r>
            <w:r>
              <w:rPr>
                <w:rFonts w:hint="eastAsia"/>
                <w:color w:val="auto"/>
                <w:spacing w:val="6"/>
                <w:szCs w:val="21"/>
                <w:shd w:val="clear" w:color="auto" w:fill="FFFFFF"/>
              </w:rPr>
              <w:t>项目检测是为研发服务，故研发及检测为整个实验室流程，其研发</w:t>
            </w:r>
            <w:r>
              <w:rPr>
                <w:color w:val="auto"/>
                <w:spacing w:val="6"/>
                <w:szCs w:val="21"/>
                <w:shd w:val="clear" w:color="auto" w:fill="FFFFFF"/>
              </w:rPr>
              <w:t>-</w:t>
            </w:r>
            <w:r>
              <w:rPr>
                <w:rFonts w:hint="eastAsia"/>
                <w:color w:val="auto"/>
                <w:spacing w:val="6"/>
                <w:szCs w:val="21"/>
                <w:shd w:val="clear" w:color="auto" w:fill="FFFFFF"/>
              </w:rPr>
              <w:t>检测流程如下：</w:t>
            </w:r>
          </w:p>
          <w:p w14:paraId="571E29AC">
            <w:pPr>
              <w:numPr>
                <w:ilvl w:val="0"/>
                <w:numId w:val="7"/>
              </w:numPr>
              <w:adjustRightInd w:val="0"/>
              <w:snapToGrid w:val="0"/>
              <w:spacing w:line="360" w:lineRule="auto"/>
              <w:ind w:firstLine="446" w:firstLineChars="200"/>
              <w:jc w:val="left"/>
              <w:rPr>
                <w:b/>
                <w:bCs/>
                <w:color w:val="auto"/>
                <w:spacing w:val="6"/>
                <w:szCs w:val="21"/>
                <w:shd w:val="clear" w:color="auto" w:fill="FFFFFF"/>
              </w:rPr>
            </w:pPr>
            <w:r>
              <w:rPr>
                <w:rFonts w:hint="eastAsia"/>
                <w:b/>
                <w:bCs/>
                <w:color w:val="auto"/>
                <w:spacing w:val="6"/>
                <w:szCs w:val="21"/>
                <w:shd w:val="clear" w:color="auto" w:fill="FFFFFF"/>
              </w:rPr>
              <w:t>研发-检测</w:t>
            </w:r>
            <w:r>
              <w:rPr>
                <w:b/>
                <w:bCs/>
                <w:color w:val="auto"/>
                <w:spacing w:val="6"/>
                <w:szCs w:val="21"/>
                <w:shd w:val="clear" w:color="auto" w:fill="FFFFFF"/>
              </w:rPr>
              <w:t>流程</w:t>
            </w:r>
          </w:p>
          <w:p w14:paraId="3B3182DA">
            <w:pPr>
              <w:widowControl/>
              <w:adjustRightInd w:val="0"/>
              <w:snapToGrid w:val="0"/>
              <w:spacing w:after="120"/>
              <w:jc w:val="center"/>
              <w:rPr>
                <w:color w:val="auto"/>
                <w:kern w:val="0"/>
                <w:sz w:val="24"/>
              </w:rPr>
            </w:pPr>
            <w:r>
              <w:rPr>
                <w:color w:val="auto"/>
              </w:rPr>
              <w:drawing>
                <wp:inline distT="0" distB="0" distL="114300" distR="114300">
                  <wp:extent cx="4418965" cy="836930"/>
                  <wp:effectExtent l="0" t="0" r="635" b="1270"/>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pic:cNvPicPr>
                            <a:picLocks noChangeAspect="1"/>
                          </pic:cNvPicPr>
                        </pic:nvPicPr>
                        <pic:blipFill>
                          <a:blip r:embed="rId10"/>
                          <a:stretch>
                            <a:fillRect/>
                          </a:stretch>
                        </pic:blipFill>
                        <pic:spPr>
                          <a:xfrm>
                            <a:off x="0" y="0"/>
                            <a:ext cx="4418965" cy="836930"/>
                          </a:xfrm>
                          <a:prstGeom prst="rect">
                            <a:avLst/>
                          </a:prstGeom>
                          <a:noFill/>
                          <a:ln>
                            <a:noFill/>
                          </a:ln>
                        </pic:spPr>
                      </pic:pic>
                    </a:graphicData>
                  </a:graphic>
                </wp:inline>
              </w:drawing>
            </w:r>
          </w:p>
          <w:p w14:paraId="7575B717">
            <w:pPr>
              <w:adjustRightInd w:val="0"/>
              <w:snapToGrid w:val="0"/>
              <w:spacing w:line="360" w:lineRule="auto"/>
              <w:jc w:val="center"/>
              <w:rPr>
                <w:b/>
                <w:bCs/>
                <w:color w:val="auto"/>
                <w:spacing w:val="6"/>
                <w:szCs w:val="21"/>
                <w:shd w:val="clear" w:color="auto" w:fill="FFFFFF"/>
              </w:rPr>
            </w:pPr>
            <w:r>
              <w:rPr>
                <w:b/>
                <w:bCs/>
                <w:color w:val="auto"/>
              </w:rPr>
              <w:t>图2-2 工艺流程图</w:t>
            </w:r>
          </w:p>
          <w:p w14:paraId="3FFDDBA6">
            <w:pPr>
              <w:adjustRightInd w:val="0"/>
              <w:snapToGrid w:val="0"/>
              <w:spacing w:line="360" w:lineRule="auto"/>
              <w:ind w:firstLine="446" w:firstLineChars="200"/>
              <w:jc w:val="left"/>
              <w:rPr>
                <w:b/>
                <w:bCs/>
                <w:color w:val="auto"/>
                <w:spacing w:val="6"/>
                <w:szCs w:val="21"/>
                <w:shd w:val="clear" w:color="auto" w:fill="FFFFFF"/>
              </w:rPr>
            </w:pPr>
            <w:r>
              <w:rPr>
                <w:b/>
                <w:bCs/>
                <w:color w:val="auto"/>
                <w:spacing w:val="6"/>
                <w:szCs w:val="21"/>
                <w:shd w:val="clear" w:color="auto" w:fill="FFFFFF"/>
              </w:rPr>
              <w:t>工艺流程说明：</w:t>
            </w:r>
          </w:p>
          <w:p w14:paraId="6D3AC83B">
            <w:pPr>
              <w:adjustRightInd w:val="0"/>
              <w:snapToGrid w:val="0"/>
              <w:spacing w:line="360" w:lineRule="auto"/>
              <w:ind w:firstLine="420" w:firstLineChars="200"/>
              <w:jc w:val="left"/>
              <w:rPr>
                <w:rFonts w:hint="default" w:eastAsia="宋体"/>
                <w:color w:val="auto"/>
                <w:lang w:val="en-US" w:eastAsia="zh-CN"/>
              </w:rPr>
            </w:pPr>
            <w:r>
              <w:rPr>
                <w:rFonts w:hint="eastAsia"/>
                <w:color w:val="auto"/>
                <w:lang w:val="en-US" w:eastAsia="zh-CN"/>
              </w:rPr>
              <w:t>项目根据客户提供的作业指导书准备标准物质储备物，一部分为客户提供，客户无法提供的部分根据客户的作业指导书要求外购。</w:t>
            </w:r>
          </w:p>
          <w:p w14:paraId="08E05789">
            <w:pPr>
              <w:adjustRightInd w:val="0"/>
              <w:snapToGrid w:val="0"/>
              <w:spacing w:line="360" w:lineRule="auto"/>
              <w:ind w:firstLine="420" w:firstLineChars="200"/>
              <w:jc w:val="left"/>
              <w:rPr>
                <w:color w:val="auto"/>
              </w:rPr>
            </w:pPr>
            <w:r>
              <w:rPr>
                <w:rFonts w:hint="eastAsia"/>
                <w:color w:val="auto"/>
              </w:rPr>
              <w:t>均质：根据“相似相溶”原理，对不同物质进行分类配制。依据不同溶液的配制要求在实验台、通风橱中进行溶液的配制。无机物质用外购的纯水进行配制，有机物质用对应极性的有机试剂配制，如甲醇、丙酮等有机试剂。配制过程有机试剂挥发会产生有机废气，即有均质废气（G1）产生，此外还有废试剂包装（S1）及实验废液（S2）产生，由于本项目固态物质多为颗粒状物质，粉末状物质较少，且原料均采用万分之一天平进行人工精确称量，物料称量过程要求极为严格精准，此过程有极少量粉尘产生，本项目不进行定量分析；</w:t>
            </w:r>
          </w:p>
          <w:p w14:paraId="218AC949">
            <w:pPr>
              <w:adjustRightInd w:val="0"/>
              <w:snapToGrid w:val="0"/>
              <w:spacing w:line="360" w:lineRule="auto"/>
              <w:ind w:firstLine="420" w:firstLineChars="200"/>
              <w:jc w:val="left"/>
              <w:rPr>
                <w:color w:val="auto"/>
              </w:rPr>
            </w:pPr>
            <w:r>
              <w:rPr>
                <w:rFonts w:hint="eastAsia"/>
                <w:color w:val="auto"/>
              </w:rPr>
              <w:t>均匀性初检：标准物质的特性是均匀性，即在规定的细分范围内其特性不变。均匀性初检测的方法是随机抽取一定数量的最小包装单元，采用精密度高的检验方法对抽出的样品控制在同样的实验条件下进行均匀性测定。用方差分析法统计样品均匀性检测的结果：组间方差与组内方差之比小于统计检验的临界值，则样品是均匀的。均匀性初检过程有检测废气（G2）产生，此外还有实验废液（S3）产生；</w:t>
            </w:r>
          </w:p>
          <w:p w14:paraId="6458B6EE">
            <w:pPr>
              <w:adjustRightInd w:val="0"/>
              <w:snapToGrid w:val="0"/>
              <w:spacing w:line="360" w:lineRule="auto"/>
              <w:ind w:firstLine="420" w:firstLineChars="200"/>
              <w:jc w:val="left"/>
              <w:rPr>
                <w:rFonts w:hint="default" w:eastAsia="宋体"/>
                <w:color w:val="auto"/>
                <w:lang w:val="en-US" w:eastAsia="zh-CN"/>
              </w:rPr>
            </w:pPr>
            <w:r>
              <w:rPr>
                <w:rFonts w:hint="eastAsia"/>
                <w:color w:val="auto"/>
              </w:rPr>
              <w:t>稳定性评估：标准物质的稳定性分为长期稳定性和短期稳定性。长期稳定性是指标准物质在规定贮存条件下标准物质的特性稳定性；短期稳定性是指标准物质在运输过程中的稳定性，一般标准物质是在3~4周内研究其稳定性，对某些临床、生物和环境标准物质，在运输条件达不到贮存条件，如上至70℃、下至-50℃，样品的特性有可能变化或失效，必须2周内进行稳定性考察。稳定性评估过程有检测废气（G3）产生，此外还有实验废液（S4）产生</w:t>
            </w:r>
            <w:r>
              <w:rPr>
                <w:rFonts w:hint="eastAsia"/>
                <w:color w:val="auto"/>
                <w:spacing w:val="6"/>
                <w:szCs w:val="21"/>
                <w:shd w:val="clear" w:color="auto" w:fill="FFFFFF"/>
              </w:rPr>
              <w:t>。</w:t>
            </w:r>
          </w:p>
          <w:p w14:paraId="338F064C">
            <w:pPr>
              <w:adjustRightInd w:val="0"/>
              <w:snapToGrid w:val="0"/>
              <w:spacing w:line="360" w:lineRule="auto"/>
              <w:ind w:firstLine="444" w:firstLineChars="200"/>
              <w:jc w:val="left"/>
              <w:rPr>
                <w:color w:val="auto"/>
                <w:spacing w:val="6"/>
                <w:szCs w:val="21"/>
                <w:shd w:val="clear" w:color="auto" w:fill="FFFFFF"/>
              </w:rPr>
            </w:pPr>
            <w:r>
              <w:rPr>
                <w:rFonts w:hint="eastAsia"/>
                <w:color w:val="auto"/>
                <w:spacing w:val="6"/>
                <w:szCs w:val="21"/>
                <w:shd w:val="clear" w:color="auto" w:fill="FFFFFF"/>
              </w:rPr>
              <w:t>项目日常研发和检测过程中会产生废实验耗材（含一次性手套、口罩、沾有药品的纸张、破碎的玻璃器皿等）、清洗废水，废气处理设施会产生废活性炭、喷淋废液，职工生活会产生生活污水、生活垃圾。</w:t>
            </w:r>
          </w:p>
          <w:p w14:paraId="10F15A85">
            <w:pPr>
              <w:adjustRightInd w:val="0"/>
              <w:snapToGrid w:val="0"/>
              <w:spacing w:line="360" w:lineRule="auto"/>
              <w:ind w:firstLine="444" w:firstLineChars="200"/>
              <w:jc w:val="left"/>
              <w:rPr>
                <w:color w:val="auto"/>
                <w:spacing w:val="6"/>
                <w:szCs w:val="21"/>
                <w:shd w:val="clear" w:color="auto" w:fill="FFFFFF"/>
              </w:rPr>
            </w:pPr>
            <w:r>
              <w:rPr>
                <w:color w:val="auto"/>
                <w:spacing w:val="6"/>
                <w:szCs w:val="21"/>
                <w:shd w:val="clear" w:color="auto" w:fill="FFFFFF"/>
              </w:rPr>
              <w:t>建设项目主要产污工序见下表。</w:t>
            </w:r>
          </w:p>
          <w:p w14:paraId="32A1E423">
            <w:pPr>
              <w:adjustRightInd w:val="0"/>
              <w:snapToGrid w:val="0"/>
              <w:jc w:val="center"/>
              <w:rPr>
                <w:b/>
                <w:bCs/>
                <w:color w:val="auto"/>
                <w:spacing w:val="6"/>
                <w:szCs w:val="21"/>
                <w:shd w:val="clear" w:color="auto" w:fill="FFFFFF"/>
              </w:rPr>
            </w:pPr>
          </w:p>
          <w:p w14:paraId="00A77A54">
            <w:pPr>
              <w:adjustRightInd w:val="0"/>
              <w:snapToGrid w:val="0"/>
              <w:jc w:val="center"/>
              <w:rPr>
                <w:b/>
                <w:bCs/>
                <w:color w:val="auto"/>
                <w:spacing w:val="6"/>
                <w:szCs w:val="21"/>
                <w:shd w:val="clear" w:color="auto" w:fill="FFFFFF"/>
              </w:rPr>
            </w:pPr>
          </w:p>
          <w:p w14:paraId="162A49AE">
            <w:pPr>
              <w:adjustRightInd w:val="0"/>
              <w:snapToGrid w:val="0"/>
              <w:jc w:val="center"/>
              <w:rPr>
                <w:b/>
                <w:bCs/>
                <w:color w:val="auto"/>
                <w:spacing w:val="6"/>
                <w:szCs w:val="21"/>
                <w:shd w:val="clear" w:color="auto" w:fill="FFFFFF"/>
              </w:rPr>
            </w:pPr>
            <w:r>
              <w:rPr>
                <w:b/>
                <w:bCs/>
                <w:color w:val="auto"/>
                <w:spacing w:val="6"/>
                <w:szCs w:val="21"/>
                <w:shd w:val="clear" w:color="auto" w:fill="FFFFFF"/>
              </w:rPr>
              <w:t>表2-</w:t>
            </w:r>
            <w:r>
              <w:rPr>
                <w:rFonts w:hint="eastAsia"/>
                <w:b/>
                <w:bCs/>
                <w:color w:val="auto"/>
                <w:spacing w:val="6"/>
                <w:szCs w:val="21"/>
                <w:shd w:val="clear" w:color="auto" w:fill="FFFFFF"/>
              </w:rPr>
              <w:t>7</w:t>
            </w:r>
            <w:r>
              <w:rPr>
                <w:b/>
                <w:bCs/>
                <w:color w:val="auto"/>
                <w:spacing w:val="6"/>
                <w:szCs w:val="21"/>
                <w:shd w:val="clear" w:color="auto" w:fill="FFFFFF"/>
              </w:rPr>
              <w:t xml:space="preserve"> 生产过程产污环节及治理措施一览表</w:t>
            </w:r>
          </w:p>
          <w:tbl>
            <w:tblPr>
              <w:tblStyle w:val="23"/>
              <w:tblW w:w="855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19"/>
              <w:gridCol w:w="905"/>
              <w:gridCol w:w="1320"/>
              <w:gridCol w:w="3197"/>
              <w:gridCol w:w="2617"/>
            </w:tblGrid>
            <w:tr w14:paraId="25AE27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70" w:hRule="atLeast"/>
                <w:tblHeader/>
                <w:jc w:val="center"/>
              </w:trPr>
              <w:tc>
                <w:tcPr>
                  <w:tcW w:w="831" w:type="pct"/>
                  <w:gridSpan w:val="2"/>
                  <w:tcBorders>
                    <w:top w:val="single" w:color="000000" w:sz="12" w:space="0"/>
                    <w:left w:val="single" w:color="000000" w:sz="12" w:space="0"/>
                  </w:tcBorders>
                  <w:vAlign w:val="center"/>
                </w:tcPr>
                <w:p w14:paraId="6F5955E0">
                  <w:pPr>
                    <w:jc w:val="center"/>
                    <w:rPr>
                      <w:b/>
                      <w:bCs/>
                      <w:color w:val="auto"/>
                      <w:sz w:val="18"/>
                      <w:szCs w:val="18"/>
                    </w:rPr>
                  </w:pPr>
                  <w:r>
                    <w:rPr>
                      <w:b/>
                      <w:bCs/>
                      <w:color w:val="auto"/>
                      <w:sz w:val="18"/>
                      <w:szCs w:val="18"/>
                    </w:rPr>
                    <w:t>项目</w:t>
                  </w:r>
                </w:p>
              </w:tc>
              <w:tc>
                <w:tcPr>
                  <w:tcW w:w="771" w:type="pct"/>
                  <w:tcBorders>
                    <w:top w:val="single" w:color="000000" w:sz="12" w:space="0"/>
                  </w:tcBorders>
                  <w:vAlign w:val="center"/>
                </w:tcPr>
                <w:p w14:paraId="51405F05">
                  <w:pPr>
                    <w:jc w:val="center"/>
                    <w:rPr>
                      <w:b/>
                      <w:bCs/>
                      <w:color w:val="auto"/>
                      <w:sz w:val="18"/>
                      <w:szCs w:val="18"/>
                    </w:rPr>
                  </w:pPr>
                  <w:r>
                    <w:rPr>
                      <w:b/>
                      <w:bCs/>
                      <w:color w:val="auto"/>
                      <w:sz w:val="18"/>
                      <w:szCs w:val="18"/>
                    </w:rPr>
                    <w:t>产污环节</w:t>
                  </w:r>
                </w:p>
              </w:tc>
              <w:tc>
                <w:tcPr>
                  <w:tcW w:w="1867" w:type="pct"/>
                  <w:tcBorders>
                    <w:top w:val="single" w:color="000000" w:sz="12" w:space="0"/>
                  </w:tcBorders>
                  <w:vAlign w:val="center"/>
                </w:tcPr>
                <w:p w14:paraId="2D8A2B58">
                  <w:pPr>
                    <w:jc w:val="center"/>
                    <w:rPr>
                      <w:b/>
                      <w:bCs/>
                      <w:color w:val="auto"/>
                      <w:sz w:val="18"/>
                      <w:szCs w:val="18"/>
                    </w:rPr>
                  </w:pPr>
                  <w:r>
                    <w:rPr>
                      <w:b/>
                      <w:bCs/>
                      <w:color w:val="auto"/>
                      <w:sz w:val="18"/>
                      <w:szCs w:val="18"/>
                    </w:rPr>
                    <w:t>主要污染物</w:t>
                  </w:r>
                </w:p>
              </w:tc>
              <w:tc>
                <w:tcPr>
                  <w:tcW w:w="1528" w:type="pct"/>
                  <w:tcBorders>
                    <w:top w:val="single" w:color="000000" w:sz="12" w:space="0"/>
                    <w:right w:val="single" w:color="000000" w:sz="12" w:space="0"/>
                  </w:tcBorders>
                  <w:vAlign w:val="center"/>
                </w:tcPr>
                <w:p w14:paraId="28AD915B">
                  <w:pPr>
                    <w:jc w:val="center"/>
                    <w:rPr>
                      <w:b/>
                      <w:bCs/>
                      <w:color w:val="auto"/>
                      <w:sz w:val="18"/>
                      <w:szCs w:val="18"/>
                    </w:rPr>
                  </w:pPr>
                  <w:r>
                    <w:rPr>
                      <w:b/>
                      <w:bCs/>
                      <w:color w:val="auto"/>
                      <w:sz w:val="18"/>
                      <w:szCs w:val="18"/>
                    </w:rPr>
                    <w:t>治理措施及污染物去向</w:t>
                  </w:r>
                </w:p>
              </w:tc>
            </w:tr>
            <w:tr w14:paraId="0F9C7A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63" w:hRule="atLeast"/>
                <w:jc w:val="center"/>
              </w:trPr>
              <w:tc>
                <w:tcPr>
                  <w:tcW w:w="303" w:type="pct"/>
                  <w:vMerge w:val="restart"/>
                  <w:tcBorders>
                    <w:left w:val="single" w:color="000000" w:sz="12" w:space="0"/>
                  </w:tcBorders>
                  <w:vAlign w:val="center"/>
                </w:tcPr>
                <w:p w14:paraId="252872A0">
                  <w:pPr>
                    <w:jc w:val="center"/>
                    <w:rPr>
                      <w:color w:val="auto"/>
                      <w:sz w:val="18"/>
                      <w:szCs w:val="18"/>
                    </w:rPr>
                  </w:pPr>
                  <w:r>
                    <w:rPr>
                      <w:color w:val="auto"/>
                      <w:sz w:val="18"/>
                      <w:szCs w:val="18"/>
                    </w:rPr>
                    <w:t>废气</w:t>
                  </w:r>
                </w:p>
              </w:tc>
              <w:tc>
                <w:tcPr>
                  <w:tcW w:w="528" w:type="pct"/>
                  <w:vAlign w:val="center"/>
                </w:tcPr>
                <w:p w14:paraId="1BC2302E">
                  <w:pPr>
                    <w:jc w:val="center"/>
                    <w:rPr>
                      <w:color w:val="auto"/>
                      <w:sz w:val="18"/>
                      <w:szCs w:val="18"/>
                    </w:rPr>
                  </w:pPr>
                  <w:r>
                    <w:rPr>
                      <w:rFonts w:hint="eastAsia"/>
                      <w:color w:val="auto"/>
                      <w:sz w:val="18"/>
                      <w:szCs w:val="18"/>
                    </w:rPr>
                    <w:t>G1</w:t>
                  </w:r>
                </w:p>
              </w:tc>
              <w:tc>
                <w:tcPr>
                  <w:tcW w:w="771" w:type="pct"/>
                  <w:vAlign w:val="center"/>
                </w:tcPr>
                <w:p w14:paraId="03BF1634">
                  <w:pPr>
                    <w:jc w:val="center"/>
                    <w:rPr>
                      <w:color w:val="auto"/>
                      <w:sz w:val="18"/>
                      <w:szCs w:val="18"/>
                    </w:rPr>
                  </w:pPr>
                  <w:r>
                    <w:rPr>
                      <w:rFonts w:hint="eastAsia"/>
                      <w:color w:val="auto"/>
                      <w:sz w:val="18"/>
                      <w:szCs w:val="18"/>
                    </w:rPr>
                    <w:t>均质</w:t>
                  </w:r>
                </w:p>
              </w:tc>
              <w:tc>
                <w:tcPr>
                  <w:tcW w:w="1867" w:type="pct"/>
                  <w:vAlign w:val="center"/>
                </w:tcPr>
                <w:p w14:paraId="54C372ED">
                  <w:pPr>
                    <w:jc w:val="center"/>
                    <w:rPr>
                      <w:color w:val="auto"/>
                      <w:sz w:val="18"/>
                      <w:szCs w:val="18"/>
                    </w:rPr>
                  </w:pPr>
                  <w:bookmarkStart w:id="11" w:name="OLE_LINK6"/>
                  <w:r>
                    <w:rPr>
                      <w:rFonts w:hint="eastAsia"/>
                      <w:color w:val="auto"/>
                      <w:sz w:val="18"/>
                      <w:szCs w:val="18"/>
                    </w:rPr>
                    <w:t>氨气、非甲烷总烃（含二甲苯、甲醇等）</w:t>
                  </w:r>
                  <w:bookmarkEnd w:id="11"/>
                </w:p>
              </w:tc>
              <w:tc>
                <w:tcPr>
                  <w:tcW w:w="1528" w:type="pct"/>
                  <w:vMerge w:val="restart"/>
                  <w:tcBorders>
                    <w:right w:val="single" w:color="000000" w:sz="12" w:space="0"/>
                  </w:tcBorders>
                  <w:vAlign w:val="center"/>
                </w:tcPr>
                <w:p w14:paraId="691CC41D">
                  <w:pPr>
                    <w:adjustRightInd w:val="0"/>
                    <w:snapToGrid w:val="0"/>
                    <w:jc w:val="center"/>
                    <w:rPr>
                      <w:color w:val="auto"/>
                      <w:sz w:val="18"/>
                      <w:szCs w:val="18"/>
                    </w:rPr>
                  </w:pPr>
                  <w:r>
                    <w:rPr>
                      <w:rFonts w:hint="eastAsia"/>
                      <w:color w:val="auto"/>
                      <w:sz w:val="18"/>
                      <w:szCs w:val="18"/>
                    </w:rPr>
                    <w:t>水喷淋+除雾器+二级活性炭吸附+</w:t>
                  </w:r>
                  <w:r>
                    <w:rPr>
                      <w:color w:val="auto"/>
                      <w:sz w:val="18"/>
                      <w:szCs w:val="18"/>
                    </w:rPr>
                    <w:t>1</w:t>
                  </w:r>
                  <w:r>
                    <w:rPr>
                      <w:rFonts w:hint="eastAsia"/>
                      <w:color w:val="auto"/>
                      <w:sz w:val="18"/>
                      <w:szCs w:val="18"/>
                    </w:rPr>
                    <w:t>5</w:t>
                  </w:r>
                  <w:r>
                    <w:rPr>
                      <w:color w:val="auto"/>
                      <w:sz w:val="18"/>
                      <w:szCs w:val="18"/>
                    </w:rPr>
                    <w:t>m高排气筒</w:t>
                  </w:r>
                  <w:r>
                    <w:rPr>
                      <w:rFonts w:hint="eastAsia"/>
                      <w:color w:val="auto"/>
                      <w:sz w:val="18"/>
                      <w:szCs w:val="18"/>
                    </w:rPr>
                    <w:t>DA001</w:t>
                  </w:r>
                </w:p>
              </w:tc>
            </w:tr>
            <w:tr w14:paraId="36F57A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18" w:hRule="atLeast"/>
                <w:jc w:val="center"/>
              </w:trPr>
              <w:tc>
                <w:tcPr>
                  <w:tcW w:w="303" w:type="pct"/>
                  <w:vMerge w:val="continue"/>
                  <w:tcBorders>
                    <w:left w:val="single" w:color="000000" w:sz="12" w:space="0"/>
                  </w:tcBorders>
                  <w:vAlign w:val="center"/>
                </w:tcPr>
                <w:p w14:paraId="01129FE4">
                  <w:pPr>
                    <w:jc w:val="center"/>
                    <w:rPr>
                      <w:color w:val="auto"/>
                      <w:sz w:val="18"/>
                      <w:szCs w:val="18"/>
                    </w:rPr>
                  </w:pPr>
                </w:p>
              </w:tc>
              <w:tc>
                <w:tcPr>
                  <w:tcW w:w="528" w:type="pct"/>
                  <w:vAlign w:val="center"/>
                </w:tcPr>
                <w:p w14:paraId="428CA8F2">
                  <w:pPr>
                    <w:jc w:val="center"/>
                    <w:rPr>
                      <w:color w:val="auto"/>
                      <w:sz w:val="18"/>
                      <w:szCs w:val="18"/>
                    </w:rPr>
                  </w:pPr>
                  <w:r>
                    <w:rPr>
                      <w:rFonts w:hint="eastAsia"/>
                      <w:color w:val="auto"/>
                      <w:sz w:val="18"/>
                      <w:szCs w:val="18"/>
                    </w:rPr>
                    <w:t>G2</w:t>
                  </w:r>
                </w:p>
              </w:tc>
              <w:tc>
                <w:tcPr>
                  <w:tcW w:w="771" w:type="pct"/>
                  <w:vAlign w:val="center"/>
                </w:tcPr>
                <w:p w14:paraId="293A31D2">
                  <w:pPr>
                    <w:jc w:val="center"/>
                    <w:rPr>
                      <w:color w:val="auto"/>
                      <w:sz w:val="18"/>
                      <w:szCs w:val="18"/>
                    </w:rPr>
                  </w:pPr>
                  <w:r>
                    <w:rPr>
                      <w:rFonts w:hint="eastAsia"/>
                      <w:color w:val="auto"/>
                      <w:sz w:val="18"/>
                      <w:szCs w:val="18"/>
                    </w:rPr>
                    <w:t>均匀性初检</w:t>
                  </w:r>
                </w:p>
              </w:tc>
              <w:tc>
                <w:tcPr>
                  <w:tcW w:w="1867" w:type="pct"/>
                  <w:vAlign w:val="center"/>
                </w:tcPr>
                <w:p w14:paraId="3896056E">
                  <w:pPr>
                    <w:jc w:val="center"/>
                    <w:rPr>
                      <w:color w:val="auto"/>
                      <w:sz w:val="18"/>
                      <w:szCs w:val="18"/>
                    </w:rPr>
                  </w:pPr>
                  <w:r>
                    <w:rPr>
                      <w:rFonts w:hint="eastAsia"/>
                      <w:color w:val="auto"/>
                      <w:sz w:val="18"/>
                      <w:szCs w:val="18"/>
                    </w:rPr>
                    <w:t>氨气、非甲烷总烃（含二甲苯、甲醇等）</w:t>
                  </w:r>
                </w:p>
              </w:tc>
              <w:tc>
                <w:tcPr>
                  <w:tcW w:w="1528" w:type="pct"/>
                  <w:vMerge w:val="continue"/>
                  <w:tcBorders>
                    <w:right w:val="single" w:color="000000" w:sz="12" w:space="0"/>
                  </w:tcBorders>
                  <w:vAlign w:val="center"/>
                </w:tcPr>
                <w:p w14:paraId="6E5B1304">
                  <w:pPr>
                    <w:adjustRightInd w:val="0"/>
                    <w:snapToGrid w:val="0"/>
                    <w:jc w:val="center"/>
                    <w:rPr>
                      <w:color w:val="auto"/>
                      <w:sz w:val="18"/>
                      <w:szCs w:val="18"/>
                    </w:rPr>
                  </w:pPr>
                </w:p>
              </w:tc>
            </w:tr>
            <w:tr w14:paraId="2AF6CD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53" w:hRule="atLeast"/>
                <w:jc w:val="center"/>
              </w:trPr>
              <w:tc>
                <w:tcPr>
                  <w:tcW w:w="303" w:type="pct"/>
                  <w:vMerge w:val="continue"/>
                  <w:tcBorders>
                    <w:left w:val="single" w:color="000000" w:sz="12" w:space="0"/>
                  </w:tcBorders>
                  <w:vAlign w:val="center"/>
                </w:tcPr>
                <w:p w14:paraId="026129DA">
                  <w:pPr>
                    <w:jc w:val="center"/>
                    <w:rPr>
                      <w:color w:val="auto"/>
                      <w:sz w:val="18"/>
                      <w:szCs w:val="18"/>
                    </w:rPr>
                  </w:pPr>
                </w:p>
              </w:tc>
              <w:tc>
                <w:tcPr>
                  <w:tcW w:w="528" w:type="pct"/>
                  <w:vAlign w:val="center"/>
                </w:tcPr>
                <w:p w14:paraId="648F2FD0">
                  <w:pPr>
                    <w:jc w:val="center"/>
                    <w:rPr>
                      <w:color w:val="auto"/>
                      <w:sz w:val="18"/>
                      <w:szCs w:val="18"/>
                    </w:rPr>
                  </w:pPr>
                  <w:r>
                    <w:rPr>
                      <w:rFonts w:hint="eastAsia"/>
                      <w:color w:val="auto"/>
                      <w:sz w:val="18"/>
                      <w:szCs w:val="18"/>
                    </w:rPr>
                    <w:t>G3</w:t>
                  </w:r>
                </w:p>
              </w:tc>
              <w:tc>
                <w:tcPr>
                  <w:tcW w:w="771" w:type="pct"/>
                  <w:vAlign w:val="center"/>
                </w:tcPr>
                <w:p w14:paraId="642A316E">
                  <w:pPr>
                    <w:jc w:val="center"/>
                    <w:rPr>
                      <w:color w:val="auto"/>
                      <w:sz w:val="18"/>
                      <w:szCs w:val="18"/>
                    </w:rPr>
                  </w:pPr>
                  <w:r>
                    <w:rPr>
                      <w:rFonts w:hint="eastAsia"/>
                      <w:color w:val="auto"/>
                      <w:sz w:val="18"/>
                      <w:szCs w:val="18"/>
                    </w:rPr>
                    <w:t>稳定性评估</w:t>
                  </w:r>
                </w:p>
              </w:tc>
              <w:tc>
                <w:tcPr>
                  <w:tcW w:w="1867" w:type="pct"/>
                  <w:vAlign w:val="center"/>
                </w:tcPr>
                <w:p w14:paraId="41B724E6">
                  <w:pPr>
                    <w:jc w:val="center"/>
                    <w:rPr>
                      <w:color w:val="auto"/>
                      <w:sz w:val="18"/>
                      <w:szCs w:val="18"/>
                    </w:rPr>
                  </w:pPr>
                  <w:r>
                    <w:rPr>
                      <w:rFonts w:hint="eastAsia"/>
                      <w:color w:val="auto"/>
                      <w:sz w:val="18"/>
                      <w:szCs w:val="18"/>
                    </w:rPr>
                    <w:t>氨气、非甲烷总烃（含二甲苯、甲醇等）</w:t>
                  </w:r>
                </w:p>
              </w:tc>
              <w:tc>
                <w:tcPr>
                  <w:tcW w:w="1528" w:type="pct"/>
                  <w:vMerge w:val="continue"/>
                  <w:tcBorders>
                    <w:right w:val="single" w:color="000000" w:sz="12" w:space="0"/>
                  </w:tcBorders>
                  <w:vAlign w:val="center"/>
                </w:tcPr>
                <w:p w14:paraId="2A0F6086">
                  <w:pPr>
                    <w:adjustRightInd w:val="0"/>
                    <w:snapToGrid w:val="0"/>
                    <w:jc w:val="center"/>
                    <w:rPr>
                      <w:color w:val="auto"/>
                      <w:sz w:val="18"/>
                      <w:szCs w:val="18"/>
                    </w:rPr>
                  </w:pPr>
                </w:p>
              </w:tc>
            </w:tr>
            <w:tr w14:paraId="1FB7CE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510" w:hRule="atLeast"/>
                <w:jc w:val="center"/>
              </w:trPr>
              <w:tc>
                <w:tcPr>
                  <w:tcW w:w="303" w:type="pct"/>
                  <w:vMerge w:val="continue"/>
                  <w:tcBorders>
                    <w:left w:val="single" w:color="000000" w:sz="12" w:space="0"/>
                  </w:tcBorders>
                  <w:vAlign w:val="center"/>
                </w:tcPr>
                <w:p w14:paraId="2ACD6816">
                  <w:pPr>
                    <w:jc w:val="center"/>
                    <w:rPr>
                      <w:color w:val="auto"/>
                      <w:sz w:val="18"/>
                      <w:szCs w:val="18"/>
                    </w:rPr>
                  </w:pPr>
                </w:p>
              </w:tc>
              <w:tc>
                <w:tcPr>
                  <w:tcW w:w="528" w:type="pct"/>
                  <w:vAlign w:val="center"/>
                </w:tcPr>
                <w:p w14:paraId="251EE418">
                  <w:pPr>
                    <w:jc w:val="center"/>
                    <w:rPr>
                      <w:color w:val="auto"/>
                      <w:sz w:val="18"/>
                      <w:szCs w:val="18"/>
                    </w:rPr>
                  </w:pPr>
                  <w:r>
                    <w:rPr>
                      <w:rFonts w:hint="eastAsia"/>
                      <w:color w:val="auto"/>
                      <w:sz w:val="18"/>
                      <w:szCs w:val="18"/>
                    </w:rPr>
                    <w:t>/</w:t>
                  </w:r>
                </w:p>
              </w:tc>
              <w:tc>
                <w:tcPr>
                  <w:tcW w:w="771" w:type="pct"/>
                  <w:vAlign w:val="center"/>
                </w:tcPr>
                <w:p w14:paraId="2D2126DD">
                  <w:pPr>
                    <w:jc w:val="center"/>
                    <w:rPr>
                      <w:color w:val="auto"/>
                      <w:sz w:val="18"/>
                      <w:szCs w:val="18"/>
                    </w:rPr>
                  </w:pPr>
                  <w:r>
                    <w:rPr>
                      <w:rFonts w:hint="eastAsia"/>
                      <w:color w:val="auto"/>
                      <w:sz w:val="18"/>
                      <w:szCs w:val="18"/>
                    </w:rPr>
                    <w:t>危废仓库</w:t>
                  </w:r>
                </w:p>
              </w:tc>
              <w:tc>
                <w:tcPr>
                  <w:tcW w:w="1867" w:type="pct"/>
                  <w:vAlign w:val="center"/>
                </w:tcPr>
                <w:p w14:paraId="6BDCC453">
                  <w:pPr>
                    <w:jc w:val="center"/>
                    <w:rPr>
                      <w:color w:val="auto"/>
                      <w:sz w:val="18"/>
                      <w:szCs w:val="18"/>
                    </w:rPr>
                  </w:pPr>
                  <w:r>
                    <w:rPr>
                      <w:color w:val="auto"/>
                      <w:sz w:val="18"/>
                      <w:szCs w:val="18"/>
                    </w:rPr>
                    <w:t>非甲烷总烃</w:t>
                  </w:r>
                </w:p>
              </w:tc>
              <w:tc>
                <w:tcPr>
                  <w:tcW w:w="1528" w:type="pct"/>
                  <w:tcBorders>
                    <w:top w:val="single" w:color="auto" w:sz="4" w:space="0"/>
                    <w:right w:val="single" w:color="000000" w:sz="12" w:space="0"/>
                  </w:tcBorders>
                  <w:vAlign w:val="center"/>
                </w:tcPr>
                <w:p w14:paraId="0F648E67">
                  <w:pPr>
                    <w:adjustRightInd w:val="0"/>
                    <w:snapToGrid w:val="0"/>
                    <w:jc w:val="center"/>
                    <w:rPr>
                      <w:color w:val="auto"/>
                      <w:sz w:val="18"/>
                      <w:szCs w:val="18"/>
                    </w:rPr>
                  </w:pPr>
                  <w:r>
                    <w:rPr>
                      <w:rFonts w:hint="eastAsia"/>
                      <w:color w:val="auto"/>
                      <w:sz w:val="18"/>
                      <w:szCs w:val="18"/>
                    </w:rPr>
                    <w:t>活性炭吸附+</w:t>
                  </w:r>
                  <w:r>
                    <w:rPr>
                      <w:color w:val="auto"/>
                      <w:sz w:val="18"/>
                      <w:szCs w:val="18"/>
                    </w:rPr>
                    <w:t>1</w:t>
                  </w:r>
                  <w:r>
                    <w:rPr>
                      <w:rFonts w:hint="eastAsia"/>
                      <w:color w:val="auto"/>
                      <w:sz w:val="18"/>
                      <w:szCs w:val="18"/>
                    </w:rPr>
                    <w:t>5</w:t>
                  </w:r>
                  <w:r>
                    <w:rPr>
                      <w:color w:val="auto"/>
                      <w:sz w:val="18"/>
                      <w:szCs w:val="18"/>
                    </w:rPr>
                    <w:t>m高排气筒</w:t>
                  </w:r>
                  <w:r>
                    <w:rPr>
                      <w:rFonts w:hint="eastAsia"/>
                      <w:color w:val="auto"/>
                      <w:sz w:val="18"/>
                      <w:szCs w:val="18"/>
                    </w:rPr>
                    <w:t>DA002</w:t>
                  </w:r>
                </w:p>
              </w:tc>
            </w:tr>
            <w:tr w14:paraId="79A253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20" w:hRule="atLeast"/>
                <w:jc w:val="center"/>
              </w:trPr>
              <w:tc>
                <w:tcPr>
                  <w:tcW w:w="303" w:type="pct"/>
                  <w:vMerge w:val="restart"/>
                  <w:tcBorders>
                    <w:left w:val="single" w:color="000000" w:sz="12" w:space="0"/>
                  </w:tcBorders>
                  <w:vAlign w:val="center"/>
                </w:tcPr>
                <w:p w14:paraId="69845519">
                  <w:pPr>
                    <w:jc w:val="center"/>
                    <w:rPr>
                      <w:color w:val="auto"/>
                      <w:sz w:val="18"/>
                      <w:szCs w:val="18"/>
                    </w:rPr>
                  </w:pPr>
                  <w:r>
                    <w:rPr>
                      <w:color w:val="auto"/>
                      <w:sz w:val="18"/>
                      <w:szCs w:val="18"/>
                    </w:rPr>
                    <w:t>废水</w:t>
                  </w:r>
                </w:p>
              </w:tc>
              <w:tc>
                <w:tcPr>
                  <w:tcW w:w="528" w:type="pct"/>
                  <w:vAlign w:val="center"/>
                </w:tcPr>
                <w:p w14:paraId="14C191C0">
                  <w:pPr>
                    <w:jc w:val="center"/>
                    <w:rPr>
                      <w:color w:val="auto"/>
                      <w:sz w:val="18"/>
                      <w:szCs w:val="18"/>
                    </w:rPr>
                  </w:pPr>
                  <w:r>
                    <w:rPr>
                      <w:color w:val="auto"/>
                      <w:sz w:val="18"/>
                      <w:szCs w:val="18"/>
                    </w:rPr>
                    <w:t>/</w:t>
                  </w:r>
                </w:p>
              </w:tc>
              <w:tc>
                <w:tcPr>
                  <w:tcW w:w="771" w:type="pct"/>
                  <w:vAlign w:val="center"/>
                </w:tcPr>
                <w:p w14:paraId="61013B47">
                  <w:pPr>
                    <w:jc w:val="center"/>
                    <w:rPr>
                      <w:rFonts w:hint="eastAsia" w:eastAsia="宋体"/>
                      <w:color w:val="auto"/>
                      <w:sz w:val="18"/>
                      <w:szCs w:val="18"/>
                      <w:lang w:eastAsia="zh-CN"/>
                    </w:rPr>
                  </w:pPr>
                  <w:r>
                    <w:rPr>
                      <w:rFonts w:hint="eastAsia"/>
                      <w:color w:val="auto"/>
                      <w:sz w:val="18"/>
                      <w:szCs w:val="18"/>
                    </w:rPr>
                    <w:t>日常</w:t>
                  </w:r>
                  <w:r>
                    <w:rPr>
                      <w:rFonts w:hint="eastAsia"/>
                      <w:color w:val="auto"/>
                      <w:sz w:val="18"/>
                      <w:szCs w:val="18"/>
                      <w:lang w:val="en-US" w:eastAsia="zh-CN"/>
                    </w:rPr>
                    <w:t>运营</w:t>
                  </w:r>
                </w:p>
              </w:tc>
              <w:tc>
                <w:tcPr>
                  <w:tcW w:w="1867" w:type="pct"/>
                  <w:vAlign w:val="center"/>
                </w:tcPr>
                <w:p w14:paraId="074C0C68">
                  <w:pPr>
                    <w:jc w:val="center"/>
                    <w:rPr>
                      <w:rFonts w:hint="default" w:eastAsia="宋体"/>
                      <w:color w:val="auto"/>
                      <w:sz w:val="18"/>
                      <w:szCs w:val="18"/>
                      <w:lang w:val="en-US" w:eastAsia="zh-CN"/>
                    </w:rPr>
                  </w:pPr>
                  <w:r>
                    <w:rPr>
                      <w:rFonts w:hint="eastAsia"/>
                      <w:color w:val="auto"/>
                      <w:sz w:val="18"/>
                      <w:szCs w:val="18"/>
                      <w:lang w:val="en-US" w:eastAsia="zh-CN"/>
                    </w:rPr>
                    <w:t>后道清洗废水</w:t>
                  </w:r>
                </w:p>
              </w:tc>
              <w:tc>
                <w:tcPr>
                  <w:tcW w:w="1528" w:type="pct"/>
                  <w:tcBorders>
                    <w:bottom w:val="single" w:color="auto" w:sz="4" w:space="0"/>
                    <w:right w:val="single" w:color="000000" w:sz="12" w:space="0"/>
                  </w:tcBorders>
                  <w:vAlign w:val="center"/>
                </w:tcPr>
                <w:p w14:paraId="0B849DB1">
                  <w:pPr>
                    <w:jc w:val="center"/>
                    <w:rPr>
                      <w:color w:val="auto"/>
                      <w:sz w:val="18"/>
                      <w:szCs w:val="18"/>
                    </w:rPr>
                  </w:pPr>
                  <w:r>
                    <w:rPr>
                      <w:rFonts w:hint="eastAsia"/>
                      <w:color w:val="auto"/>
                      <w:sz w:val="18"/>
                      <w:szCs w:val="18"/>
                      <w:lang w:val="en-US" w:eastAsia="zh-CN"/>
                    </w:rPr>
                    <w:t>厂区污水处理设施处理</w:t>
                  </w:r>
                  <w:r>
                    <w:rPr>
                      <w:color w:val="auto"/>
                      <w:sz w:val="18"/>
                      <w:szCs w:val="18"/>
                    </w:rPr>
                    <w:t>后接管</w:t>
                  </w:r>
                  <w:r>
                    <w:rPr>
                      <w:rFonts w:hint="eastAsia"/>
                      <w:color w:val="auto"/>
                      <w:sz w:val="18"/>
                      <w:szCs w:val="18"/>
                    </w:rPr>
                    <w:t>海安李堡滇池水务有限公司</w:t>
                  </w:r>
                  <w:r>
                    <w:rPr>
                      <w:color w:val="auto"/>
                      <w:sz w:val="18"/>
                      <w:szCs w:val="18"/>
                    </w:rPr>
                    <w:t>集中处理</w:t>
                  </w:r>
                </w:p>
              </w:tc>
            </w:tr>
            <w:tr w14:paraId="0E4448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20" w:hRule="atLeast"/>
                <w:jc w:val="center"/>
              </w:trPr>
              <w:tc>
                <w:tcPr>
                  <w:tcW w:w="303" w:type="pct"/>
                  <w:vMerge w:val="continue"/>
                  <w:tcBorders>
                    <w:left w:val="single" w:color="000000" w:sz="12" w:space="0"/>
                  </w:tcBorders>
                  <w:vAlign w:val="center"/>
                </w:tcPr>
                <w:p w14:paraId="569BC318">
                  <w:pPr>
                    <w:jc w:val="center"/>
                    <w:rPr>
                      <w:color w:val="auto"/>
                      <w:sz w:val="18"/>
                      <w:szCs w:val="18"/>
                    </w:rPr>
                  </w:pPr>
                </w:p>
              </w:tc>
              <w:tc>
                <w:tcPr>
                  <w:tcW w:w="528" w:type="pct"/>
                  <w:vAlign w:val="center"/>
                </w:tcPr>
                <w:p w14:paraId="07093117">
                  <w:pPr>
                    <w:jc w:val="center"/>
                    <w:rPr>
                      <w:rFonts w:hint="eastAsia" w:eastAsia="宋体"/>
                      <w:color w:val="auto"/>
                      <w:sz w:val="18"/>
                      <w:szCs w:val="18"/>
                      <w:lang w:val="en-US" w:eastAsia="zh-CN"/>
                    </w:rPr>
                  </w:pPr>
                  <w:r>
                    <w:rPr>
                      <w:rFonts w:hint="eastAsia"/>
                      <w:color w:val="auto"/>
                      <w:sz w:val="18"/>
                      <w:szCs w:val="18"/>
                      <w:lang w:val="en-US" w:eastAsia="zh-CN"/>
                    </w:rPr>
                    <w:t>/</w:t>
                  </w:r>
                </w:p>
              </w:tc>
              <w:tc>
                <w:tcPr>
                  <w:tcW w:w="771" w:type="pct"/>
                  <w:shd w:val="clear" w:color="auto" w:fill="auto"/>
                  <w:vAlign w:val="center"/>
                </w:tcPr>
                <w:p w14:paraId="07D0F852">
                  <w:pPr>
                    <w:jc w:val="center"/>
                    <w:rPr>
                      <w:rFonts w:ascii="Times New Roman" w:hAnsi="Times New Roman" w:eastAsia="宋体" w:cs="Times New Roman"/>
                      <w:color w:val="auto"/>
                      <w:kern w:val="2"/>
                      <w:sz w:val="18"/>
                      <w:szCs w:val="18"/>
                      <w:lang w:val="en-US" w:eastAsia="zh-CN" w:bidi="ar-SA"/>
                    </w:rPr>
                  </w:pPr>
                  <w:r>
                    <w:rPr>
                      <w:color w:val="auto"/>
                      <w:sz w:val="18"/>
                      <w:szCs w:val="18"/>
                    </w:rPr>
                    <w:t>职工生活</w:t>
                  </w:r>
                </w:p>
              </w:tc>
              <w:tc>
                <w:tcPr>
                  <w:tcW w:w="1867" w:type="pct"/>
                  <w:shd w:val="clear" w:color="auto" w:fill="auto"/>
                  <w:vAlign w:val="center"/>
                </w:tcPr>
                <w:p w14:paraId="52B2F6ED">
                  <w:pPr>
                    <w:jc w:val="center"/>
                    <w:rPr>
                      <w:rFonts w:ascii="Times New Roman" w:hAnsi="Times New Roman" w:eastAsia="宋体" w:cs="Times New Roman"/>
                      <w:color w:val="auto"/>
                      <w:kern w:val="2"/>
                      <w:sz w:val="18"/>
                      <w:szCs w:val="18"/>
                      <w:lang w:val="en-US" w:eastAsia="zh-CN" w:bidi="ar-SA"/>
                    </w:rPr>
                  </w:pPr>
                  <w:r>
                    <w:rPr>
                      <w:color w:val="auto"/>
                      <w:sz w:val="18"/>
                      <w:szCs w:val="18"/>
                    </w:rPr>
                    <w:t>COD、SS、氨氮、总氮、总磷</w:t>
                  </w:r>
                </w:p>
              </w:tc>
              <w:tc>
                <w:tcPr>
                  <w:tcW w:w="1528" w:type="pct"/>
                  <w:tcBorders>
                    <w:bottom w:val="single" w:color="auto" w:sz="4" w:space="0"/>
                    <w:right w:val="single" w:color="000000" w:sz="12" w:space="0"/>
                  </w:tcBorders>
                  <w:shd w:val="clear" w:color="auto" w:fill="auto"/>
                  <w:vAlign w:val="center"/>
                </w:tcPr>
                <w:p w14:paraId="39CFAB4A">
                  <w:pPr>
                    <w:jc w:val="center"/>
                    <w:rPr>
                      <w:rFonts w:ascii="Times New Roman" w:hAnsi="Times New Roman" w:eastAsia="宋体" w:cs="Times New Roman"/>
                      <w:color w:val="auto"/>
                      <w:kern w:val="2"/>
                      <w:sz w:val="18"/>
                      <w:szCs w:val="18"/>
                      <w:lang w:val="en-US" w:eastAsia="zh-CN" w:bidi="ar-SA"/>
                    </w:rPr>
                  </w:pPr>
                  <w:r>
                    <w:rPr>
                      <w:color w:val="auto"/>
                      <w:sz w:val="18"/>
                      <w:szCs w:val="18"/>
                    </w:rPr>
                    <w:t>化粪池处理后接管</w:t>
                  </w:r>
                  <w:r>
                    <w:rPr>
                      <w:rFonts w:hint="eastAsia"/>
                      <w:color w:val="auto"/>
                      <w:sz w:val="18"/>
                      <w:szCs w:val="18"/>
                    </w:rPr>
                    <w:t>海安李堡滇池水务有限公司</w:t>
                  </w:r>
                  <w:r>
                    <w:rPr>
                      <w:color w:val="auto"/>
                      <w:sz w:val="18"/>
                      <w:szCs w:val="18"/>
                    </w:rPr>
                    <w:t>集中处理</w:t>
                  </w:r>
                </w:p>
              </w:tc>
            </w:tr>
            <w:tr w14:paraId="50A1E0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52" w:hRule="atLeast"/>
                <w:jc w:val="center"/>
              </w:trPr>
              <w:tc>
                <w:tcPr>
                  <w:tcW w:w="303" w:type="pct"/>
                  <w:vMerge w:val="restart"/>
                  <w:tcBorders>
                    <w:left w:val="single" w:color="000000" w:sz="12" w:space="0"/>
                  </w:tcBorders>
                  <w:vAlign w:val="center"/>
                </w:tcPr>
                <w:p w14:paraId="637240BC">
                  <w:pPr>
                    <w:jc w:val="center"/>
                    <w:rPr>
                      <w:color w:val="auto"/>
                      <w:sz w:val="18"/>
                      <w:szCs w:val="18"/>
                    </w:rPr>
                  </w:pPr>
                  <w:r>
                    <w:rPr>
                      <w:color w:val="auto"/>
                      <w:sz w:val="18"/>
                      <w:szCs w:val="18"/>
                    </w:rPr>
                    <w:t>固废</w:t>
                  </w:r>
                </w:p>
              </w:tc>
              <w:tc>
                <w:tcPr>
                  <w:tcW w:w="528" w:type="pct"/>
                  <w:vAlign w:val="center"/>
                </w:tcPr>
                <w:p w14:paraId="312A6169">
                  <w:pPr>
                    <w:jc w:val="center"/>
                    <w:rPr>
                      <w:color w:val="auto"/>
                      <w:sz w:val="18"/>
                      <w:szCs w:val="18"/>
                    </w:rPr>
                  </w:pPr>
                  <w:r>
                    <w:rPr>
                      <w:rFonts w:hint="eastAsia"/>
                      <w:color w:val="auto"/>
                      <w:sz w:val="18"/>
                      <w:szCs w:val="18"/>
                    </w:rPr>
                    <w:t>S1</w:t>
                  </w:r>
                </w:p>
              </w:tc>
              <w:tc>
                <w:tcPr>
                  <w:tcW w:w="771" w:type="pct"/>
                  <w:vAlign w:val="center"/>
                </w:tcPr>
                <w:p w14:paraId="41E7CF50">
                  <w:pPr>
                    <w:jc w:val="center"/>
                    <w:rPr>
                      <w:color w:val="auto"/>
                      <w:sz w:val="18"/>
                      <w:szCs w:val="18"/>
                    </w:rPr>
                  </w:pPr>
                  <w:r>
                    <w:rPr>
                      <w:rFonts w:hint="eastAsia"/>
                      <w:color w:val="auto"/>
                      <w:sz w:val="18"/>
                      <w:szCs w:val="18"/>
                    </w:rPr>
                    <w:t>均质</w:t>
                  </w:r>
                </w:p>
              </w:tc>
              <w:tc>
                <w:tcPr>
                  <w:tcW w:w="1867" w:type="pct"/>
                  <w:vAlign w:val="center"/>
                </w:tcPr>
                <w:p w14:paraId="7509058E">
                  <w:pPr>
                    <w:jc w:val="center"/>
                    <w:rPr>
                      <w:color w:val="auto"/>
                      <w:sz w:val="18"/>
                      <w:szCs w:val="18"/>
                    </w:rPr>
                  </w:pPr>
                  <w:r>
                    <w:rPr>
                      <w:rFonts w:hint="eastAsia"/>
                      <w:color w:val="auto"/>
                      <w:sz w:val="18"/>
                      <w:szCs w:val="18"/>
                    </w:rPr>
                    <w:t>废试剂包装</w:t>
                  </w:r>
                </w:p>
              </w:tc>
              <w:tc>
                <w:tcPr>
                  <w:tcW w:w="1528" w:type="pct"/>
                  <w:tcBorders>
                    <w:right w:val="single" w:color="000000" w:sz="12" w:space="0"/>
                  </w:tcBorders>
                  <w:vAlign w:val="center"/>
                </w:tcPr>
                <w:p w14:paraId="7626FC16">
                  <w:pPr>
                    <w:jc w:val="center"/>
                    <w:rPr>
                      <w:color w:val="auto"/>
                      <w:sz w:val="18"/>
                      <w:szCs w:val="18"/>
                    </w:rPr>
                  </w:pPr>
                  <w:r>
                    <w:rPr>
                      <w:color w:val="auto"/>
                      <w:sz w:val="18"/>
                      <w:szCs w:val="18"/>
                    </w:rPr>
                    <w:t>委托有资质单位处置</w:t>
                  </w:r>
                </w:p>
              </w:tc>
            </w:tr>
            <w:tr w14:paraId="5D56B9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66" w:hRule="atLeast"/>
                <w:jc w:val="center"/>
              </w:trPr>
              <w:tc>
                <w:tcPr>
                  <w:tcW w:w="303" w:type="pct"/>
                  <w:vMerge w:val="continue"/>
                  <w:tcBorders>
                    <w:left w:val="single" w:color="000000" w:sz="12" w:space="0"/>
                  </w:tcBorders>
                  <w:vAlign w:val="center"/>
                </w:tcPr>
                <w:p w14:paraId="6D31B96D">
                  <w:pPr>
                    <w:jc w:val="left"/>
                    <w:rPr>
                      <w:color w:val="auto"/>
                      <w:sz w:val="18"/>
                      <w:szCs w:val="18"/>
                    </w:rPr>
                  </w:pPr>
                </w:p>
              </w:tc>
              <w:tc>
                <w:tcPr>
                  <w:tcW w:w="528" w:type="pct"/>
                  <w:vAlign w:val="center"/>
                </w:tcPr>
                <w:p w14:paraId="27A369C2">
                  <w:pPr>
                    <w:jc w:val="center"/>
                    <w:rPr>
                      <w:color w:val="auto"/>
                      <w:sz w:val="18"/>
                      <w:szCs w:val="18"/>
                    </w:rPr>
                  </w:pPr>
                  <w:r>
                    <w:rPr>
                      <w:rFonts w:hint="eastAsia"/>
                      <w:color w:val="auto"/>
                      <w:sz w:val="18"/>
                      <w:szCs w:val="18"/>
                    </w:rPr>
                    <w:t>S2</w:t>
                  </w:r>
                </w:p>
              </w:tc>
              <w:tc>
                <w:tcPr>
                  <w:tcW w:w="771" w:type="pct"/>
                  <w:vAlign w:val="center"/>
                </w:tcPr>
                <w:p w14:paraId="431D0554">
                  <w:pPr>
                    <w:jc w:val="center"/>
                    <w:rPr>
                      <w:color w:val="auto"/>
                      <w:sz w:val="18"/>
                      <w:szCs w:val="18"/>
                    </w:rPr>
                  </w:pPr>
                  <w:r>
                    <w:rPr>
                      <w:rFonts w:hint="eastAsia"/>
                      <w:color w:val="auto"/>
                      <w:sz w:val="18"/>
                      <w:szCs w:val="18"/>
                    </w:rPr>
                    <w:t>均质</w:t>
                  </w:r>
                </w:p>
              </w:tc>
              <w:tc>
                <w:tcPr>
                  <w:tcW w:w="1867" w:type="pct"/>
                  <w:vAlign w:val="center"/>
                </w:tcPr>
                <w:p w14:paraId="4B6236CA">
                  <w:pPr>
                    <w:jc w:val="center"/>
                    <w:rPr>
                      <w:color w:val="auto"/>
                      <w:sz w:val="18"/>
                      <w:szCs w:val="18"/>
                    </w:rPr>
                  </w:pPr>
                  <w:r>
                    <w:rPr>
                      <w:rFonts w:hint="eastAsia"/>
                      <w:color w:val="auto"/>
                      <w:sz w:val="18"/>
                      <w:szCs w:val="18"/>
                    </w:rPr>
                    <w:t>实验废液</w:t>
                  </w:r>
                </w:p>
              </w:tc>
              <w:tc>
                <w:tcPr>
                  <w:tcW w:w="1528" w:type="pct"/>
                  <w:tcBorders>
                    <w:right w:val="single" w:color="000000" w:sz="12" w:space="0"/>
                  </w:tcBorders>
                  <w:vAlign w:val="center"/>
                </w:tcPr>
                <w:p w14:paraId="11DCC3F8">
                  <w:pPr>
                    <w:jc w:val="center"/>
                    <w:rPr>
                      <w:color w:val="auto"/>
                      <w:sz w:val="18"/>
                      <w:szCs w:val="18"/>
                    </w:rPr>
                  </w:pPr>
                  <w:r>
                    <w:rPr>
                      <w:color w:val="auto"/>
                      <w:sz w:val="18"/>
                      <w:szCs w:val="18"/>
                    </w:rPr>
                    <w:t>委托有资质单位处置</w:t>
                  </w:r>
                </w:p>
              </w:tc>
            </w:tr>
            <w:tr w14:paraId="7EBC5E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66" w:hRule="atLeast"/>
                <w:jc w:val="center"/>
              </w:trPr>
              <w:tc>
                <w:tcPr>
                  <w:tcW w:w="303" w:type="pct"/>
                  <w:vMerge w:val="continue"/>
                  <w:tcBorders>
                    <w:left w:val="single" w:color="000000" w:sz="12" w:space="0"/>
                  </w:tcBorders>
                  <w:vAlign w:val="center"/>
                </w:tcPr>
                <w:p w14:paraId="63206DC9">
                  <w:pPr>
                    <w:jc w:val="left"/>
                    <w:rPr>
                      <w:color w:val="auto"/>
                      <w:sz w:val="18"/>
                      <w:szCs w:val="18"/>
                    </w:rPr>
                  </w:pPr>
                </w:p>
              </w:tc>
              <w:tc>
                <w:tcPr>
                  <w:tcW w:w="528" w:type="pct"/>
                  <w:vAlign w:val="center"/>
                </w:tcPr>
                <w:p w14:paraId="6E20A7F6">
                  <w:pPr>
                    <w:jc w:val="center"/>
                    <w:rPr>
                      <w:color w:val="auto"/>
                      <w:sz w:val="18"/>
                      <w:szCs w:val="18"/>
                    </w:rPr>
                  </w:pPr>
                  <w:r>
                    <w:rPr>
                      <w:rFonts w:hint="eastAsia"/>
                      <w:color w:val="auto"/>
                      <w:sz w:val="18"/>
                      <w:szCs w:val="18"/>
                    </w:rPr>
                    <w:t>S3</w:t>
                  </w:r>
                </w:p>
              </w:tc>
              <w:tc>
                <w:tcPr>
                  <w:tcW w:w="771" w:type="pct"/>
                  <w:vAlign w:val="center"/>
                </w:tcPr>
                <w:p w14:paraId="75D87071">
                  <w:pPr>
                    <w:jc w:val="center"/>
                    <w:rPr>
                      <w:color w:val="auto"/>
                      <w:sz w:val="18"/>
                      <w:szCs w:val="18"/>
                    </w:rPr>
                  </w:pPr>
                  <w:r>
                    <w:rPr>
                      <w:rFonts w:hint="eastAsia"/>
                      <w:color w:val="auto"/>
                      <w:sz w:val="18"/>
                      <w:szCs w:val="18"/>
                    </w:rPr>
                    <w:t>均匀性初检</w:t>
                  </w:r>
                </w:p>
              </w:tc>
              <w:tc>
                <w:tcPr>
                  <w:tcW w:w="1867" w:type="pct"/>
                  <w:vAlign w:val="center"/>
                </w:tcPr>
                <w:p w14:paraId="0B5E846F">
                  <w:pPr>
                    <w:jc w:val="center"/>
                    <w:rPr>
                      <w:color w:val="auto"/>
                      <w:sz w:val="18"/>
                      <w:szCs w:val="18"/>
                    </w:rPr>
                  </w:pPr>
                  <w:r>
                    <w:rPr>
                      <w:rFonts w:hint="eastAsia"/>
                      <w:color w:val="auto"/>
                      <w:sz w:val="18"/>
                      <w:szCs w:val="18"/>
                    </w:rPr>
                    <w:t>实验废液</w:t>
                  </w:r>
                </w:p>
              </w:tc>
              <w:tc>
                <w:tcPr>
                  <w:tcW w:w="1528" w:type="pct"/>
                  <w:tcBorders>
                    <w:right w:val="single" w:color="000000" w:sz="12" w:space="0"/>
                  </w:tcBorders>
                  <w:vAlign w:val="center"/>
                </w:tcPr>
                <w:p w14:paraId="440B40A9">
                  <w:pPr>
                    <w:jc w:val="center"/>
                    <w:rPr>
                      <w:color w:val="auto"/>
                      <w:sz w:val="18"/>
                      <w:szCs w:val="18"/>
                    </w:rPr>
                  </w:pPr>
                  <w:r>
                    <w:rPr>
                      <w:color w:val="auto"/>
                      <w:sz w:val="18"/>
                      <w:szCs w:val="18"/>
                    </w:rPr>
                    <w:t>委托有资质单位处置</w:t>
                  </w:r>
                </w:p>
              </w:tc>
            </w:tr>
            <w:tr w14:paraId="674BEC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66" w:hRule="atLeast"/>
                <w:jc w:val="center"/>
              </w:trPr>
              <w:tc>
                <w:tcPr>
                  <w:tcW w:w="303" w:type="pct"/>
                  <w:vMerge w:val="continue"/>
                  <w:tcBorders>
                    <w:left w:val="single" w:color="000000" w:sz="12" w:space="0"/>
                  </w:tcBorders>
                  <w:vAlign w:val="center"/>
                </w:tcPr>
                <w:p w14:paraId="1B92612C">
                  <w:pPr>
                    <w:jc w:val="left"/>
                    <w:rPr>
                      <w:color w:val="auto"/>
                      <w:sz w:val="18"/>
                      <w:szCs w:val="18"/>
                    </w:rPr>
                  </w:pPr>
                </w:p>
              </w:tc>
              <w:tc>
                <w:tcPr>
                  <w:tcW w:w="528" w:type="pct"/>
                  <w:vAlign w:val="center"/>
                </w:tcPr>
                <w:p w14:paraId="59A69BF1">
                  <w:pPr>
                    <w:jc w:val="center"/>
                    <w:rPr>
                      <w:color w:val="auto"/>
                      <w:sz w:val="18"/>
                      <w:szCs w:val="18"/>
                    </w:rPr>
                  </w:pPr>
                  <w:r>
                    <w:rPr>
                      <w:rFonts w:hint="eastAsia"/>
                      <w:color w:val="auto"/>
                      <w:sz w:val="18"/>
                      <w:szCs w:val="18"/>
                    </w:rPr>
                    <w:t>S4</w:t>
                  </w:r>
                </w:p>
              </w:tc>
              <w:tc>
                <w:tcPr>
                  <w:tcW w:w="771" w:type="pct"/>
                  <w:vAlign w:val="center"/>
                </w:tcPr>
                <w:p w14:paraId="67B946EA">
                  <w:pPr>
                    <w:jc w:val="center"/>
                    <w:rPr>
                      <w:color w:val="auto"/>
                      <w:sz w:val="18"/>
                      <w:szCs w:val="18"/>
                    </w:rPr>
                  </w:pPr>
                  <w:r>
                    <w:rPr>
                      <w:rFonts w:hint="eastAsia"/>
                      <w:color w:val="auto"/>
                      <w:sz w:val="18"/>
                      <w:szCs w:val="18"/>
                    </w:rPr>
                    <w:t>稳定性评估</w:t>
                  </w:r>
                </w:p>
              </w:tc>
              <w:tc>
                <w:tcPr>
                  <w:tcW w:w="1867" w:type="pct"/>
                  <w:vAlign w:val="center"/>
                </w:tcPr>
                <w:p w14:paraId="49E25B18">
                  <w:pPr>
                    <w:jc w:val="center"/>
                    <w:rPr>
                      <w:color w:val="auto"/>
                      <w:sz w:val="18"/>
                      <w:szCs w:val="18"/>
                    </w:rPr>
                  </w:pPr>
                  <w:r>
                    <w:rPr>
                      <w:rFonts w:hint="eastAsia"/>
                      <w:color w:val="auto"/>
                      <w:sz w:val="18"/>
                      <w:szCs w:val="18"/>
                    </w:rPr>
                    <w:t>实验废液</w:t>
                  </w:r>
                </w:p>
              </w:tc>
              <w:tc>
                <w:tcPr>
                  <w:tcW w:w="1528" w:type="pct"/>
                  <w:tcBorders>
                    <w:right w:val="single" w:color="000000" w:sz="12" w:space="0"/>
                  </w:tcBorders>
                  <w:vAlign w:val="center"/>
                </w:tcPr>
                <w:p w14:paraId="0BCD8AA1">
                  <w:pPr>
                    <w:jc w:val="center"/>
                    <w:rPr>
                      <w:color w:val="auto"/>
                      <w:sz w:val="18"/>
                      <w:szCs w:val="18"/>
                    </w:rPr>
                  </w:pPr>
                  <w:r>
                    <w:rPr>
                      <w:color w:val="auto"/>
                      <w:sz w:val="18"/>
                      <w:szCs w:val="18"/>
                    </w:rPr>
                    <w:t>委托有资质单位处置</w:t>
                  </w:r>
                </w:p>
              </w:tc>
            </w:tr>
            <w:tr w14:paraId="65B28A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66" w:hRule="atLeast"/>
                <w:jc w:val="center"/>
              </w:trPr>
              <w:tc>
                <w:tcPr>
                  <w:tcW w:w="303" w:type="pct"/>
                  <w:vMerge w:val="continue"/>
                  <w:tcBorders>
                    <w:left w:val="single" w:color="000000" w:sz="12" w:space="0"/>
                  </w:tcBorders>
                  <w:vAlign w:val="center"/>
                </w:tcPr>
                <w:p w14:paraId="66CEE5EB">
                  <w:pPr>
                    <w:jc w:val="left"/>
                    <w:rPr>
                      <w:color w:val="auto"/>
                      <w:sz w:val="18"/>
                      <w:szCs w:val="18"/>
                    </w:rPr>
                  </w:pPr>
                </w:p>
              </w:tc>
              <w:tc>
                <w:tcPr>
                  <w:tcW w:w="528" w:type="pct"/>
                  <w:vMerge w:val="restart"/>
                  <w:vAlign w:val="center"/>
                </w:tcPr>
                <w:p w14:paraId="2A5763EE">
                  <w:pPr>
                    <w:jc w:val="center"/>
                    <w:rPr>
                      <w:color w:val="auto"/>
                      <w:sz w:val="18"/>
                      <w:szCs w:val="18"/>
                    </w:rPr>
                  </w:pPr>
                  <w:r>
                    <w:rPr>
                      <w:rFonts w:hint="eastAsia"/>
                      <w:color w:val="auto"/>
                      <w:sz w:val="18"/>
                      <w:szCs w:val="18"/>
                    </w:rPr>
                    <w:t>/</w:t>
                  </w:r>
                </w:p>
              </w:tc>
              <w:tc>
                <w:tcPr>
                  <w:tcW w:w="771" w:type="pct"/>
                  <w:vMerge w:val="restart"/>
                  <w:vAlign w:val="center"/>
                </w:tcPr>
                <w:p w14:paraId="75A16917">
                  <w:pPr>
                    <w:jc w:val="center"/>
                    <w:rPr>
                      <w:color w:val="auto"/>
                      <w:sz w:val="18"/>
                      <w:szCs w:val="18"/>
                    </w:rPr>
                  </w:pPr>
                  <w:r>
                    <w:rPr>
                      <w:rFonts w:hint="eastAsia"/>
                      <w:color w:val="auto"/>
                      <w:sz w:val="18"/>
                      <w:szCs w:val="18"/>
                    </w:rPr>
                    <w:t>废气处理设施</w:t>
                  </w:r>
                </w:p>
              </w:tc>
              <w:tc>
                <w:tcPr>
                  <w:tcW w:w="1867" w:type="pct"/>
                  <w:vAlign w:val="center"/>
                </w:tcPr>
                <w:p w14:paraId="4C498A12">
                  <w:pPr>
                    <w:jc w:val="center"/>
                    <w:rPr>
                      <w:color w:val="auto"/>
                      <w:sz w:val="18"/>
                      <w:szCs w:val="18"/>
                    </w:rPr>
                  </w:pPr>
                  <w:r>
                    <w:rPr>
                      <w:rFonts w:hint="eastAsia"/>
                      <w:color w:val="auto"/>
                      <w:sz w:val="18"/>
                      <w:szCs w:val="18"/>
                    </w:rPr>
                    <w:t>废活性炭</w:t>
                  </w:r>
                </w:p>
              </w:tc>
              <w:tc>
                <w:tcPr>
                  <w:tcW w:w="1528" w:type="pct"/>
                  <w:tcBorders>
                    <w:right w:val="single" w:color="000000" w:sz="12" w:space="0"/>
                  </w:tcBorders>
                  <w:vAlign w:val="center"/>
                </w:tcPr>
                <w:p w14:paraId="3C42B1FA">
                  <w:pPr>
                    <w:jc w:val="center"/>
                    <w:rPr>
                      <w:color w:val="auto"/>
                      <w:sz w:val="18"/>
                      <w:szCs w:val="18"/>
                    </w:rPr>
                  </w:pPr>
                  <w:r>
                    <w:rPr>
                      <w:color w:val="auto"/>
                      <w:sz w:val="18"/>
                      <w:szCs w:val="18"/>
                    </w:rPr>
                    <w:t>委托有资质单位处置</w:t>
                  </w:r>
                </w:p>
              </w:tc>
            </w:tr>
            <w:tr w14:paraId="52598E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66" w:hRule="atLeast"/>
                <w:jc w:val="center"/>
              </w:trPr>
              <w:tc>
                <w:tcPr>
                  <w:tcW w:w="303" w:type="pct"/>
                  <w:vMerge w:val="continue"/>
                  <w:tcBorders>
                    <w:left w:val="single" w:color="000000" w:sz="12" w:space="0"/>
                  </w:tcBorders>
                  <w:vAlign w:val="center"/>
                </w:tcPr>
                <w:p w14:paraId="67B1639F">
                  <w:pPr>
                    <w:jc w:val="left"/>
                    <w:rPr>
                      <w:color w:val="auto"/>
                      <w:sz w:val="18"/>
                      <w:szCs w:val="18"/>
                    </w:rPr>
                  </w:pPr>
                </w:p>
              </w:tc>
              <w:tc>
                <w:tcPr>
                  <w:tcW w:w="528" w:type="pct"/>
                  <w:vMerge w:val="continue"/>
                  <w:vAlign w:val="center"/>
                </w:tcPr>
                <w:p w14:paraId="1F4CF5EF">
                  <w:pPr>
                    <w:jc w:val="center"/>
                    <w:rPr>
                      <w:color w:val="auto"/>
                      <w:sz w:val="18"/>
                      <w:szCs w:val="18"/>
                    </w:rPr>
                  </w:pPr>
                </w:p>
              </w:tc>
              <w:tc>
                <w:tcPr>
                  <w:tcW w:w="771" w:type="pct"/>
                  <w:vMerge w:val="continue"/>
                  <w:vAlign w:val="center"/>
                </w:tcPr>
                <w:p w14:paraId="51760DA0">
                  <w:pPr>
                    <w:jc w:val="center"/>
                    <w:rPr>
                      <w:color w:val="auto"/>
                      <w:sz w:val="18"/>
                      <w:szCs w:val="18"/>
                    </w:rPr>
                  </w:pPr>
                </w:p>
              </w:tc>
              <w:tc>
                <w:tcPr>
                  <w:tcW w:w="1867" w:type="pct"/>
                  <w:vAlign w:val="center"/>
                </w:tcPr>
                <w:p w14:paraId="2671EAA8">
                  <w:pPr>
                    <w:jc w:val="center"/>
                    <w:rPr>
                      <w:color w:val="auto"/>
                      <w:sz w:val="18"/>
                      <w:szCs w:val="18"/>
                    </w:rPr>
                  </w:pPr>
                  <w:r>
                    <w:rPr>
                      <w:rFonts w:hint="eastAsia"/>
                      <w:color w:val="auto"/>
                      <w:sz w:val="18"/>
                      <w:szCs w:val="18"/>
                    </w:rPr>
                    <w:t>喷淋废液</w:t>
                  </w:r>
                </w:p>
              </w:tc>
              <w:tc>
                <w:tcPr>
                  <w:tcW w:w="1528" w:type="pct"/>
                  <w:tcBorders>
                    <w:right w:val="single" w:color="000000" w:sz="12" w:space="0"/>
                  </w:tcBorders>
                  <w:vAlign w:val="center"/>
                </w:tcPr>
                <w:p w14:paraId="67E5A888">
                  <w:pPr>
                    <w:jc w:val="center"/>
                    <w:rPr>
                      <w:color w:val="auto"/>
                      <w:sz w:val="18"/>
                      <w:szCs w:val="18"/>
                    </w:rPr>
                  </w:pPr>
                  <w:r>
                    <w:rPr>
                      <w:color w:val="auto"/>
                      <w:sz w:val="18"/>
                      <w:szCs w:val="18"/>
                    </w:rPr>
                    <w:t>委托有资质单位处置</w:t>
                  </w:r>
                </w:p>
              </w:tc>
            </w:tr>
            <w:tr w14:paraId="2FF528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66" w:hRule="atLeast"/>
                <w:jc w:val="center"/>
              </w:trPr>
              <w:tc>
                <w:tcPr>
                  <w:tcW w:w="303" w:type="pct"/>
                  <w:vMerge w:val="continue"/>
                  <w:tcBorders>
                    <w:left w:val="single" w:color="000000" w:sz="12" w:space="0"/>
                  </w:tcBorders>
                  <w:vAlign w:val="center"/>
                </w:tcPr>
                <w:p w14:paraId="127EB446">
                  <w:pPr>
                    <w:jc w:val="left"/>
                    <w:rPr>
                      <w:color w:val="auto"/>
                      <w:sz w:val="18"/>
                      <w:szCs w:val="18"/>
                    </w:rPr>
                  </w:pPr>
                </w:p>
              </w:tc>
              <w:tc>
                <w:tcPr>
                  <w:tcW w:w="528" w:type="pct"/>
                  <w:vMerge w:val="restart"/>
                  <w:vAlign w:val="center"/>
                </w:tcPr>
                <w:p w14:paraId="00942840">
                  <w:pPr>
                    <w:jc w:val="center"/>
                    <w:rPr>
                      <w:rFonts w:hint="eastAsia" w:eastAsia="宋体"/>
                      <w:color w:val="auto"/>
                      <w:sz w:val="18"/>
                      <w:szCs w:val="18"/>
                      <w:lang w:val="en-US" w:eastAsia="zh-CN"/>
                    </w:rPr>
                  </w:pPr>
                  <w:r>
                    <w:rPr>
                      <w:rFonts w:hint="eastAsia"/>
                      <w:color w:val="auto"/>
                      <w:sz w:val="18"/>
                      <w:szCs w:val="18"/>
                      <w:lang w:val="en-US" w:eastAsia="zh-CN"/>
                    </w:rPr>
                    <w:t>/</w:t>
                  </w:r>
                </w:p>
              </w:tc>
              <w:tc>
                <w:tcPr>
                  <w:tcW w:w="771" w:type="pct"/>
                  <w:vMerge w:val="restart"/>
                  <w:vAlign w:val="center"/>
                </w:tcPr>
                <w:p w14:paraId="75C45EED">
                  <w:pPr>
                    <w:jc w:val="center"/>
                    <w:rPr>
                      <w:rFonts w:hint="eastAsia" w:eastAsia="宋体"/>
                      <w:color w:val="0000FF"/>
                      <w:sz w:val="18"/>
                      <w:szCs w:val="18"/>
                      <w:lang w:val="en-US" w:eastAsia="zh-CN"/>
                    </w:rPr>
                  </w:pPr>
                  <w:r>
                    <w:rPr>
                      <w:rFonts w:hint="eastAsia"/>
                      <w:color w:val="0000FF"/>
                      <w:sz w:val="18"/>
                      <w:szCs w:val="18"/>
                      <w:lang w:val="en-US" w:eastAsia="zh-CN"/>
                    </w:rPr>
                    <w:t>废水处理设施</w:t>
                  </w:r>
                </w:p>
              </w:tc>
              <w:tc>
                <w:tcPr>
                  <w:tcW w:w="1867" w:type="pct"/>
                  <w:vAlign w:val="center"/>
                </w:tcPr>
                <w:p w14:paraId="2956CA3B">
                  <w:pPr>
                    <w:jc w:val="center"/>
                    <w:rPr>
                      <w:rFonts w:hint="default" w:eastAsia="宋体"/>
                      <w:color w:val="0000FF"/>
                      <w:sz w:val="18"/>
                      <w:szCs w:val="18"/>
                      <w:lang w:val="en-US" w:eastAsia="zh-CN"/>
                    </w:rPr>
                  </w:pPr>
                  <w:r>
                    <w:rPr>
                      <w:rFonts w:hint="eastAsia"/>
                      <w:color w:val="0000FF"/>
                      <w:sz w:val="18"/>
                      <w:szCs w:val="18"/>
                      <w:lang w:val="en-US" w:eastAsia="zh-CN"/>
                    </w:rPr>
                    <w:t>水处理污泥</w:t>
                  </w:r>
                </w:p>
              </w:tc>
              <w:tc>
                <w:tcPr>
                  <w:tcW w:w="1528" w:type="pct"/>
                  <w:tcBorders>
                    <w:right w:val="single" w:color="000000" w:sz="12" w:space="0"/>
                  </w:tcBorders>
                  <w:vAlign w:val="center"/>
                </w:tcPr>
                <w:p w14:paraId="34C2A88B">
                  <w:pPr>
                    <w:jc w:val="center"/>
                    <w:rPr>
                      <w:color w:val="auto"/>
                      <w:sz w:val="18"/>
                      <w:szCs w:val="18"/>
                    </w:rPr>
                  </w:pPr>
                  <w:r>
                    <w:rPr>
                      <w:color w:val="auto"/>
                      <w:sz w:val="18"/>
                      <w:szCs w:val="18"/>
                    </w:rPr>
                    <w:t>委托有资质单位处置</w:t>
                  </w:r>
                </w:p>
              </w:tc>
            </w:tr>
            <w:tr w14:paraId="7EAEB1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66" w:hRule="atLeast"/>
                <w:jc w:val="center"/>
              </w:trPr>
              <w:tc>
                <w:tcPr>
                  <w:tcW w:w="303" w:type="pct"/>
                  <w:vMerge w:val="continue"/>
                  <w:tcBorders>
                    <w:left w:val="single" w:color="000000" w:sz="12" w:space="0"/>
                  </w:tcBorders>
                  <w:vAlign w:val="center"/>
                </w:tcPr>
                <w:p w14:paraId="66D6A615">
                  <w:pPr>
                    <w:jc w:val="left"/>
                    <w:rPr>
                      <w:color w:val="auto"/>
                      <w:sz w:val="18"/>
                      <w:szCs w:val="18"/>
                    </w:rPr>
                  </w:pPr>
                </w:p>
              </w:tc>
              <w:tc>
                <w:tcPr>
                  <w:tcW w:w="528" w:type="pct"/>
                  <w:vMerge w:val="continue"/>
                  <w:tcBorders/>
                  <w:vAlign w:val="center"/>
                </w:tcPr>
                <w:p w14:paraId="3F8DAF3F">
                  <w:pPr>
                    <w:jc w:val="center"/>
                    <w:rPr>
                      <w:color w:val="auto"/>
                      <w:sz w:val="18"/>
                      <w:szCs w:val="18"/>
                    </w:rPr>
                  </w:pPr>
                </w:p>
              </w:tc>
              <w:tc>
                <w:tcPr>
                  <w:tcW w:w="771" w:type="pct"/>
                  <w:vMerge w:val="continue"/>
                  <w:tcBorders/>
                  <w:vAlign w:val="center"/>
                </w:tcPr>
                <w:p w14:paraId="224CFB7C">
                  <w:pPr>
                    <w:jc w:val="center"/>
                    <w:rPr>
                      <w:rFonts w:hint="eastAsia"/>
                      <w:color w:val="0000FF"/>
                      <w:sz w:val="18"/>
                      <w:szCs w:val="18"/>
                      <w:lang w:val="en-US" w:eastAsia="zh-CN"/>
                    </w:rPr>
                  </w:pPr>
                </w:p>
              </w:tc>
              <w:tc>
                <w:tcPr>
                  <w:tcW w:w="1867" w:type="pct"/>
                  <w:vAlign w:val="center"/>
                </w:tcPr>
                <w:p w14:paraId="20048790">
                  <w:pPr>
                    <w:jc w:val="center"/>
                    <w:rPr>
                      <w:rFonts w:hint="default" w:eastAsia="宋体"/>
                      <w:color w:val="0000FF"/>
                      <w:sz w:val="18"/>
                      <w:szCs w:val="18"/>
                      <w:lang w:val="en-US" w:eastAsia="zh-CN"/>
                    </w:rPr>
                  </w:pPr>
                  <w:r>
                    <w:rPr>
                      <w:rFonts w:hint="eastAsia"/>
                      <w:color w:val="0000FF"/>
                      <w:sz w:val="18"/>
                      <w:szCs w:val="18"/>
                      <w:lang w:val="en-US" w:eastAsia="zh-CN"/>
                    </w:rPr>
                    <w:t>废过滤介质</w:t>
                  </w:r>
                </w:p>
              </w:tc>
              <w:tc>
                <w:tcPr>
                  <w:tcW w:w="1528" w:type="pct"/>
                  <w:tcBorders>
                    <w:right w:val="single" w:color="000000" w:sz="12" w:space="0"/>
                  </w:tcBorders>
                  <w:vAlign w:val="center"/>
                </w:tcPr>
                <w:p w14:paraId="5A64FF35">
                  <w:pPr>
                    <w:jc w:val="center"/>
                    <w:rPr>
                      <w:color w:val="auto"/>
                      <w:sz w:val="18"/>
                      <w:szCs w:val="18"/>
                    </w:rPr>
                  </w:pPr>
                  <w:r>
                    <w:rPr>
                      <w:color w:val="auto"/>
                      <w:sz w:val="18"/>
                      <w:szCs w:val="18"/>
                    </w:rPr>
                    <w:t>委托有资质单位处置</w:t>
                  </w:r>
                </w:p>
              </w:tc>
            </w:tr>
            <w:tr w14:paraId="19F220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20" w:hRule="atLeast"/>
                <w:jc w:val="center"/>
              </w:trPr>
              <w:tc>
                <w:tcPr>
                  <w:tcW w:w="303" w:type="pct"/>
                  <w:vMerge w:val="continue"/>
                  <w:tcBorders>
                    <w:left w:val="single" w:color="000000" w:sz="12" w:space="0"/>
                  </w:tcBorders>
                  <w:vAlign w:val="center"/>
                </w:tcPr>
                <w:p w14:paraId="4F5F1936">
                  <w:pPr>
                    <w:jc w:val="left"/>
                    <w:rPr>
                      <w:color w:val="auto"/>
                      <w:sz w:val="18"/>
                      <w:szCs w:val="18"/>
                    </w:rPr>
                  </w:pPr>
                </w:p>
              </w:tc>
              <w:tc>
                <w:tcPr>
                  <w:tcW w:w="528" w:type="pct"/>
                  <w:vMerge w:val="restart"/>
                  <w:vAlign w:val="center"/>
                </w:tcPr>
                <w:p w14:paraId="7FF87539">
                  <w:pPr>
                    <w:jc w:val="center"/>
                    <w:rPr>
                      <w:color w:val="auto"/>
                      <w:sz w:val="18"/>
                      <w:szCs w:val="18"/>
                    </w:rPr>
                  </w:pPr>
                  <w:r>
                    <w:rPr>
                      <w:rFonts w:hint="eastAsia"/>
                      <w:color w:val="auto"/>
                      <w:sz w:val="18"/>
                      <w:szCs w:val="18"/>
                    </w:rPr>
                    <w:t>/</w:t>
                  </w:r>
                </w:p>
              </w:tc>
              <w:tc>
                <w:tcPr>
                  <w:tcW w:w="771" w:type="pct"/>
                  <w:vMerge w:val="restart"/>
                  <w:vAlign w:val="center"/>
                </w:tcPr>
                <w:p w14:paraId="79B61499">
                  <w:pPr>
                    <w:jc w:val="center"/>
                    <w:rPr>
                      <w:color w:val="auto"/>
                      <w:sz w:val="18"/>
                      <w:szCs w:val="18"/>
                    </w:rPr>
                  </w:pPr>
                  <w:r>
                    <w:rPr>
                      <w:rFonts w:hint="eastAsia"/>
                      <w:color w:val="auto"/>
                      <w:sz w:val="18"/>
                      <w:szCs w:val="18"/>
                    </w:rPr>
                    <w:t>日常</w:t>
                  </w:r>
                  <w:r>
                    <w:rPr>
                      <w:rFonts w:hint="eastAsia"/>
                      <w:color w:val="auto"/>
                      <w:sz w:val="18"/>
                      <w:szCs w:val="18"/>
                      <w:lang w:val="en-US" w:eastAsia="zh-CN"/>
                    </w:rPr>
                    <w:t>运营</w:t>
                  </w:r>
                </w:p>
              </w:tc>
              <w:tc>
                <w:tcPr>
                  <w:tcW w:w="1867" w:type="pct"/>
                  <w:vAlign w:val="center"/>
                </w:tcPr>
                <w:p w14:paraId="59412C63">
                  <w:pPr>
                    <w:jc w:val="center"/>
                    <w:rPr>
                      <w:color w:val="auto"/>
                      <w:sz w:val="18"/>
                      <w:szCs w:val="18"/>
                    </w:rPr>
                  </w:pPr>
                  <w:r>
                    <w:rPr>
                      <w:rFonts w:hint="eastAsia"/>
                      <w:color w:val="auto"/>
                      <w:sz w:val="18"/>
                      <w:szCs w:val="18"/>
                    </w:rPr>
                    <w:t>废实验耗材</w:t>
                  </w:r>
                </w:p>
              </w:tc>
              <w:tc>
                <w:tcPr>
                  <w:tcW w:w="1528" w:type="pct"/>
                  <w:tcBorders>
                    <w:top w:val="single" w:color="auto" w:sz="4" w:space="0"/>
                    <w:bottom w:val="single" w:color="auto" w:sz="4" w:space="0"/>
                    <w:right w:val="single" w:color="000000" w:sz="12" w:space="0"/>
                  </w:tcBorders>
                  <w:vAlign w:val="center"/>
                </w:tcPr>
                <w:p w14:paraId="3450C714">
                  <w:pPr>
                    <w:jc w:val="center"/>
                    <w:rPr>
                      <w:color w:val="auto"/>
                      <w:sz w:val="18"/>
                      <w:szCs w:val="18"/>
                    </w:rPr>
                  </w:pPr>
                  <w:r>
                    <w:rPr>
                      <w:color w:val="auto"/>
                      <w:sz w:val="18"/>
                      <w:szCs w:val="18"/>
                    </w:rPr>
                    <w:t>委托有资质单位处置</w:t>
                  </w:r>
                </w:p>
              </w:tc>
            </w:tr>
            <w:tr w14:paraId="3731F8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45" w:hRule="atLeast"/>
                <w:jc w:val="center"/>
              </w:trPr>
              <w:tc>
                <w:tcPr>
                  <w:tcW w:w="303" w:type="pct"/>
                  <w:vMerge w:val="continue"/>
                  <w:tcBorders>
                    <w:left w:val="single" w:color="000000" w:sz="12" w:space="0"/>
                  </w:tcBorders>
                  <w:vAlign w:val="center"/>
                </w:tcPr>
                <w:p w14:paraId="6CDCBE33">
                  <w:pPr>
                    <w:jc w:val="left"/>
                    <w:rPr>
                      <w:color w:val="auto"/>
                      <w:sz w:val="18"/>
                      <w:szCs w:val="18"/>
                    </w:rPr>
                  </w:pPr>
                </w:p>
              </w:tc>
              <w:tc>
                <w:tcPr>
                  <w:tcW w:w="528" w:type="pct"/>
                  <w:vMerge w:val="continue"/>
                  <w:vAlign w:val="center"/>
                </w:tcPr>
                <w:p w14:paraId="4AB998FB">
                  <w:pPr>
                    <w:jc w:val="center"/>
                    <w:rPr>
                      <w:color w:val="auto"/>
                      <w:sz w:val="18"/>
                      <w:szCs w:val="18"/>
                    </w:rPr>
                  </w:pPr>
                </w:p>
              </w:tc>
              <w:tc>
                <w:tcPr>
                  <w:tcW w:w="771" w:type="pct"/>
                  <w:vMerge w:val="continue"/>
                  <w:vAlign w:val="center"/>
                </w:tcPr>
                <w:p w14:paraId="0C94F8E3">
                  <w:pPr>
                    <w:jc w:val="center"/>
                    <w:rPr>
                      <w:color w:val="auto"/>
                      <w:sz w:val="18"/>
                      <w:szCs w:val="18"/>
                    </w:rPr>
                  </w:pPr>
                </w:p>
              </w:tc>
              <w:tc>
                <w:tcPr>
                  <w:tcW w:w="1867" w:type="pct"/>
                  <w:vAlign w:val="center"/>
                </w:tcPr>
                <w:p w14:paraId="01FCBC57">
                  <w:pPr>
                    <w:jc w:val="center"/>
                    <w:rPr>
                      <w:color w:val="auto"/>
                      <w:sz w:val="18"/>
                      <w:szCs w:val="18"/>
                    </w:rPr>
                  </w:pPr>
                  <w:r>
                    <w:rPr>
                      <w:rFonts w:hint="eastAsia"/>
                      <w:color w:val="auto"/>
                      <w:sz w:val="18"/>
                      <w:szCs w:val="18"/>
                      <w:lang w:val="en-US" w:eastAsia="zh-CN"/>
                    </w:rPr>
                    <w:t>初道</w:t>
                  </w:r>
                  <w:r>
                    <w:rPr>
                      <w:rFonts w:hint="eastAsia"/>
                      <w:color w:val="auto"/>
                      <w:sz w:val="18"/>
                      <w:szCs w:val="18"/>
                    </w:rPr>
                    <w:t>清洗废水</w:t>
                  </w:r>
                </w:p>
              </w:tc>
              <w:tc>
                <w:tcPr>
                  <w:tcW w:w="1528" w:type="pct"/>
                  <w:tcBorders>
                    <w:top w:val="single" w:color="auto" w:sz="4" w:space="0"/>
                    <w:bottom w:val="single" w:color="auto" w:sz="4" w:space="0"/>
                    <w:right w:val="single" w:color="000000" w:sz="12" w:space="0"/>
                  </w:tcBorders>
                  <w:vAlign w:val="center"/>
                </w:tcPr>
                <w:p w14:paraId="340CD766">
                  <w:pPr>
                    <w:jc w:val="center"/>
                    <w:rPr>
                      <w:color w:val="auto"/>
                      <w:sz w:val="18"/>
                      <w:szCs w:val="18"/>
                    </w:rPr>
                  </w:pPr>
                  <w:r>
                    <w:rPr>
                      <w:color w:val="auto"/>
                      <w:sz w:val="18"/>
                      <w:szCs w:val="18"/>
                    </w:rPr>
                    <w:t>委托有资质单位处置</w:t>
                  </w:r>
                </w:p>
              </w:tc>
            </w:tr>
            <w:tr w14:paraId="28DCB7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95" w:hRule="atLeast"/>
                <w:jc w:val="center"/>
              </w:trPr>
              <w:tc>
                <w:tcPr>
                  <w:tcW w:w="303" w:type="pct"/>
                  <w:vMerge w:val="continue"/>
                  <w:tcBorders>
                    <w:left w:val="single" w:color="000000" w:sz="12" w:space="0"/>
                  </w:tcBorders>
                  <w:vAlign w:val="center"/>
                </w:tcPr>
                <w:p w14:paraId="4F74B581">
                  <w:pPr>
                    <w:jc w:val="left"/>
                    <w:rPr>
                      <w:color w:val="auto"/>
                      <w:sz w:val="18"/>
                      <w:szCs w:val="18"/>
                    </w:rPr>
                  </w:pPr>
                </w:p>
              </w:tc>
              <w:tc>
                <w:tcPr>
                  <w:tcW w:w="528" w:type="pct"/>
                  <w:vAlign w:val="center"/>
                </w:tcPr>
                <w:p w14:paraId="5545906E">
                  <w:pPr>
                    <w:jc w:val="center"/>
                    <w:rPr>
                      <w:color w:val="auto"/>
                      <w:sz w:val="18"/>
                      <w:szCs w:val="18"/>
                    </w:rPr>
                  </w:pPr>
                  <w:r>
                    <w:rPr>
                      <w:color w:val="auto"/>
                      <w:sz w:val="18"/>
                      <w:szCs w:val="18"/>
                    </w:rPr>
                    <w:t>/</w:t>
                  </w:r>
                </w:p>
              </w:tc>
              <w:tc>
                <w:tcPr>
                  <w:tcW w:w="771" w:type="pct"/>
                  <w:vAlign w:val="center"/>
                </w:tcPr>
                <w:p w14:paraId="68C2AE31">
                  <w:pPr>
                    <w:jc w:val="center"/>
                    <w:rPr>
                      <w:color w:val="auto"/>
                      <w:sz w:val="18"/>
                      <w:szCs w:val="18"/>
                    </w:rPr>
                  </w:pPr>
                  <w:r>
                    <w:rPr>
                      <w:color w:val="auto"/>
                      <w:sz w:val="18"/>
                      <w:szCs w:val="18"/>
                    </w:rPr>
                    <w:t>职工生活</w:t>
                  </w:r>
                </w:p>
              </w:tc>
              <w:tc>
                <w:tcPr>
                  <w:tcW w:w="1867" w:type="pct"/>
                  <w:vAlign w:val="center"/>
                </w:tcPr>
                <w:p w14:paraId="0FA16CAA">
                  <w:pPr>
                    <w:jc w:val="center"/>
                    <w:rPr>
                      <w:color w:val="auto"/>
                      <w:sz w:val="18"/>
                      <w:szCs w:val="18"/>
                    </w:rPr>
                  </w:pPr>
                  <w:r>
                    <w:rPr>
                      <w:color w:val="auto"/>
                      <w:sz w:val="18"/>
                      <w:szCs w:val="18"/>
                    </w:rPr>
                    <w:t>生活垃圾</w:t>
                  </w:r>
                </w:p>
              </w:tc>
              <w:tc>
                <w:tcPr>
                  <w:tcW w:w="1528" w:type="pct"/>
                  <w:tcBorders>
                    <w:top w:val="single" w:color="auto" w:sz="4" w:space="0"/>
                    <w:right w:val="single" w:color="000000" w:sz="12" w:space="0"/>
                  </w:tcBorders>
                  <w:vAlign w:val="center"/>
                </w:tcPr>
                <w:p w14:paraId="3ED26796">
                  <w:pPr>
                    <w:jc w:val="center"/>
                    <w:rPr>
                      <w:color w:val="auto"/>
                      <w:sz w:val="18"/>
                      <w:szCs w:val="18"/>
                    </w:rPr>
                  </w:pPr>
                  <w:r>
                    <w:rPr>
                      <w:color w:val="auto"/>
                      <w:sz w:val="18"/>
                      <w:szCs w:val="18"/>
                    </w:rPr>
                    <w:t>委托环卫部门清运</w:t>
                  </w:r>
                </w:p>
              </w:tc>
            </w:tr>
            <w:tr w14:paraId="365377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526" w:hRule="atLeast"/>
                <w:jc w:val="center"/>
              </w:trPr>
              <w:tc>
                <w:tcPr>
                  <w:tcW w:w="303" w:type="pct"/>
                  <w:tcBorders>
                    <w:left w:val="single" w:color="000000" w:sz="12" w:space="0"/>
                  </w:tcBorders>
                  <w:vAlign w:val="center"/>
                </w:tcPr>
                <w:p w14:paraId="36715F64">
                  <w:pPr>
                    <w:jc w:val="center"/>
                    <w:rPr>
                      <w:color w:val="auto"/>
                      <w:sz w:val="18"/>
                      <w:szCs w:val="18"/>
                    </w:rPr>
                  </w:pPr>
                  <w:r>
                    <w:rPr>
                      <w:color w:val="auto"/>
                      <w:sz w:val="18"/>
                      <w:szCs w:val="18"/>
                    </w:rPr>
                    <w:t>噪声</w:t>
                  </w:r>
                </w:p>
              </w:tc>
              <w:tc>
                <w:tcPr>
                  <w:tcW w:w="528" w:type="pct"/>
                  <w:vAlign w:val="center"/>
                </w:tcPr>
                <w:p w14:paraId="36654550">
                  <w:pPr>
                    <w:jc w:val="center"/>
                    <w:rPr>
                      <w:color w:val="auto"/>
                      <w:sz w:val="18"/>
                      <w:szCs w:val="18"/>
                    </w:rPr>
                  </w:pPr>
                  <w:r>
                    <w:rPr>
                      <w:color w:val="auto"/>
                      <w:sz w:val="18"/>
                      <w:szCs w:val="18"/>
                    </w:rPr>
                    <w:t>/</w:t>
                  </w:r>
                </w:p>
              </w:tc>
              <w:tc>
                <w:tcPr>
                  <w:tcW w:w="771" w:type="pct"/>
                  <w:vAlign w:val="center"/>
                </w:tcPr>
                <w:p w14:paraId="6620DA90">
                  <w:pPr>
                    <w:jc w:val="center"/>
                    <w:rPr>
                      <w:color w:val="auto"/>
                      <w:sz w:val="18"/>
                      <w:szCs w:val="18"/>
                    </w:rPr>
                  </w:pPr>
                  <w:r>
                    <w:rPr>
                      <w:rFonts w:hint="eastAsia"/>
                      <w:color w:val="auto"/>
                      <w:sz w:val="18"/>
                      <w:szCs w:val="18"/>
                    </w:rPr>
                    <w:t>通风橱、</w:t>
                  </w:r>
                  <w:r>
                    <w:rPr>
                      <w:color w:val="auto"/>
                      <w:sz w:val="18"/>
                      <w:szCs w:val="18"/>
                    </w:rPr>
                    <w:t>风机</w:t>
                  </w:r>
                </w:p>
              </w:tc>
              <w:tc>
                <w:tcPr>
                  <w:tcW w:w="1867" w:type="pct"/>
                  <w:vAlign w:val="center"/>
                </w:tcPr>
                <w:p w14:paraId="156DB19D">
                  <w:pPr>
                    <w:jc w:val="center"/>
                    <w:rPr>
                      <w:color w:val="auto"/>
                      <w:sz w:val="18"/>
                      <w:szCs w:val="18"/>
                    </w:rPr>
                  </w:pPr>
                  <w:r>
                    <w:rPr>
                      <w:color w:val="auto"/>
                      <w:sz w:val="18"/>
                      <w:szCs w:val="18"/>
                    </w:rPr>
                    <w:t>动力性噪声</w:t>
                  </w:r>
                </w:p>
              </w:tc>
              <w:tc>
                <w:tcPr>
                  <w:tcW w:w="1528" w:type="pct"/>
                  <w:tcBorders>
                    <w:right w:val="single" w:color="000000" w:sz="12" w:space="0"/>
                  </w:tcBorders>
                  <w:vAlign w:val="center"/>
                </w:tcPr>
                <w:p w14:paraId="2C438BB5">
                  <w:pPr>
                    <w:jc w:val="center"/>
                    <w:rPr>
                      <w:color w:val="auto"/>
                      <w:sz w:val="18"/>
                      <w:szCs w:val="18"/>
                    </w:rPr>
                  </w:pPr>
                  <w:r>
                    <w:rPr>
                      <w:color w:val="auto"/>
                      <w:sz w:val="18"/>
                      <w:szCs w:val="18"/>
                    </w:rPr>
                    <w:t>选用低噪声设备、设置减震基础、安装消音器等</w:t>
                  </w:r>
                </w:p>
              </w:tc>
            </w:tr>
          </w:tbl>
          <w:p w14:paraId="2AAF0EAD">
            <w:pPr>
              <w:rPr>
                <w:color w:val="auto"/>
              </w:rPr>
            </w:pPr>
          </w:p>
        </w:tc>
      </w:tr>
      <w:tr w14:paraId="141ED3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19" w:hRule="atLeast"/>
          <w:jc w:val="center"/>
        </w:trPr>
        <w:tc>
          <w:tcPr>
            <w:tcW w:w="654" w:type="dxa"/>
            <w:vAlign w:val="center"/>
          </w:tcPr>
          <w:p w14:paraId="5C0AC24F">
            <w:pPr>
              <w:adjustRightInd w:val="0"/>
              <w:snapToGrid w:val="0"/>
              <w:jc w:val="center"/>
              <w:rPr>
                <w:bCs/>
                <w:color w:val="auto"/>
                <w:sz w:val="24"/>
              </w:rPr>
            </w:pPr>
            <w:r>
              <w:rPr>
                <w:bCs/>
                <w:color w:val="auto"/>
                <w:szCs w:val="21"/>
              </w:rPr>
              <w:t>与项目有关的原有环境污染问题</w:t>
            </w:r>
          </w:p>
        </w:tc>
        <w:tc>
          <w:tcPr>
            <w:tcW w:w="8751" w:type="dxa"/>
            <w:vAlign w:val="center"/>
          </w:tcPr>
          <w:p w14:paraId="23CD400C">
            <w:pPr>
              <w:adjustRightInd w:val="0"/>
              <w:snapToGrid w:val="0"/>
              <w:spacing w:line="360" w:lineRule="auto"/>
              <w:ind w:firstLine="420" w:firstLineChars="200"/>
              <w:rPr>
                <w:bCs/>
                <w:color w:val="auto"/>
                <w:sz w:val="24"/>
              </w:rPr>
            </w:pPr>
            <w:r>
              <w:rPr>
                <w:rFonts w:hint="eastAsia"/>
                <w:bCs/>
                <w:color w:val="auto"/>
                <w:szCs w:val="21"/>
              </w:rPr>
              <w:t>本项目是新建项目，租赁南通市金宏电化设备有限公司闲置厂房。南通市金宏电化设备有限公司2014年5月委托编制了《南通市金宏电化设备有限公司钛电极、环境污染防治专用设备制造项目环境影响报告表》，2014年9月22日通过海安县环境保护局审批，批复文号为海环管（表）〔2014〕09049号，2017年9月办理验收手续的，2017年9月22日取得海安县环境保护局建设项目清理整治登记备案意见（海环建清字〔2016〕05156号）。项目租赁的车间为闲置厂房，南通市金宏电化设备有限公司未在租赁车间内进行生产，未发现与本项目有关的原有污染情况和主要环境问题。</w:t>
            </w:r>
          </w:p>
        </w:tc>
      </w:tr>
    </w:tbl>
    <w:p w14:paraId="7DAC0424">
      <w:pPr>
        <w:pStyle w:val="18"/>
        <w:jc w:val="center"/>
        <w:rPr>
          <w:rFonts w:ascii="Times New Roman" w:hAnsi="Times New Roman" w:eastAsia="黑体"/>
          <w:snapToGrid w:val="0"/>
          <w:sz w:val="36"/>
          <w:szCs w:val="36"/>
        </w:rPr>
        <w:sectPr>
          <w:pgSz w:w="11906" w:h="16838"/>
          <w:pgMar w:top="1417" w:right="1531" w:bottom="1417" w:left="1531" w:header="851" w:footer="851" w:gutter="0"/>
          <w:pgBorders>
            <w:top w:val="none" w:sz="0" w:space="0"/>
            <w:left w:val="none" w:sz="0" w:space="0"/>
            <w:bottom w:val="none" w:sz="0" w:space="0"/>
            <w:right w:val="none" w:sz="0" w:space="0"/>
          </w:pgBorders>
          <w:cols w:space="720" w:num="1"/>
          <w:docGrid w:linePitch="312" w:charSpace="0"/>
        </w:sectPr>
      </w:pPr>
      <w:bookmarkStart w:id="12" w:name="PageNo100400039"/>
    </w:p>
    <w:bookmarkEnd w:id="12"/>
    <w:p w14:paraId="4B27C6EC">
      <w:pPr>
        <w:pStyle w:val="18"/>
        <w:adjustRightInd w:val="0"/>
        <w:snapToGrid w:val="0"/>
        <w:spacing w:before="0" w:beforeAutospacing="0" w:after="0" w:afterAutospacing="0" w:line="14" w:lineRule="auto"/>
        <w:jc w:val="center"/>
        <w:rPr>
          <w:rFonts w:ascii="Times New Roman" w:hAnsi="Times New Roman" w:eastAsia="黑体"/>
          <w:snapToGrid w:val="0"/>
          <w:sz w:val="30"/>
          <w:szCs w:val="30"/>
        </w:rPr>
      </w:pPr>
      <w:bookmarkStart w:id="13" w:name="PageNo100410040"/>
    </w:p>
    <w:bookmarkEnd w:id="13"/>
    <w:p w14:paraId="500730AA">
      <w:pPr>
        <w:pStyle w:val="18"/>
        <w:spacing w:before="0" w:beforeAutospacing="0" w:after="240" w:afterAutospacing="0"/>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三、区域环境质量现状、环境保护目标及评价标准</w:t>
      </w:r>
    </w:p>
    <w:tbl>
      <w:tblPr>
        <w:tblStyle w:val="23"/>
        <w:tblW w:w="939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4"/>
        <w:gridCol w:w="8967"/>
      </w:tblGrid>
      <w:tr w14:paraId="778F41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35" w:hRule="atLeast"/>
          <w:jc w:val="center"/>
        </w:trPr>
        <w:tc>
          <w:tcPr>
            <w:tcW w:w="424" w:type="dxa"/>
            <w:vAlign w:val="center"/>
          </w:tcPr>
          <w:p w14:paraId="3EE2B6EF">
            <w:pPr>
              <w:adjustRightInd w:val="0"/>
              <w:snapToGrid w:val="0"/>
              <w:jc w:val="center"/>
              <w:rPr>
                <w:kern w:val="0"/>
                <w:szCs w:val="21"/>
              </w:rPr>
            </w:pPr>
            <w:r>
              <w:rPr>
                <w:kern w:val="0"/>
                <w:szCs w:val="21"/>
              </w:rPr>
              <w:t>区域</w:t>
            </w:r>
          </w:p>
          <w:p w14:paraId="1A90CC1D">
            <w:pPr>
              <w:adjustRightInd w:val="0"/>
              <w:snapToGrid w:val="0"/>
              <w:jc w:val="center"/>
              <w:rPr>
                <w:kern w:val="0"/>
                <w:szCs w:val="21"/>
              </w:rPr>
            </w:pPr>
            <w:r>
              <w:rPr>
                <w:kern w:val="0"/>
                <w:szCs w:val="21"/>
              </w:rPr>
              <w:t>环境</w:t>
            </w:r>
          </w:p>
          <w:p w14:paraId="3FF32D7B">
            <w:pPr>
              <w:adjustRightInd w:val="0"/>
              <w:snapToGrid w:val="0"/>
              <w:jc w:val="center"/>
              <w:rPr>
                <w:kern w:val="0"/>
                <w:szCs w:val="21"/>
              </w:rPr>
            </w:pPr>
            <w:r>
              <w:rPr>
                <w:kern w:val="0"/>
                <w:szCs w:val="21"/>
              </w:rPr>
              <w:t>质量</w:t>
            </w:r>
          </w:p>
          <w:p w14:paraId="6F24A351">
            <w:pPr>
              <w:adjustRightInd w:val="0"/>
              <w:snapToGrid w:val="0"/>
              <w:jc w:val="center"/>
              <w:rPr>
                <w:kern w:val="0"/>
                <w:szCs w:val="21"/>
              </w:rPr>
            </w:pPr>
            <w:r>
              <w:rPr>
                <w:kern w:val="0"/>
                <w:szCs w:val="21"/>
              </w:rPr>
              <w:t>现状</w:t>
            </w:r>
          </w:p>
        </w:tc>
        <w:tc>
          <w:tcPr>
            <w:tcW w:w="8967" w:type="dxa"/>
            <w:vAlign w:val="center"/>
          </w:tcPr>
          <w:p w14:paraId="6B9A603F">
            <w:pPr>
              <w:widowControl/>
              <w:shd w:val="clear" w:color="auto" w:fill="FFFFFF"/>
              <w:spacing w:before="120" w:line="360" w:lineRule="auto"/>
              <w:ind w:firstLine="454" w:firstLineChars="200"/>
              <w:rPr>
                <w:b/>
                <w:spacing w:val="8"/>
                <w:kern w:val="0"/>
                <w:szCs w:val="21"/>
              </w:rPr>
            </w:pPr>
            <w:r>
              <w:rPr>
                <w:b/>
                <w:spacing w:val="8"/>
                <w:kern w:val="0"/>
                <w:szCs w:val="21"/>
              </w:rPr>
              <w:t>1.大气环境质量现状</w:t>
            </w:r>
          </w:p>
          <w:p w14:paraId="1C6B3A9D">
            <w:pPr>
              <w:widowControl/>
              <w:shd w:val="clear" w:color="auto" w:fill="FFFFFF"/>
              <w:spacing w:line="360" w:lineRule="auto"/>
              <w:ind w:firstLine="452" w:firstLineChars="200"/>
              <w:rPr>
                <w:bCs/>
                <w:spacing w:val="8"/>
                <w:kern w:val="0"/>
                <w:szCs w:val="21"/>
              </w:rPr>
            </w:pPr>
            <w:r>
              <w:rPr>
                <w:bCs/>
                <w:spacing w:val="8"/>
                <w:kern w:val="0"/>
                <w:szCs w:val="21"/>
              </w:rPr>
              <w:t>（1）空气环境质量达标区判定</w:t>
            </w:r>
          </w:p>
          <w:p w14:paraId="58B457E6">
            <w:pPr>
              <w:adjustRightInd w:val="0"/>
              <w:snapToGrid w:val="0"/>
              <w:spacing w:line="360" w:lineRule="auto"/>
              <w:ind w:firstLine="420" w:firstLineChars="200"/>
              <w:rPr>
                <w:szCs w:val="21"/>
              </w:rPr>
            </w:pPr>
            <w:r>
              <w:rPr>
                <w:szCs w:val="21"/>
              </w:rPr>
              <w:t>本次评价选取202</w:t>
            </w:r>
            <w:r>
              <w:rPr>
                <w:rFonts w:hint="eastAsia"/>
                <w:szCs w:val="21"/>
              </w:rPr>
              <w:t>4</w:t>
            </w:r>
            <w:r>
              <w:rPr>
                <w:szCs w:val="21"/>
              </w:rPr>
              <w:t>年作为评价基准年，根据《南通市生态环境状况公报》（202</w:t>
            </w:r>
            <w:r>
              <w:rPr>
                <w:rFonts w:hint="eastAsia"/>
                <w:szCs w:val="21"/>
              </w:rPr>
              <w:t>4</w:t>
            </w:r>
            <w:r>
              <w:rPr>
                <w:szCs w:val="21"/>
              </w:rPr>
              <w:t>），202</w:t>
            </w:r>
            <w:r>
              <w:rPr>
                <w:rFonts w:hint="eastAsia"/>
                <w:szCs w:val="21"/>
              </w:rPr>
              <w:t>4</w:t>
            </w:r>
            <w:r>
              <w:rPr>
                <w:szCs w:val="21"/>
              </w:rPr>
              <w:t>年海安市空气污染物指标监测结果见表3-1。</w:t>
            </w:r>
          </w:p>
          <w:p w14:paraId="199CFB9B">
            <w:pPr>
              <w:adjustRightInd w:val="0"/>
              <w:snapToGrid w:val="0"/>
              <w:jc w:val="center"/>
              <w:rPr>
                <w:b/>
                <w:bCs/>
                <w:szCs w:val="21"/>
              </w:rPr>
            </w:pPr>
            <w:r>
              <w:rPr>
                <w:b/>
                <w:bCs/>
                <w:szCs w:val="21"/>
              </w:rPr>
              <w:t>表3-1  202</w:t>
            </w:r>
            <w:r>
              <w:rPr>
                <w:rFonts w:hint="eastAsia"/>
                <w:b/>
                <w:bCs/>
                <w:szCs w:val="21"/>
              </w:rPr>
              <w:t>4</w:t>
            </w:r>
            <w:r>
              <w:rPr>
                <w:b/>
                <w:bCs/>
                <w:szCs w:val="21"/>
              </w:rPr>
              <w:t>年海安市主要空气污染物指标监测结果</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255"/>
              <w:gridCol w:w="1942"/>
              <w:gridCol w:w="1451"/>
              <w:gridCol w:w="1424"/>
              <w:gridCol w:w="1224"/>
              <w:gridCol w:w="1425"/>
            </w:tblGrid>
            <w:tr w14:paraId="3C7BDE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173" w:type="dxa"/>
                  <w:vAlign w:val="center"/>
                </w:tcPr>
                <w:p w14:paraId="366D361C">
                  <w:pPr>
                    <w:keepNext/>
                    <w:adjustRightInd w:val="0"/>
                    <w:snapToGrid w:val="0"/>
                    <w:jc w:val="center"/>
                    <w:textAlignment w:val="baseline"/>
                    <w:rPr>
                      <w:b/>
                      <w:bCs/>
                      <w:sz w:val="18"/>
                      <w:szCs w:val="18"/>
                    </w:rPr>
                  </w:pPr>
                  <w:r>
                    <w:rPr>
                      <w:b/>
                      <w:bCs/>
                      <w:sz w:val="18"/>
                      <w:szCs w:val="18"/>
                    </w:rPr>
                    <w:t>污染物</w:t>
                  </w:r>
                </w:p>
              </w:tc>
              <w:tc>
                <w:tcPr>
                  <w:tcW w:w="1815" w:type="dxa"/>
                  <w:vAlign w:val="center"/>
                </w:tcPr>
                <w:p w14:paraId="16C1B0FB">
                  <w:pPr>
                    <w:jc w:val="center"/>
                    <w:rPr>
                      <w:b/>
                      <w:bCs/>
                      <w:sz w:val="18"/>
                      <w:szCs w:val="18"/>
                    </w:rPr>
                  </w:pPr>
                  <w:r>
                    <w:rPr>
                      <w:b/>
                      <w:bCs/>
                      <w:sz w:val="18"/>
                      <w:szCs w:val="18"/>
                    </w:rPr>
                    <w:t>年评价指标</w:t>
                  </w:r>
                </w:p>
              </w:tc>
              <w:tc>
                <w:tcPr>
                  <w:tcW w:w="1356" w:type="dxa"/>
                  <w:vAlign w:val="center"/>
                </w:tcPr>
                <w:p w14:paraId="1FAF5ABD">
                  <w:pPr>
                    <w:jc w:val="center"/>
                    <w:rPr>
                      <w:b/>
                      <w:bCs/>
                      <w:sz w:val="18"/>
                      <w:szCs w:val="18"/>
                    </w:rPr>
                  </w:pPr>
                  <w:r>
                    <w:rPr>
                      <w:b/>
                      <w:bCs/>
                      <w:sz w:val="18"/>
                      <w:szCs w:val="18"/>
                    </w:rPr>
                    <w:t>现状浓度（µg/m</w:t>
                  </w:r>
                  <w:r>
                    <w:rPr>
                      <w:b/>
                      <w:bCs/>
                      <w:sz w:val="18"/>
                      <w:szCs w:val="18"/>
                      <w:vertAlign w:val="superscript"/>
                    </w:rPr>
                    <w:t>3</w:t>
                  </w:r>
                  <w:r>
                    <w:rPr>
                      <w:b/>
                      <w:bCs/>
                      <w:sz w:val="18"/>
                      <w:szCs w:val="18"/>
                    </w:rPr>
                    <w:t>）</w:t>
                  </w:r>
                </w:p>
              </w:tc>
              <w:tc>
                <w:tcPr>
                  <w:tcW w:w="1331" w:type="dxa"/>
                  <w:vAlign w:val="center"/>
                </w:tcPr>
                <w:p w14:paraId="2538B810">
                  <w:pPr>
                    <w:jc w:val="center"/>
                    <w:rPr>
                      <w:b/>
                      <w:bCs/>
                      <w:sz w:val="18"/>
                      <w:szCs w:val="18"/>
                    </w:rPr>
                  </w:pPr>
                  <w:r>
                    <w:rPr>
                      <w:b/>
                      <w:bCs/>
                      <w:sz w:val="18"/>
                      <w:szCs w:val="18"/>
                    </w:rPr>
                    <w:t>标准值</w:t>
                  </w:r>
                </w:p>
                <w:p w14:paraId="0BFA0885">
                  <w:pPr>
                    <w:jc w:val="center"/>
                    <w:rPr>
                      <w:b/>
                      <w:bCs/>
                      <w:sz w:val="18"/>
                      <w:szCs w:val="18"/>
                    </w:rPr>
                  </w:pPr>
                  <w:r>
                    <w:rPr>
                      <w:b/>
                      <w:bCs/>
                      <w:sz w:val="18"/>
                      <w:szCs w:val="18"/>
                    </w:rPr>
                    <w:t>（µg/m</w:t>
                  </w:r>
                  <w:r>
                    <w:rPr>
                      <w:b/>
                      <w:bCs/>
                      <w:sz w:val="18"/>
                      <w:szCs w:val="18"/>
                      <w:vertAlign w:val="superscript"/>
                    </w:rPr>
                    <w:t>3</w:t>
                  </w:r>
                  <w:r>
                    <w:rPr>
                      <w:b/>
                      <w:bCs/>
                      <w:sz w:val="18"/>
                      <w:szCs w:val="18"/>
                    </w:rPr>
                    <w:t>）</w:t>
                  </w:r>
                </w:p>
              </w:tc>
              <w:tc>
                <w:tcPr>
                  <w:tcW w:w="1144" w:type="dxa"/>
                  <w:vAlign w:val="center"/>
                </w:tcPr>
                <w:p w14:paraId="12258D77">
                  <w:pPr>
                    <w:jc w:val="center"/>
                    <w:rPr>
                      <w:b/>
                      <w:bCs/>
                      <w:sz w:val="18"/>
                      <w:szCs w:val="18"/>
                    </w:rPr>
                  </w:pPr>
                  <w:r>
                    <w:rPr>
                      <w:b/>
                      <w:bCs/>
                      <w:sz w:val="18"/>
                      <w:szCs w:val="18"/>
                    </w:rPr>
                    <w:t>占标率</w:t>
                  </w:r>
                </w:p>
                <w:p w14:paraId="45B0DC15">
                  <w:pPr>
                    <w:jc w:val="center"/>
                    <w:rPr>
                      <w:b/>
                      <w:bCs/>
                      <w:sz w:val="18"/>
                      <w:szCs w:val="18"/>
                    </w:rPr>
                  </w:pPr>
                  <w:r>
                    <w:rPr>
                      <w:b/>
                      <w:bCs/>
                      <w:sz w:val="18"/>
                      <w:szCs w:val="18"/>
                    </w:rPr>
                    <w:t>（%）</w:t>
                  </w:r>
                </w:p>
              </w:tc>
              <w:tc>
                <w:tcPr>
                  <w:tcW w:w="1332" w:type="dxa"/>
                  <w:vAlign w:val="center"/>
                </w:tcPr>
                <w:p w14:paraId="2CF7E0E8">
                  <w:pPr>
                    <w:jc w:val="center"/>
                    <w:rPr>
                      <w:b/>
                      <w:bCs/>
                      <w:sz w:val="18"/>
                      <w:szCs w:val="18"/>
                    </w:rPr>
                  </w:pPr>
                  <w:r>
                    <w:rPr>
                      <w:b/>
                      <w:bCs/>
                      <w:sz w:val="18"/>
                      <w:szCs w:val="18"/>
                    </w:rPr>
                    <w:t>达标情况</w:t>
                  </w:r>
                </w:p>
              </w:tc>
            </w:tr>
            <w:tr w14:paraId="64D160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0" w:hRule="atLeast"/>
                <w:jc w:val="center"/>
              </w:trPr>
              <w:tc>
                <w:tcPr>
                  <w:tcW w:w="1173" w:type="dxa"/>
                  <w:vAlign w:val="center"/>
                </w:tcPr>
                <w:p w14:paraId="7713B382">
                  <w:pPr>
                    <w:jc w:val="center"/>
                    <w:rPr>
                      <w:sz w:val="18"/>
                      <w:szCs w:val="18"/>
                    </w:rPr>
                  </w:pPr>
                  <w:r>
                    <w:rPr>
                      <w:sz w:val="18"/>
                      <w:szCs w:val="18"/>
                    </w:rPr>
                    <w:t>SO</w:t>
                  </w:r>
                  <w:r>
                    <w:rPr>
                      <w:sz w:val="18"/>
                      <w:szCs w:val="18"/>
                      <w:vertAlign w:val="subscript"/>
                    </w:rPr>
                    <w:t>2</w:t>
                  </w:r>
                </w:p>
              </w:tc>
              <w:tc>
                <w:tcPr>
                  <w:tcW w:w="1815" w:type="dxa"/>
                  <w:vMerge w:val="restart"/>
                  <w:vAlign w:val="center"/>
                </w:tcPr>
                <w:p w14:paraId="49DA685B">
                  <w:pPr>
                    <w:keepNext/>
                    <w:adjustRightInd w:val="0"/>
                    <w:snapToGrid w:val="0"/>
                    <w:jc w:val="center"/>
                    <w:textAlignment w:val="baseline"/>
                    <w:rPr>
                      <w:sz w:val="18"/>
                      <w:szCs w:val="18"/>
                    </w:rPr>
                  </w:pPr>
                  <w:r>
                    <w:rPr>
                      <w:sz w:val="18"/>
                      <w:szCs w:val="18"/>
                    </w:rPr>
                    <w:t>年平均质量浓度</w:t>
                  </w:r>
                </w:p>
              </w:tc>
              <w:tc>
                <w:tcPr>
                  <w:tcW w:w="1356" w:type="dxa"/>
                  <w:vAlign w:val="center"/>
                </w:tcPr>
                <w:p w14:paraId="5AE234B6">
                  <w:pPr>
                    <w:jc w:val="center"/>
                    <w:rPr>
                      <w:sz w:val="18"/>
                      <w:szCs w:val="18"/>
                    </w:rPr>
                  </w:pPr>
                  <w:r>
                    <w:rPr>
                      <w:rFonts w:hint="eastAsia"/>
                      <w:sz w:val="18"/>
                      <w:szCs w:val="18"/>
                    </w:rPr>
                    <w:t>8</w:t>
                  </w:r>
                </w:p>
              </w:tc>
              <w:tc>
                <w:tcPr>
                  <w:tcW w:w="1331" w:type="dxa"/>
                  <w:vAlign w:val="center"/>
                </w:tcPr>
                <w:p w14:paraId="330D1929">
                  <w:pPr>
                    <w:jc w:val="center"/>
                    <w:rPr>
                      <w:sz w:val="18"/>
                      <w:szCs w:val="18"/>
                    </w:rPr>
                  </w:pPr>
                  <w:r>
                    <w:rPr>
                      <w:sz w:val="18"/>
                      <w:szCs w:val="18"/>
                    </w:rPr>
                    <w:t>60</w:t>
                  </w:r>
                </w:p>
              </w:tc>
              <w:tc>
                <w:tcPr>
                  <w:tcW w:w="1144" w:type="dxa"/>
                  <w:vAlign w:val="center"/>
                </w:tcPr>
                <w:p w14:paraId="188B1B14">
                  <w:pPr>
                    <w:jc w:val="center"/>
                    <w:rPr>
                      <w:sz w:val="18"/>
                      <w:szCs w:val="18"/>
                    </w:rPr>
                  </w:pPr>
                  <w:r>
                    <w:rPr>
                      <w:rFonts w:eastAsia="等线"/>
                      <w:sz w:val="18"/>
                      <w:szCs w:val="18"/>
                    </w:rPr>
                    <w:t>13.3</w:t>
                  </w:r>
                </w:p>
              </w:tc>
              <w:tc>
                <w:tcPr>
                  <w:tcW w:w="1332" w:type="dxa"/>
                  <w:vAlign w:val="center"/>
                </w:tcPr>
                <w:p w14:paraId="2B9A984C">
                  <w:pPr>
                    <w:jc w:val="center"/>
                    <w:rPr>
                      <w:sz w:val="18"/>
                      <w:szCs w:val="18"/>
                    </w:rPr>
                  </w:pPr>
                  <w:r>
                    <w:rPr>
                      <w:sz w:val="18"/>
                      <w:szCs w:val="18"/>
                    </w:rPr>
                    <w:t>达标</w:t>
                  </w:r>
                </w:p>
              </w:tc>
            </w:tr>
            <w:tr w14:paraId="79F6DE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0" w:hRule="atLeast"/>
                <w:jc w:val="center"/>
              </w:trPr>
              <w:tc>
                <w:tcPr>
                  <w:tcW w:w="1173" w:type="dxa"/>
                  <w:vAlign w:val="center"/>
                </w:tcPr>
                <w:p w14:paraId="4F7A3224">
                  <w:pPr>
                    <w:jc w:val="center"/>
                    <w:rPr>
                      <w:sz w:val="18"/>
                      <w:szCs w:val="18"/>
                    </w:rPr>
                  </w:pPr>
                  <w:r>
                    <w:rPr>
                      <w:sz w:val="18"/>
                      <w:szCs w:val="18"/>
                    </w:rPr>
                    <w:t>NO</w:t>
                  </w:r>
                  <w:r>
                    <w:rPr>
                      <w:sz w:val="18"/>
                      <w:szCs w:val="18"/>
                      <w:vertAlign w:val="subscript"/>
                    </w:rPr>
                    <w:t>2</w:t>
                  </w:r>
                </w:p>
              </w:tc>
              <w:tc>
                <w:tcPr>
                  <w:tcW w:w="1815" w:type="dxa"/>
                  <w:vMerge w:val="continue"/>
                  <w:vAlign w:val="center"/>
                </w:tcPr>
                <w:p w14:paraId="1DE28159">
                  <w:pPr>
                    <w:keepNext/>
                    <w:adjustRightInd w:val="0"/>
                    <w:snapToGrid w:val="0"/>
                    <w:jc w:val="center"/>
                    <w:textAlignment w:val="baseline"/>
                    <w:rPr>
                      <w:sz w:val="18"/>
                      <w:szCs w:val="18"/>
                    </w:rPr>
                  </w:pPr>
                </w:p>
              </w:tc>
              <w:tc>
                <w:tcPr>
                  <w:tcW w:w="1356" w:type="dxa"/>
                  <w:vAlign w:val="center"/>
                </w:tcPr>
                <w:p w14:paraId="1588E6E3">
                  <w:pPr>
                    <w:jc w:val="center"/>
                    <w:rPr>
                      <w:sz w:val="18"/>
                      <w:szCs w:val="18"/>
                    </w:rPr>
                  </w:pPr>
                  <w:r>
                    <w:rPr>
                      <w:sz w:val="18"/>
                      <w:szCs w:val="18"/>
                    </w:rPr>
                    <w:t>19</w:t>
                  </w:r>
                </w:p>
              </w:tc>
              <w:tc>
                <w:tcPr>
                  <w:tcW w:w="1331" w:type="dxa"/>
                  <w:vAlign w:val="center"/>
                </w:tcPr>
                <w:p w14:paraId="400E44BE">
                  <w:pPr>
                    <w:jc w:val="center"/>
                    <w:rPr>
                      <w:sz w:val="18"/>
                      <w:szCs w:val="18"/>
                    </w:rPr>
                  </w:pPr>
                  <w:r>
                    <w:rPr>
                      <w:sz w:val="18"/>
                      <w:szCs w:val="18"/>
                    </w:rPr>
                    <w:t>40</w:t>
                  </w:r>
                </w:p>
              </w:tc>
              <w:tc>
                <w:tcPr>
                  <w:tcW w:w="1144" w:type="dxa"/>
                  <w:vAlign w:val="center"/>
                </w:tcPr>
                <w:p w14:paraId="7E70024A">
                  <w:pPr>
                    <w:jc w:val="center"/>
                    <w:rPr>
                      <w:sz w:val="18"/>
                      <w:szCs w:val="18"/>
                    </w:rPr>
                  </w:pPr>
                  <w:r>
                    <w:rPr>
                      <w:rFonts w:eastAsia="等线"/>
                      <w:sz w:val="18"/>
                      <w:szCs w:val="18"/>
                    </w:rPr>
                    <w:t>47.5</w:t>
                  </w:r>
                </w:p>
              </w:tc>
              <w:tc>
                <w:tcPr>
                  <w:tcW w:w="1332" w:type="dxa"/>
                  <w:vAlign w:val="center"/>
                </w:tcPr>
                <w:p w14:paraId="2A14C5D9">
                  <w:pPr>
                    <w:jc w:val="center"/>
                    <w:rPr>
                      <w:sz w:val="18"/>
                      <w:szCs w:val="18"/>
                    </w:rPr>
                  </w:pPr>
                  <w:r>
                    <w:rPr>
                      <w:sz w:val="18"/>
                      <w:szCs w:val="18"/>
                    </w:rPr>
                    <w:t>达标</w:t>
                  </w:r>
                </w:p>
              </w:tc>
            </w:tr>
            <w:tr w14:paraId="54D3DA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50" w:hRule="atLeast"/>
                <w:jc w:val="center"/>
              </w:trPr>
              <w:tc>
                <w:tcPr>
                  <w:tcW w:w="1173" w:type="dxa"/>
                  <w:vAlign w:val="center"/>
                </w:tcPr>
                <w:p w14:paraId="0EB4C96C">
                  <w:pPr>
                    <w:jc w:val="center"/>
                    <w:rPr>
                      <w:sz w:val="18"/>
                      <w:szCs w:val="18"/>
                    </w:rPr>
                  </w:pPr>
                  <w:r>
                    <w:rPr>
                      <w:sz w:val="18"/>
                      <w:szCs w:val="18"/>
                    </w:rPr>
                    <w:t>PM</w:t>
                  </w:r>
                  <w:r>
                    <w:rPr>
                      <w:sz w:val="18"/>
                      <w:szCs w:val="18"/>
                      <w:vertAlign w:val="subscript"/>
                    </w:rPr>
                    <w:t>10</w:t>
                  </w:r>
                </w:p>
              </w:tc>
              <w:tc>
                <w:tcPr>
                  <w:tcW w:w="1815" w:type="dxa"/>
                  <w:vMerge w:val="continue"/>
                  <w:vAlign w:val="center"/>
                </w:tcPr>
                <w:p w14:paraId="489FEC81">
                  <w:pPr>
                    <w:keepNext/>
                    <w:adjustRightInd w:val="0"/>
                    <w:snapToGrid w:val="0"/>
                    <w:jc w:val="center"/>
                    <w:textAlignment w:val="baseline"/>
                    <w:rPr>
                      <w:sz w:val="18"/>
                      <w:szCs w:val="18"/>
                    </w:rPr>
                  </w:pPr>
                </w:p>
              </w:tc>
              <w:tc>
                <w:tcPr>
                  <w:tcW w:w="1356" w:type="dxa"/>
                  <w:vAlign w:val="center"/>
                </w:tcPr>
                <w:p w14:paraId="3A40FA83">
                  <w:pPr>
                    <w:jc w:val="center"/>
                    <w:rPr>
                      <w:sz w:val="18"/>
                      <w:szCs w:val="18"/>
                    </w:rPr>
                  </w:pPr>
                  <w:r>
                    <w:rPr>
                      <w:sz w:val="18"/>
                      <w:szCs w:val="18"/>
                    </w:rPr>
                    <w:t>51</w:t>
                  </w:r>
                </w:p>
              </w:tc>
              <w:tc>
                <w:tcPr>
                  <w:tcW w:w="1331" w:type="dxa"/>
                  <w:vAlign w:val="center"/>
                </w:tcPr>
                <w:p w14:paraId="69D751C6">
                  <w:pPr>
                    <w:jc w:val="center"/>
                    <w:rPr>
                      <w:sz w:val="18"/>
                      <w:szCs w:val="18"/>
                    </w:rPr>
                  </w:pPr>
                  <w:r>
                    <w:rPr>
                      <w:sz w:val="18"/>
                      <w:szCs w:val="18"/>
                    </w:rPr>
                    <w:t>70</w:t>
                  </w:r>
                </w:p>
              </w:tc>
              <w:tc>
                <w:tcPr>
                  <w:tcW w:w="1144" w:type="dxa"/>
                  <w:vAlign w:val="center"/>
                </w:tcPr>
                <w:p w14:paraId="0468FF23">
                  <w:pPr>
                    <w:jc w:val="center"/>
                    <w:rPr>
                      <w:sz w:val="18"/>
                      <w:szCs w:val="18"/>
                    </w:rPr>
                  </w:pPr>
                  <w:r>
                    <w:rPr>
                      <w:rFonts w:eastAsia="等线"/>
                      <w:sz w:val="18"/>
                      <w:szCs w:val="18"/>
                    </w:rPr>
                    <w:t>72.9</w:t>
                  </w:r>
                </w:p>
              </w:tc>
              <w:tc>
                <w:tcPr>
                  <w:tcW w:w="1332" w:type="dxa"/>
                  <w:vAlign w:val="center"/>
                </w:tcPr>
                <w:p w14:paraId="4B108BE6">
                  <w:pPr>
                    <w:jc w:val="center"/>
                    <w:rPr>
                      <w:sz w:val="18"/>
                      <w:szCs w:val="18"/>
                    </w:rPr>
                  </w:pPr>
                  <w:r>
                    <w:rPr>
                      <w:sz w:val="18"/>
                      <w:szCs w:val="18"/>
                    </w:rPr>
                    <w:t>达标</w:t>
                  </w:r>
                </w:p>
              </w:tc>
            </w:tr>
            <w:tr w14:paraId="24AFF1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50" w:hRule="atLeast"/>
                <w:jc w:val="center"/>
              </w:trPr>
              <w:tc>
                <w:tcPr>
                  <w:tcW w:w="1173" w:type="dxa"/>
                  <w:vAlign w:val="center"/>
                </w:tcPr>
                <w:p w14:paraId="5E7292E7">
                  <w:pPr>
                    <w:jc w:val="center"/>
                    <w:rPr>
                      <w:sz w:val="18"/>
                      <w:szCs w:val="18"/>
                    </w:rPr>
                  </w:pPr>
                  <w:r>
                    <w:rPr>
                      <w:sz w:val="18"/>
                      <w:szCs w:val="18"/>
                    </w:rPr>
                    <w:t>PM</w:t>
                  </w:r>
                  <w:r>
                    <w:rPr>
                      <w:sz w:val="18"/>
                      <w:szCs w:val="18"/>
                      <w:vertAlign w:val="subscript"/>
                    </w:rPr>
                    <w:t>2.5</w:t>
                  </w:r>
                </w:p>
              </w:tc>
              <w:tc>
                <w:tcPr>
                  <w:tcW w:w="1815" w:type="dxa"/>
                  <w:vMerge w:val="continue"/>
                  <w:vAlign w:val="center"/>
                </w:tcPr>
                <w:p w14:paraId="6C7A9469">
                  <w:pPr>
                    <w:keepNext/>
                    <w:adjustRightInd w:val="0"/>
                    <w:snapToGrid w:val="0"/>
                    <w:jc w:val="center"/>
                    <w:textAlignment w:val="baseline"/>
                    <w:rPr>
                      <w:sz w:val="18"/>
                      <w:szCs w:val="18"/>
                    </w:rPr>
                  </w:pPr>
                </w:p>
              </w:tc>
              <w:tc>
                <w:tcPr>
                  <w:tcW w:w="1356" w:type="dxa"/>
                  <w:vAlign w:val="center"/>
                </w:tcPr>
                <w:p w14:paraId="359C80F2">
                  <w:pPr>
                    <w:jc w:val="center"/>
                    <w:rPr>
                      <w:sz w:val="18"/>
                      <w:szCs w:val="18"/>
                    </w:rPr>
                  </w:pPr>
                  <w:r>
                    <w:rPr>
                      <w:rFonts w:hint="eastAsia"/>
                      <w:sz w:val="18"/>
                      <w:szCs w:val="18"/>
                    </w:rPr>
                    <w:t>32</w:t>
                  </w:r>
                </w:p>
              </w:tc>
              <w:tc>
                <w:tcPr>
                  <w:tcW w:w="1331" w:type="dxa"/>
                  <w:vAlign w:val="center"/>
                </w:tcPr>
                <w:p w14:paraId="500BA70B">
                  <w:pPr>
                    <w:jc w:val="center"/>
                    <w:rPr>
                      <w:sz w:val="18"/>
                      <w:szCs w:val="18"/>
                    </w:rPr>
                  </w:pPr>
                  <w:r>
                    <w:rPr>
                      <w:sz w:val="18"/>
                      <w:szCs w:val="18"/>
                    </w:rPr>
                    <w:t>35</w:t>
                  </w:r>
                </w:p>
              </w:tc>
              <w:tc>
                <w:tcPr>
                  <w:tcW w:w="1144" w:type="dxa"/>
                  <w:vAlign w:val="center"/>
                </w:tcPr>
                <w:p w14:paraId="6A1436BF">
                  <w:pPr>
                    <w:jc w:val="center"/>
                    <w:rPr>
                      <w:sz w:val="18"/>
                      <w:szCs w:val="18"/>
                    </w:rPr>
                  </w:pPr>
                  <w:r>
                    <w:rPr>
                      <w:rFonts w:hint="eastAsia" w:eastAsia="等线"/>
                      <w:sz w:val="18"/>
                      <w:szCs w:val="18"/>
                    </w:rPr>
                    <w:t>91.4</w:t>
                  </w:r>
                </w:p>
              </w:tc>
              <w:tc>
                <w:tcPr>
                  <w:tcW w:w="1332" w:type="dxa"/>
                  <w:vAlign w:val="center"/>
                </w:tcPr>
                <w:p w14:paraId="248530DA">
                  <w:pPr>
                    <w:jc w:val="center"/>
                    <w:rPr>
                      <w:sz w:val="18"/>
                      <w:szCs w:val="18"/>
                    </w:rPr>
                  </w:pPr>
                  <w:r>
                    <w:rPr>
                      <w:sz w:val="18"/>
                      <w:szCs w:val="18"/>
                    </w:rPr>
                    <w:t>达标</w:t>
                  </w:r>
                </w:p>
              </w:tc>
            </w:tr>
            <w:tr w14:paraId="569C4E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65" w:hRule="atLeast"/>
                <w:jc w:val="center"/>
              </w:trPr>
              <w:tc>
                <w:tcPr>
                  <w:tcW w:w="1173" w:type="dxa"/>
                  <w:vAlign w:val="center"/>
                </w:tcPr>
                <w:p w14:paraId="0CD11206">
                  <w:pPr>
                    <w:widowControl/>
                    <w:adjustRightInd w:val="0"/>
                    <w:snapToGrid w:val="0"/>
                    <w:jc w:val="center"/>
                    <w:rPr>
                      <w:sz w:val="18"/>
                      <w:szCs w:val="18"/>
                    </w:rPr>
                  </w:pPr>
                  <w:r>
                    <w:rPr>
                      <w:sz w:val="18"/>
                      <w:szCs w:val="18"/>
                    </w:rPr>
                    <w:t>CO</w:t>
                  </w:r>
                </w:p>
              </w:tc>
              <w:tc>
                <w:tcPr>
                  <w:tcW w:w="1815" w:type="dxa"/>
                  <w:vAlign w:val="center"/>
                </w:tcPr>
                <w:p w14:paraId="4BAD2514">
                  <w:pPr>
                    <w:keepNext/>
                    <w:adjustRightInd w:val="0"/>
                    <w:snapToGrid w:val="0"/>
                    <w:jc w:val="center"/>
                    <w:textAlignment w:val="baseline"/>
                    <w:rPr>
                      <w:sz w:val="18"/>
                      <w:szCs w:val="18"/>
                    </w:rPr>
                  </w:pPr>
                  <w:r>
                    <w:rPr>
                      <w:sz w:val="18"/>
                      <w:szCs w:val="18"/>
                    </w:rPr>
                    <w:t>第95百分位数</w:t>
                  </w:r>
                </w:p>
              </w:tc>
              <w:tc>
                <w:tcPr>
                  <w:tcW w:w="1356" w:type="dxa"/>
                  <w:vAlign w:val="center"/>
                </w:tcPr>
                <w:p w14:paraId="4C74533F">
                  <w:pPr>
                    <w:jc w:val="center"/>
                    <w:rPr>
                      <w:sz w:val="18"/>
                      <w:szCs w:val="18"/>
                    </w:rPr>
                  </w:pPr>
                  <w:r>
                    <w:rPr>
                      <w:sz w:val="18"/>
                      <w:szCs w:val="18"/>
                    </w:rPr>
                    <w:t>1</w:t>
                  </w:r>
                  <w:r>
                    <w:rPr>
                      <w:rFonts w:hint="eastAsia"/>
                      <w:sz w:val="18"/>
                      <w:szCs w:val="18"/>
                    </w:rPr>
                    <w:t>2</w:t>
                  </w:r>
                  <w:r>
                    <w:rPr>
                      <w:sz w:val="18"/>
                      <w:szCs w:val="18"/>
                    </w:rPr>
                    <w:t>00</w:t>
                  </w:r>
                </w:p>
              </w:tc>
              <w:tc>
                <w:tcPr>
                  <w:tcW w:w="1331" w:type="dxa"/>
                  <w:vAlign w:val="center"/>
                </w:tcPr>
                <w:p w14:paraId="25AA6FB4">
                  <w:pPr>
                    <w:jc w:val="center"/>
                    <w:rPr>
                      <w:sz w:val="18"/>
                      <w:szCs w:val="18"/>
                    </w:rPr>
                  </w:pPr>
                  <w:r>
                    <w:rPr>
                      <w:sz w:val="18"/>
                      <w:szCs w:val="18"/>
                    </w:rPr>
                    <w:t>4000</w:t>
                  </w:r>
                </w:p>
              </w:tc>
              <w:tc>
                <w:tcPr>
                  <w:tcW w:w="1144" w:type="dxa"/>
                  <w:vAlign w:val="center"/>
                </w:tcPr>
                <w:p w14:paraId="168C21BD">
                  <w:pPr>
                    <w:jc w:val="center"/>
                    <w:rPr>
                      <w:sz w:val="18"/>
                      <w:szCs w:val="18"/>
                    </w:rPr>
                  </w:pPr>
                  <w:r>
                    <w:rPr>
                      <w:rFonts w:hint="eastAsia" w:eastAsia="等线"/>
                      <w:sz w:val="18"/>
                      <w:szCs w:val="18"/>
                    </w:rPr>
                    <w:t>30</w:t>
                  </w:r>
                </w:p>
              </w:tc>
              <w:tc>
                <w:tcPr>
                  <w:tcW w:w="1332" w:type="dxa"/>
                  <w:vAlign w:val="center"/>
                </w:tcPr>
                <w:p w14:paraId="18F6FEDE">
                  <w:pPr>
                    <w:jc w:val="center"/>
                    <w:rPr>
                      <w:sz w:val="18"/>
                      <w:szCs w:val="18"/>
                    </w:rPr>
                  </w:pPr>
                  <w:r>
                    <w:rPr>
                      <w:sz w:val="18"/>
                      <w:szCs w:val="18"/>
                    </w:rPr>
                    <w:t>达标</w:t>
                  </w:r>
                </w:p>
              </w:tc>
            </w:tr>
            <w:tr w14:paraId="73851B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173" w:type="dxa"/>
                  <w:vAlign w:val="center"/>
                </w:tcPr>
                <w:p w14:paraId="45864696">
                  <w:pPr>
                    <w:widowControl/>
                    <w:adjustRightInd w:val="0"/>
                    <w:snapToGrid w:val="0"/>
                    <w:jc w:val="center"/>
                    <w:rPr>
                      <w:sz w:val="18"/>
                      <w:szCs w:val="18"/>
                    </w:rPr>
                  </w:pPr>
                  <w:r>
                    <w:rPr>
                      <w:sz w:val="18"/>
                      <w:szCs w:val="18"/>
                    </w:rPr>
                    <w:t>O</w:t>
                  </w:r>
                  <w:r>
                    <w:rPr>
                      <w:sz w:val="18"/>
                      <w:szCs w:val="18"/>
                      <w:vertAlign w:val="subscript"/>
                    </w:rPr>
                    <w:t>3</w:t>
                  </w:r>
                </w:p>
              </w:tc>
              <w:tc>
                <w:tcPr>
                  <w:tcW w:w="1815" w:type="dxa"/>
                  <w:vAlign w:val="center"/>
                </w:tcPr>
                <w:p w14:paraId="4B4EC7BA">
                  <w:pPr>
                    <w:keepNext/>
                    <w:adjustRightInd w:val="0"/>
                    <w:snapToGrid w:val="0"/>
                    <w:jc w:val="center"/>
                    <w:textAlignment w:val="baseline"/>
                    <w:rPr>
                      <w:sz w:val="18"/>
                      <w:szCs w:val="18"/>
                    </w:rPr>
                  </w:pPr>
                  <w:r>
                    <w:rPr>
                      <w:sz w:val="18"/>
                      <w:szCs w:val="18"/>
                    </w:rPr>
                    <w:t>日最大8小时滑动平均值第90百分位数</w:t>
                  </w:r>
                </w:p>
              </w:tc>
              <w:tc>
                <w:tcPr>
                  <w:tcW w:w="1356" w:type="dxa"/>
                  <w:vAlign w:val="center"/>
                </w:tcPr>
                <w:p w14:paraId="2850FF3E">
                  <w:pPr>
                    <w:jc w:val="center"/>
                    <w:rPr>
                      <w:sz w:val="18"/>
                      <w:szCs w:val="18"/>
                    </w:rPr>
                  </w:pPr>
                  <w:r>
                    <w:rPr>
                      <w:rFonts w:hint="eastAsia"/>
                      <w:sz w:val="18"/>
                      <w:szCs w:val="18"/>
                    </w:rPr>
                    <w:t>154</w:t>
                  </w:r>
                </w:p>
              </w:tc>
              <w:tc>
                <w:tcPr>
                  <w:tcW w:w="1331" w:type="dxa"/>
                  <w:vAlign w:val="center"/>
                </w:tcPr>
                <w:p w14:paraId="465CAABD">
                  <w:pPr>
                    <w:jc w:val="center"/>
                    <w:rPr>
                      <w:sz w:val="18"/>
                      <w:szCs w:val="18"/>
                    </w:rPr>
                  </w:pPr>
                  <w:r>
                    <w:rPr>
                      <w:sz w:val="18"/>
                      <w:szCs w:val="18"/>
                    </w:rPr>
                    <w:t>160</w:t>
                  </w:r>
                </w:p>
              </w:tc>
              <w:tc>
                <w:tcPr>
                  <w:tcW w:w="1144" w:type="dxa"/>
                  <w:vAlign w:val="center"/>
                </w:tcPr>
                <w:p w14:paraId="6C0EFDDB">
                  <w:pPr>
                    <w:jc w:val="center"/>
                    <w:rPr>
                      <w:sz w:val="18"/>
                      <w:szCs w:val="18"/>
                    </w:rPr>
                  </w:pPr>
                  <w:r>
                    <w:rPr>
                      <w:rFonts w:hint="eastAsia"/>
                      <w:sz w:val="18"/>
                      <w:szCs w:val="18"/>
                    </w:rPr>
                    <w:t>96.2</w:t>
                  </w:r>
                </w:p>
              </w:tc>
              <w:tc>
                <w:tcPr>
                  <w:tcW w:w="1332" w:type="dxa"/>
                  <w:vAlign w:val="center"/>
                </w:tcPr>
                <w:p w14:paraId="162DBBAA">
                  <w:pPr>
                    <w:jc w:val="center"/>
                    <w:rPr>
                      <w:sz w:val="18"/>
                      <w:szCs w:val="18"/>
                    </w:rPr>
                  </w:pPr>
                  <w:r>
                    <w:rPr>
                      <w:rFonts w:hint="eastAsia"/>
                      <w:sz w:val="18"/>
                      <w:szCs w:val="18"/>
                    </w:rPr>
                    <w:t>达标</w:t>
                  </w:r>
                </w:p>
              </w:tc>
            </w:tr>
          </w:tbl>
          <w:p w14:paraId="546AFD89">
            <w:pPr>
              <w:widowControl/>
              <w:shd w:val="clear" w:color="auto" w:fill="FFFFFF"/>
              <w:spacing w:line="360" w:lineRule="auto"/>
              <w:ind w:firstLine="420" w:firstLineChars="200"/>
              <w:rPr>
                <w:sz w:val="24"/>
              </w:rPr>
            </w:pPr>
            <w:r>
              <w:rPr>
                <w:szCs w:val="21"/>
              </w:rPr>
              <w:t>由表3-1可知，202</w:t>
            </w:r>
            <w:r>
              <w:rPr>
                <w:rFonts w:hint="eastAsia"/>
                <w:szCs w:val="21"/>
              </w:rPr>
              <w:t>4</w:t>
            </w:r>
            <w:r>
              <w:rPr>
                <w:szCs w:val="21"/>
              </w:rPr>
              <w:t>年海安区域SO</w:t>
            </w:r>
            <w:r>
              <w:rPr>
                <w:szCs w:val="21"/>
                <w:vertAlign w:val="subscript"/>
              </w:rPr>
              <w:t>2</w:t>
            </w:r>
            <w:r>
              <w:rPr>
                <w:szCs w:val="21"/>
              </w:rPr>
              <w:t>、NO</w:t>
            </w:r>
            <w:r>
              <w:rPr>
                <w:szCs w:val="21"/>
                <w:vertAlign w:val="subscript"/>
              </w:rPr>
              <w:t>2</w:t>
            </w:r>
            <w:r>
              <w:rPr>
                <w:szCs w:val="21"/>
              </w:rPr>
              <w:t>、PM</w:t>
            </w:r>
            <w:r>
              <w:rPr>
                <w:szCs w:val="21"/>
                <w:vertAlign w:val="subscript"/>
              </w:rPr>
              <w:t>10</w:t>
            </w:r>
            <w:r>
              <w:rPr>
                <w:szCs w:val="21"/>
              </w:rPr>
              <w:t>、PM</w:t>
            </w:r>
            <w:r>
              <w:rPr>
                <w:szCs w:val="21"/>
                <w:vertAlign w:val="subscript"/>
              </w:rPr>
              <w:t>2.5</w:t>
            </w:r>
            <w:r>
              <w:rPr>
                <w:szCs w:val="21"/>
              </w:rPr>
              <w:t>、CO</w:t>
            </w:r>
            <w:r>
              <w:rPr>
                <w:rFonts w:hint="eastAsia"/>
                <w:szCs w:val="21"/>
              </w:rPr>
              <w:t>、O</w:t>
            </w:r>
            <w:r>
              <w:rPr>
                <w:rFonts w:hint="eastAsia"/>
                <w:szCs w:val="21"/>
                <w:vertAlign w:val="subscript"/>
              </w:rPr>
              <w:t>3</w:t>
            </w:r>
            <w:r>
              <w:rPr>
                <w:rFonts w:hint="eastAsia"/>
                <w:szCs w:val="21"/>
              </w:rPr>
              <w:t>均</w:t>
            </w:r>
            <w:r>
              <w:rPr>
                <w:szCs w:val="21"/>
              </w:rPr>
              <w:t>符合《环境空气质量标准》（GB3095-2012）中二级标准，因此该区域属于大气环境质量达标区。</w:t>
            </w:r>
            <w:r>
              <w:rPr>
                <w:sz w:val="24"/>
              </w:rPr>
              <w:t xml:space="preserve"> </w:t>
            </w:r>
          </w:p>
          <w:p w14:paraId="3E2229DF">
            <w:pPr>
              <w:widowControl/>
              <w:shd w:val="clear" w:color="auto" w:fill="FFFFFF"/>
              <w:spacing w:line="360" w:lineRule="auto"/>
              <w:ind w:firstLine="454" w:firstLineChars="200"/>
              <w:rPr>
                <w:b/>
                <w:spacing w:val="8"/>
                <w:kern w:val="0"/>
                <w:szCs w:val="21"/>
              </w:rPr>
            </w:pPr>
            <w:r>
              <w:rPr>
                <w:b/>
                <w:spacing w:val="8"/>
                <w:kern w:val="0"/>
                <w:szCs w:val="21"/>
              </w:rPr>
              <w:t>2.地表水环境质量现状</w:t>
            </w:r>
          </w:p>
          <w:p w14:paraId="3FAD1DF0">
            <w:pPr>
              <w:snapToGrid w:val="0"/>
              <w:spacing w:line="360" w:lineRule="auto"/>
              <w:ind w:firstLine="420" w:firstLineChars="200"/>
              <w:rPr>
                <w:b/>
                <w:bCs/>
                <w:szCs w:val="21"/>
              </w:rPr>
            </w:pPr>
            <w:r>
              <w:rPr>
                <w:szCs w:val="21"/>
              </w:rPr>
              <w:t>本项目</w:t>
            </w:r>
            <w:r>
              <w:rPr>
                <w:rFonts w:hint="eastAsia"/>
                <w:szCs w:val="21"/>
                <w:lang w:val="en-US" w:eastAsia="zh-CN"/>
              </w:rPr>
              <w:t>废水</w:t>
            </w:r>
            <w:r>
              <w:rPr>
                <w:rFonts w:hint="eastAsia"/>
                <w:szCs w:val="21"/>
              </w:rPr>
              <w:t>接管海安李堡滇池水务有限公司处理</w:t>
            </w:r>
            <w:r>
              <w:rPr>
                <w:szCs w:val="21"/>
              </w:rPr>
              <w:t>，最终受纳水体为</w:t>
            </w:r>
            <w:r>
              <w:rPr>
                <w:rFonts w:hint="eastAsia"/>
                <w:szCs w:val="21"/>
              </w:rPr>
              <w:t>北凌河</w:t>
            </w:r>
            <w:r>
              <w:rPr>
                <w:szCs w:val="21"/>
              </w:rPr>
              <w:t>。</w:t>
            </w:r>
            <w:r>
              <w:rPr>
                <w:rFonts w:hint="eastAsia"/>
                <w:szCs w:val="21"/>
              </w:rPr>
              <w:t>北凌河水环境质量现状引用《江苏天蓝油脂有限公司工业混合油生产项目环境影响报告书》中于2024年7月24日~7月26日对海安李堡滇池水务有限公司排口上下游3个断面水质进行的地表水监测数据，监测时间在三年以内，监测期后区域污染源变化不大，数据有效，可以引用。监测结果下表。</w:t>
            </w:r>
          </w:p>
          <w:p w14:paraId="6F62566D">
            <w:pPr>
              <w:snapToGrid w:val="0"/>
              <w:jc w:val="center"/>
              <w:rPr>
                <w:b/>
                <w:bCs/>
                <w:szCs w:val="21"/>
              </w:rPr>
            </w:pPr>
            <w:r>
              <w:rPr>
                <w:rFonts w:hint="eastAsia"/>
                <w:b/>
                <w:bCs/>
                <w:szCs w:val="21"/>
              </w:rPr>
              <w:t>表</w:t>
            </w:r>
            <w:r>
              <w:rPr>
                <w:b/>
                <w:bCs/>
                <w:szCs w:val="21"/>
              </w:rPr>
              <w:t>3-</w:t>
            </w:r>
            <w:r>
              <w:rPr>
                <w:rFonts w:hint="eastAsia"/>
                <w:b/>
                <w:bCs/>
                <w:szCs w:val="21"/>
              </w:rPr>
              <w:t>2 北凌河水质监测断面布设</w:t>
            </w:r>
          </w:p>
          <w:tbl>
            <w:tblPr>
              <w:tblStyle w:val="24"/>
              <w:tblW w:w="877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3"/>
              <w:gridCol w:w="5101"/>
              <w:gridCol w:w="1721"/>
              <w:gridCol w:w="1294"/>
            </w:tblGrid>
            <w:tr w14:paraId="20B486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7" w:type="pct"/>
                  <w:tcBorders>
                    <w:tl2br w:val="nil"/>
                    <w:tr2bl w:val="nil"/>
                  </w:tcBorders>
                  <w:vAlign w:val="center"/>
                </w:tcPr>
                <w:p w14:paraId="2A9A966D">
                  <w:pPr>
                    <w:snapToGrid w:val="0"/>
                    <w:jc w:val="center"/>
                    <w:rPr>
                      <w:b/>
                      <w:bCs/>
                      <w:sz w:val="18"/>
                      <w:szCs w:val="18"/>
                    </w:rPr>
                  </w:pPr>
                  <w:r>
                    <w:rPr>
                      <w:rFonts w:hint="eastAsia"/>
                      <w:b/>
                      <w:bCs/>
                      <w:sz w:val="18"/>
                      <w:szCs w:val="18"/>
                    </w:rPr>
                    <w:t>序号</w:t>
                  </w:r>
                </w:p>
              </w:tc>
              <w:tc>
                <w:tcPr>
                  <w:tcW w:w="2904" w:type="pct"/>
                  <w:tcBorders>
                    <w:tl2br w:val="nil"/>
                    <w:tr2bl w:val="nil"/>
                  </w:tcBorders>
                  <w:vAlign w:val="center"/>
                </w:tcPr>
                <w:p w14:paraId="07898CC6">
                  <w:pPr>
                    <w:snapToGrid w:val="0"/>
                    <w:jc w:val="center"/>
                    <w:rPr>
                      <w:b/>
                      <w:bCs/>
                      <w:sz w:val="18"/>
                      <w:szCs w:val="18"/>
                    </w:rPr>
                  </w:pPr>
                  <w:r>
                    <w:rPr>
                      <w:rFonts w:hint="eastAsia"/>
                      <w:b/>
                      <w:bCs/>
                      <w:sz w:val="18"/>
                      <w:szCs w:val="18"/>
                    </w:rPr>
                    <w:t>断面位置</w:t>
                  </w:r>
                </w:p>
              </w:tc>
              <w:tc>
                <w:tcPr>
                  <w:tcW w:w="980" w:type="pct"/>
                  <w:tcBorders>
                    <w:tl2br w:val="nil"/>
                    <w:tr2bl w:val="nil"/>
                  </w:tcBorders>
                  <w:vAlign w:val="center"/>
                </w:tcPr>
                <w:p w14:paraId="42EA2BBF">
                  <w:pPr>
                    <w:snapToGrid w:val="0"/>
                    <w:jc w:val="center"/>
                    <w:rPr>
                      <w:b/>
                      <w:bCs/>
                      <w:sz w:val="18"/>
                      <w:szCs w:val="18"/>
                    </w:rPr>
                  </w:pPr>
                  <w:r>
                    <w:rPr>
                      <w:rFonts w:hint="eastAsia"/>
                      <w:b/>
                      <w:bCs/>
                      <w:sz w:val="18"/>
                      <w:szCs w:val="18"/>
                    </w:rPr>
                    <w:t>监测项目</w:t>
                  </w:r>
                </w:p>
              </w:tc>
              <w:tc>
                <w:tcPr>
                  <w:tcW w:w="737" w:type="pct"/>
                  <w:tcBorders>
                    <w:tl2br w:val="nil"/>
                    <w:tr2bl w:val="nil"/>
                  </w:tcBorders>
                  <w:vAlign w:val="center"/>
                </w:tcPr>
                <w:p w14:paraId="2C9D117C">
                  <w:pPr>
                    <w:snapToGrid w:val="0"/>
                    <w:jc w:val="center"/>
                    <w:rPr>
                      <w:b/>
                      <w:bCs/>
                      <w:sz w:val="18"/>
                      <w:szCs w:val="18"/>
                    </w:rPr>
                  </w:pPr>
                  <w:r>
                    <w:rPr>
                      <w:rFonts w:hint="eastAsia"/>
                      <w:b/>
                      <w:bCs/>
                      <w:sz w:val="18"/>
                      <w:szCs w:val="18"/>
                    </w:rPr>
                    <w:t>取样频率</w:t>
                  </w:r>
                </w:p>
              </w:tc>
            </w:tr>
            <w:tr w14:paraId="33B2D7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377" w:type="pct"/>
                  <w:tcBorders>
                    <w:tl2br w:val="nil"/>
                    <w:tr2bl w:val="nil"/>
                  </w:tcBorders>
                  <w:vAlign w:val="center"/>
                </w:tcPr>
                <w:p w14:paraId="48942A41">
                  <w:pPr>
                    <w:snapToGrid w:val="0"/>
                    <w:jc w:val="center"/>
                    <w:rPr>
                      <w:b/>
                      <w:bCs/>
                      <w:sz w:val="18"/>
                      <w:szCs w:val="18"/>
                    </w:rPr>
                  </w:pPr>
                  <w:r>
                    <w:rPr>
                      <w:sz w:val="18"/>
                      <w:szCs w:val="18"/>
                    </w:rPr>
                    <w:t>W</w:t>
                  </w:r>
                  <w:r>
                    <w:rPr>
                      <w:rFonts w:hint="eastAsia"/>
                      <w:sz w:val="18"/>
                      <w:szCs w:val="18"/>
                    </w:rPr>
                    <w:t>1</w:t>
                  </w:r>
                </w:p>
              </w:tc>
              <w:tc>
                <w:tcPr>
                  <w:tcW w:w="2904" w:type="pct"/>
                  <w:tcBorders>
                    <w:tl2br w:val="nil"/>
                    <w:tr2bl w:val="nil"/>
                  </w:tcBorders>
                  <w:vAlign w:val="center"/>
                </w:tcPr>
                <w:p w14:paraId="7725D27B">
                  <w:pPr>
                    <w:snapToGrid w:val="0"/>
                    <w:jc w:val="center"/>
                    <w:rPr>
                      <w:b/>
                      <w:bCs/>
                      <w:sz w:val="18"/>
                      <w:szCs w:val="18"/>
                    </w:rPr>
                  </w:pPr>
                  <w:r>
                    <w:rPr>
                      <w:rFonts w:hint="eastAsia"/>
                      <w:sz w:val="18"/>
                      <w:szCs w:val="18"/>
                    </w:rPr>
                    <w:t>海安李堡滇池水务有限公司污水排放口上游500</w:t>
                  </w:r>
                  <w:r>
                    <w:rPr>
                      <w:sz w:val="18"/>
                      <w:szCs w:val="18"/>
                    </w:rPr>
                    <w:t>m</w:t>
                  </w:r>
                </w:p>
              </w:tc>
              <w:tc>
                <w:tcPr>
                  <w:tcW w:w="980" w:type="pct"/>
                  <w:vMerge w:val="restart"/>
                  <w:tcBorders>
                    <w:tl2br w:val="nil"/>
                    <w:tr2bl w:val="nil"/>
                  </w:tcBorders>
                  <w:vAlign w:val="center"/>
                </w:tcPr>
                <w:p w14:paraId="0108B4D8">
                  <w:pPr>
                    <w:snapToGrid w:val="0"/>
                    <w:jc w:val="center"/>
                    <w:rPr>
                      <w:b/>
                      <w:bCs/>
                      <w:sz w:val="18"/>
                      <w:szCs w:val="18"/>
                    </w:rPr>
                  </w:pPr>
                  <w:r>
                    <w:rPr>
                      <w:sz w:val="18"/>
                      <w:szCs w:val="18"/>
                    </w:rPr>
                    <w:t>pH</w:t>
                  </w:r>
                  <w:r>
                    <w:rPr>
                      <w:rFonts w:hint="eastAsia"/>
                      <w:sz w:val="18"/>
                      <w:szCs w:val="18"/>
                    </w:rPr>
                    <w:t>、</w:t>
                  </w:r>
                  <w:r>
                    <w:rPr>
                      <w:sz w:val="18"/>
                      <w:szCs w:val="18"/>
                    </w:rPr>
                    <w:t>COD</w:t>
                  </w:r>
                  <w:r>
                    <w:rPr>
                      <w:rFonts w:hint="eastAsia"/>
                      <w:sz w:val="18"/>
                      <w:szCs w:val="18"/>
                    </w:rPr>
                    <w:t>、SS、氨氮、总磷</w:t>
                  </w:r>
                </w:p>
              </w:tc>
              <w:tc>
                <w:tcPr>
                  <w:tcW w:w="737" w:type="pct"/>
                  <w:vMerge w:val="restart"/>
                  <w:tcBorders>
                    <w:tl2br w:val="nil"/>
                    <w:tr2bl w:val="nil"/>
                  </w:tcBorders>
                  <w:vAlign w:val="center"/>
                </w:tcPr>
                <w:p w14:paraId="460E7532">
                  <w:pPr>
                    <w:snapToGrid w:val="0"/>
                    <w:jc w:val="center"/>
                    <w:rPr>
                      <w:b/>
                      <w:bCs/>
                      <w:sz w:val="18"/>
                      <w:szCs w:val="18"/>
                    </w:rPr>
                  </w:pPr>
                  <w:r>
                    <w:rPr>
                      <w:rFonts w:hint="eastAsia"/>
                      <w:sz w:val="18"/>
                      <w:szCs w:val="18"/>
                    </w:rPr>
                    <w:t>连续监测</w:t>
                  </w:r>
                  <w:r>
                    <w:rPr>
                      <w:sz w:val="18"/>
                      <w:szCs w:val="18"/>
                    </w:rPr>
                    <w:t>3</w:t>
                  </w:r>
                  <w:r>
                    <w:rPr>
                      <w:rFonts w:hint="eastAsia"/>
                      <w:sz w:val="18"/>
                      <w:szCs w:val="18"/>
                    </w:rPr>
                    <w:t>天，每天</w:t>
                  </w:r>
                  <w:r>
                    <w:rPr>
                      <w:sz w:val="18"/>
                      <w:szCs w:val="18"/>
                    </w:rPr>
                    <w:t>2</w:t>
                  </w:r>
                  <w:r>
                    <w:rPr>
                      <w:rFonts w:hint="eastAsia"/>
                      <w:sz w:val="18"/>
                      <w:szCs w:val="18"/>
                    </w:rPr>
                    <w:t>次</w:t>
                  </w:r>
                </w:p>
              </w:tc>
            </w:tr>
            <w:tr w14:paraId="7765AC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377" w:type="pct"/>
                  <w:tcBorders>
                    <w:tl2br w:val="nil"/>
                    <w:tr2bl w:val="nil"/>
                  </w:tcBorders>
                  <w:vAlign w:val="center"/>
                </w:tcPr>
                <w:p w14:paraId="6F10BA70">
                  <w:pPr>
                    <w:snapToGrid w:val="0"/>
                    <w:jc w:val="center"/>
                    <w:rPr>
                      <w:sz w:val="18"/>
                      <w:szCs w:val="18"/>
                    </w:rPr>
                  </w:pPr>
                  <w:r>
                    <w:rPr>
                      <w:sz w:val="18"/>
                      <w:szCs w:val="18"/>
                    </w:rPr>
                    <w:t>W</w:t>
                  </w:r>
                  <w:r>
                    <w:rPr>
                      <w:rFonts w:hint="eastAsia"/>
                      <w:sz w:val="18"/>
                      <w:szCs w:val="18"/>
                    </w:rPr>
                    <w:t>2</w:t>
                  </w:r>
                </w:p>
              </w:tc>
              <w:tc>
                <w:tcPr>
                  <w:tcW w:w="2904" w:type="pct"/>
                  <w:tcBorders>
                    <w:tl2br w:val="nil"/>
                    <w:tr2bl w:val="nil"/>
                  </w:tcBorders>
                  <w:vAlign w:val="center"/>
                </w:tcPr>
                <w:p w14:paraId="6FCD4382">
                  <w:pPr>
                    <w:snapToGrid w:val="0"/>
                    <w:jc w:val="center"/>
                    <w:rPr>
                      <w:sz w:val="18"/>
                      <w:szCs w:val="18"/>
                    </w:rPr>
                  </w:pPr>
                  <w:r>
                    <w:rPr>
                      <w:rFonts w:hint="eastAsia"/>
                      <w:sz w:val="18"/>
                      <w:szCs w:val="18"/>
                    </w:rPr>
                    <w:t>海安李堡滇池水务有限公司污水排放口下游500m</w:t>
                  </w:r>
                </w:p>
              </w:tc>
              <w:tc>
                <w:tcPr>
                  <w:tcW w:w="980" w:type="pct"/>
                  <w:vMerge w:val="continue"/>
                  <w:tcBorders>
                    <w:tl2br w:val="nil"/>
                    <w:tr2bl w:val="nil"/>
                  </w:tcBorders>
                  <w:vAlign w:val="center"/>
                </w:tcPr>
                <w:p w14:paraId="30A3D6ED">
                  <w:pPr>
                    <w:snapToGrid w:val="0"/>
                    <w:jc w:val="center"/>
                    <w:rPr>
                      <w:sz w:val="18"/>
                      <w:szCs w:val="18"/>
                    </w:rPr>
                  </w:pPr>
                </w:p>
              </w:tc>
              <w:tc>
                <w:tcPr>
                  <w:tcW w:w="737" w:type="pct"/>
                  <w:vMerge w:val="continue"/>
                  <w:tcBorders>
                    <w:tl2br w:val="nil"/>
                    <w:tr2bl w:val="nil"/>
                  </w:tcBorders>
                  <w:vAlign w:val="center"/>
                </w:tcPr>
                <w:p w14:paraId="18790FF3">
                  <w:pPr>
                    <w:snapToGrid w:val="0"/>
                    <w:jc w:val="center"/>
                    <w:rPr>
                      <w:sz w:val="18"/>
                      <w:szCs w:val="18"/>
                    </w:rPr>
                  </w:pPr>
                </w:p>
              </w:tc>
            </w:tr>
            <w:tr w14:paraId="505DFA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377" w:type="pct"/>
                  <w:tcBorders>
                    <w:tl2br w:val="nil"/>
                    <w:tr2bl w:val="nil"/>
                  </w:tcBorders>
                  <w:vAlign w:val="center"/>
                </w:tcPr>
                <w:p w14:paraId="12997DCF">
                  <w:pPr>
                    <w:snapToGrid w:val="0"/>
                    <w:jc w:val="center"/>
                    <w:rPr>
                      <w:b/>
                      <w:bCs/>
                      <w:sz w:val="18"/>
                      <w:szCs w:val="18"/>
                    </w:rPr>
                  </w:pPr>
                  <w:r>
                    <w:rPr>
                      <w:sz w:val="18"/>
                      <w:szCs w:val="18"/>
                    </w:rPr>
                    <w:t>W</w:t>
                  </w:r>
                  <w:r>
                    <w:rPr>
                      <w:rFonts w:hint="eastAsia"/>
                      <w:sz w:val="18"/>
                      <w:szCs w:val="18"/>
                    </w:rPr>
                    <w:t>3</w:t>
                  </w:r>
                </w:p>
              </w:tc>
              <w:tc>
                <w:tcPr>
                  <w:tcW w:w="2904" w:type="pct"/>
                  <w:tcBorders>
                    <w:tl2br w:val="nil"/>
                    <w:tr2bl w:val="nil"/>
                  </w:tcBorders>
                  <w:vAlign w:val="center"/>
                </w:tcPr>
                <w:p w14:paraId="257C26EC">
                  <w:pPr>
                    <w:snapToGrid w:val="0"/>
                    <w:jc w:val="center"/>
                    <w:rPr>
                      <w:b/>
                      <w:bCs/>
                      <w:sz w:val="18"/>
                      <w:szCs w:val="18"/>
                    </w:rPr>
                  </w:pPr>
                  <w:r>
                    <w:rPr>
                      <w:rFonts w:hint="eastAsia"/>
                      <w:sz w:val="18"/>
                      <w:szCs w:val="18"/>
                    </w:rPr>
                    <w:t>海安李堡滇池水务有限公司污水排放口下游1500</w:t>
                  </w:r>
                  <w:r>
                    <w:rPr>
                      <w:sz w:val="18"/>
                      <w:szCs w:val="18"/>
                    </w:rPr>
                    <w:t>m</w:t>
                  </w:r>
                </w:p>
              </w:tc>
              <w:tc>
                <w:tcPr>
                  <w:tcW w:w="980" w:type="pct"/>
                  <w:vMerge w:val="continue"/>
                  <w:tcBorders>
                    <w:tl2br w:val="nil"/>
                    <w:tr2bl w:val="nil"/>
                  </w:tcBorders>
                </w:tcPr>
                <w:p w14:paraId="26EDF278">
                  <w:pPr>
                    <w:snapToGrid w:val="0"/>
                    <w:jc w:val="center"/>
                    <w:rPr>
                      <w:b/>
                      <w:bCs/>
                      <w:sz w:val="18"/>
                      <w:szCs w:val="18"/>
                    </w:rPr>
                  </w:pPr>
                </w:p>
              </w:tc>
              <w:tc>
                <w:tcPr>
                  <w:tcW w:w="737" w:type="pct"/>
                  <w:vMerge w:val="continue"/>
                  <w:tcBorders>
                    <w:tl2br w:val="nil"/>
                    <w:tr2bl w:val="nil"/>
                  </w:tcBorders>
                </w:tcPr>
                <w:p w14:paraId="117BAB0E">
                  <w:pPr>
                    <w:snapToGrid w:val="0"/>
                    <w:jc w:val="center"/>
                    <w:rPr>
                      <w:b/>
                      <w:bCs/>
                      <w:sz w:val="18"/>
                      <w:szCs w:val="18"/>
                    </w:rPr>
                  </w:pPr>
                </w:p>
              </w:tc>
            </w:tr>
          </w:tbl>
          <w:p w14:paraId="40534BC4">
            <w:pPr>
              <w:snapToGrid w:val="0"/>
              <w:jc w:val="center"/>
              <w:rPr>
                <w:b/>
                <w:bCs/>
                <w:sz w:val="32"/>
              </w:rPr>
            </w:pPr>
            <w:r>
              <w:rPr>
                <w:rFonts w:hint="eastAsia"/>
                <w:b/>
                <w:bCs/>
                <w:szCs w:val="21"/>
              </w:rPr>
              <w:t>表</w:t>
            </w:r>
            <w:r>
              <w:rPr>
                <w:b/>
                <w:bCs/>
                <w:szCs w:val="21"/>
              </w:rPr>
              <w:t>3-</w:t>
            </w:r>
            <w:r>
              <w:rPr>
                <w:rFonts w:hint="eastAsia"/>
                <w:b/>
                <w:bCs/>
                <w:szCs w:val="21"/>
              </w:rPr>
              <w:t>3 北凌河水质监测统计表（单位：</w:t>
            </w:r>
            <w:r>
              <w:rPr>
                <w:b/>
                <w:bCs/>
                <w:szCs w:val="21"/>
              </w:rPr>
              <w:t>mg/L</w:t>
            </w:r>
            <w:r>
              <w:rPr>
                <w:rFonts w:hint="eastAsia"/>
                <w:b/>
                <w:bCs/>
                <w:szCs w:val="21"/>
              </w:rPr>
              <w:t>；pH：无量纲）</w:t>
            </w:r>
          </w:p>
          <w:tbl>
            <w:tblPr>
              <w:tblStyle w:val="23"/>
              <w:tblW w:w="87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0" w:type="dxa"/>
              </w:tblCellMar>
            </w:tblPr>
            <w:tblGrid>
              <w:gridCol w:w="992"/>
              <w:gridCol w:w="1595"/>
              <w:gridCol w:w="1341"/>
              <w:gridCol w:w="1049"/>
              <w:gridCol w:w="1191"/>
              <w:gridCol w:w="1194"/>
              <w:gridCol w:w="1394"/>
            </w:tblGrid>
            <w:tr w14:paraId="5B749A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0" w:type="dxa"/>
                </w:tblCellMar>
              </w:tblPrEx>
              <w:trPr>
                <w:trHeight w:val="278" w:hRule="atLeast"/>
                <w:jc w:val="center"/>
              </w:trPr>
              <w:tc>
                <w:tcPr>
                  <w:tcW w:w="566" w:type="pct"/>
                  <w:tcBorders>
                    <w:tl2br w:val="nil"/>
                    <w:tr2bl w:val="nil"/>
                  </w:tcBorders>
                  <w:vAlign w:val="center"/>
                </w:tcPr>
                <w:p w14:paraId="568E799D">
                  <w:pPr>
                    <w:pStyle w:val="84"/>
                    <w:rPr>
                      <w:b/>
                      <w:bCs/>
                      <w:sz w:val="18"/>
                      <w:szCs w:val="18"/>
                    </w:rPr>
                  </w:pPr>
                  <w:r>
                    <w:rPr>
                      <w:b/>
                      <w:bCs/>
                      <w:sz w:val="18"/>
                      <w:szCs w:val="18"/>
                    </w:rPr>
                    <w:t>监测断面</w:t>
                  </w:r>
                </w:p>
              </w:tc>
              <w:tc>
                <w:tcPr>
                  <w:tcW w:w="909" w:type="pct"/>
                  <w:tcBorders>
                    <w:tl2br w:val="nil"/>
                    <w:tr2bl w:val="nil"/>
                  </w:tcBorders>
                  <w:vAlign w:val="center"/>
                </w:tcPr>
                <w:p w14:paraId="32DC6CF4">
                  <w:pPr>
                    <w:pStyle w:val="84"/>
                    <w:rPr>
                      <w:b/>
                      <w:bCs/>
                      <w:sz w:val="18"/>
                      <w:szCs w:val="18"/>
                    </w:rPr>
                  </w:pPr>
                  <w:r>
                    <w:rPr>
                      <w:b/>
                      <w:bCs/>
                      <w:sz w:val="18"/>
                      <w:szCs w:val="18"/>
                    </w:rPr>
                    <w:t>项目</w:t>
                  </w:r>
                </w:p>
              </w:tc>
              <w:tc>
                <w:tcPr>
                  <w:tcW w:w="765" w:type="pct"/>
                  <w:tcBorders>
                    <w:tl2br w:val="nil"/>
                    <w:tr2bl w:val="nil"/>
                  </w:tcBorders>
                  <w:vAlign w:val="center"/>
                </w:tcPr>
                <w:p w14:paraId="4D4C9C37">
                  <w:pPr>
                    <w:pStyle w:val="84"/>
                    <w:rPr>
                      <w:b/>
                      <w:bCs/>
                      <w:sz w:val="18"/>
                      <w:szCs w:val="18"/>
                    </w:rPr>
                  </w:pPr>
                  <w:r>
                    <w:rPr>
                      <w:b/>
                      <w:bCs/>
                      <w:sz w:val="18"/>
                      <w:szCs w:val="18"/>
                    </w:rPr>
                    <w:t>pH</w:t>
                  </w:r>
                  <w:r>
                    <w:rPr>
                      <w:rFonts w:hint="eastAsia"/>
                      <w:b/>
                      <w:bCs/>
                      <w:sz w:val="18"/>
                      <w:szCs w:val="18"/>
                    </w:rPr>
                    <w:t>（无量纲）</w:t>
                  </w:r>
                </w:p>
              </w:tc>
              <w:tc>
                <w:tcPr>
                  <w:tcW w:w="599" w:type="pct"/>
                  <w:tcBorders>
                    <w:tl2br w:val="nil"/>
                    <w:tr2bl w:val="nil"/>
                  </w:tcBorders>
                  <w:vAlign w:val="center"/>
                </w:tcPr>
                <w:p w14:paraId="0F11C014">
                  <w:pPr>
                    <w:pStyle w:val="84"/>
                    <w:rPr>
                      <w:b/>
                      <w:bCs/>
                      <w:sz w:val="18"/>
                      <w:szCs w:val="18"/>
                    </w:rPr>
                  </w:pPr>
                  <w:r>
                    <w:rPr>
                      <w:b/>
                      <w:bCs/>
                      <w:sz w:val="18"/>
                      <w:szCs w:val="18"/>
                    </w:rPr>
                    <w:t>COD</w:t>
                  </w:r>
                </w:p>
              </w:tc>
              <w:tc>
                <w:tcPr>
                  <w:tcW w:w="680" w:type="pct"/>
                  <w:tcBorders>
                    <w:tl2br w:val="nil"/>
                    <w:tr2bl w:val="nil"/>
                  </w:tcBorders>
                  <w:vAlign w:val="center"/>
                </w:tcPr>
                <w:p w14:paraId="3702676E">
                  <w:pPr>
                    <w:pStyle w:val="84"/>
                    <w:rPr>
                      <w:b/>
                      <w:bCs/>
                      <w:sz w:val="18"/>
                      <w:szCs w:val="18"/>
                    </w:rPr>
                  </w:pPr>
                  <w:r>
                    <w:rPr>
                      <w:rFonts w:hint="eastAsia"/>
                      <w:b/>
                      <w:bCs/>
                      <w:sz w:val="18"/>
                      <w:szCs w:val="18"/>
                    </w:rPr>
                    <w:t>SS</w:t>
                  </w:r>
                </w:p>
              </w:tc>
              <w:tc>
                <w:tcPr>
                  <w:tcW w:w="682" w:type="pct"/>
                  <w:tcBorders>
                    <w:tl2br w:val="nil"/>
                    <w:tr2bl w:val="nil"/>
                  </w:tcBorders>
                  <w:vAlign w:val="center"/>
                </w:tcPr>
                <w:p w14:paraId="7246A839">
                  <w:pPr>
                    <w:pStyle w:val="84"/>
                    <w:rPr>
                      <w:b/>
                      <w:bCs/>
                      <w:sz w:val="18"/>
                      <w:szCs w:val="18"/>
                    </w:rPr>
                  </w:pPr>
                  <w:r>
                    <w:rPr>
                      <w:rFonts w:hint="eastAsia"/>
                      <w:b/>
                      <w:bCs/>
                      <w:sz w:val="18"/>
                      <w:szCs w:val="18"/>
                    </w:rPr>
                    <w:t>氨氮</w:t>
                  </w:r>
                </w:p>
              </w:tc>
              <w:tc>
                <w:tcPr>
                  <w:tcW w:w="796" w:type="pct"/>
                  <w:tcBorders>
                    <w:tl2br w:val="nil"/>
                    <w:tr2bl w:val="nil"/>
                  </w:tcBorders>
                  <w:vAlign w:val="center"/>
                </w:tcPr>
                <w:p w14:paraId="1BB07491">
                  <w:pPr>
                    <w:pStyle w:val="84"/>
                    <w:rPr>
                      <w:b/>
                      <w:bCs/>
                      <w:sz w:val="18"/>
                      <w:szCs w:val="18"/>
                    </w:rPr>
                  </w:pPr>
                  <w:r>
                    <w:rPr>
                      <w:rFonts w:hint="eastAsia"/>
                      <w:b/>
                      <w:bCs/>
                      <w:sz w:val="18"/>
                      <w:szCs w:val="18"/>
                    </w:rPr>
                    <w:t>总磷</w:t>
                  </w:r>
                </w:p>
              </w:tc>
            </w:tr>
            <w:tr w14:paraId="639F07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0" w:type="dxa"/>
                </w:tblCellMar>
              </w:tblPrEx>
              <w:trPr>
                <w:trHeight w:val="301" w:hRule="atLeast"/>
                <w:jc w:val="center"/>
              </w:trPr>
              <w:tc>
                <w:tcPr>
                  <w:tcW w:w="566" w:type="pct"/>
                  <w:vMerge w:val="restart"/>
                  <w:tcBorders>
                    <w:tl2br w:val="nil"/>
                    <w:tr2bl w:val="nil"/>
                  </w:tcBorders>
                  <w:vAlign w:val="center"/>
                </w:tcPr>
                <w:p w14:paraId="236524D7">
                  <w:pPr>
                    <w:pStyle w:val="84"/>
                    <w:rPr>
                      <w:sz w:val="18"/>
                      <w:szCs w:val="18"/>
                    </w:rPr>
                  </w:pPr>
                  <w:r>
                    <w:rPr>
                      <w:sz w:val="18"/>
                      <w:szCs w:val="18"/>
                    </w:rPr>
                    <w:t>W1</w:t>
                  </w:r>
                </w:p>
              </w:tc>
              <w:tc>
                <w:tcPr>
                  <w:tcW w:w="909" w:type="pct"/>
                  <w:tcBorders>
                    <w:tl2br w:val="nil"/>
                    <w:tr2bl w:val="nil"/>
                  </w:tcBorders>
                  <w:vAlign w:val="center"/>
                </w:tcPr>
                <w:p w14:paraId="7A4313CF">
                  <w:pPr>
                    <w:pStyle w:val="84"/>
                    <w:rPr>
                      <w:sz w:val="18"/>
                      <w:szCs w:val="18"/>
                    </w:rPr>
                  </w:pPr>
                  <w:r>
                    <w:rPr>
                      <w:sz w:val="18"/>
                      <w:szCs w:val="18"/>
                    </w:rPr>
                    <w:t>最大值</w:t>
                  </w:r>
                </w:p>
              </w:tc>
              <w:tc>
                <w:tcPr>
                  <w:tcW w:w="765" w:type="pct"/>
                  <w:tcBorders>
                    <w:tl2br w:val="nil"/>
                    <w:tr2bl w:val="nil"/>
                  </w:tcBorders>
                  <w:vAlign w:val="center"/>
                </w:tcPr>
                <w:p w14:paraId="7A5BE5E1">
                  <w:pPr>
                    <w:pStyle w:val="84"/>
                    <w:rPr>
                      <w:sz w:val="18"/>
                      <w:szCs w:val="18"/>
                    </w:rPr>
                  </w:pPr>
                  <w:r>
                    <w:rPr>
                      <w:rFonts w:hint="eastAsia"/>
                      <w:sz w:val="18"/>
                      <w:szCs w:val="18"/>
                    </w:rPr>
                    <w:t>7.4</w:t>
                  </w:r>
                </w:p>
              </w:tc>
              <w:tc>
                <w:tcPr>
                  <w:tcW w:w="599" w:type="pct"/>
                  <w:tcBorders>
                    <w:tl2br w:val="nil"/>
                    <w:tr2bl w:val="nil"/>
                  </w:tcBorders>
                  <w:vAlign w:val="center"/>
                </w:tcPr>
                <w:p w14:paraId="328EE858">
                  <w:pPr>
                    <w:pStyle w:val="84"/>
                    <w:rPr>
                      <w:sz w:val="18"/>
                      <w:szCs w:val="18"/>
                    </w:rPr>
                  </w:pPr>
                  <w:r>
                    <w:rPr>
                      <w:rFonts w:hint="eastAsia"/>
                      <w:sz w:val="18"/>
                      <w:szCs w:val="18"/>
                    </w:rPr>
                    <w:t>13</w:t>
                  </w:r>
                </w:p>
              </w:tc>
              <w:tc>
                <w:tcPr>
                  <w:tcW w:w="680" w:type="pct"/>
                  <w:tcBorders>
                    <w:tl2br w:val="nil"/>
                    <w:tr2bl w:val="nil"/>
                  </w:tcBorders>
                  <w:vAlign w:val="center"/>
                </w:tcPr>
                <w:p w14:paraId="2F743855">
                  <w:pPr>
                    <w:pStyle w:val="84"/>
                    <w:rPr>
                      <w:sz w:val="18"/>
                      <w:szCs w:val="18"/>
                    </w:rPr>
                  </w:pPr>
                  <w:r>
                    <w:rPr>
                      <w:rFonts w:hint="eastAsia"/>
                      <w:sz w:val="18"/>
                      <w:szCs w:val="18"/>
                    </w:rPr>
                    <w:t>15</w:t>
                  </w:r>
                </w:p>
              </w:tc>
              <w:tc>
                <w:tcPr>
                  <w:tcW w:w="682" w:type="pct"/>
                  <w:tcBorders>
                    <w:tl2br w:val="nil"/>
                    <w:tr2bl w:val="nil"/>
                  </w:tcBorders>
                  <w:vAlign w:val="center"/>
                </w:tcPr>
                <w:p w14:paraId="18A1EFD8">
                  <w:pPr>
                    <w:pStyle w:val="84"/>
                    <w:rPr>
                      <w:sz w:val="18"/>
                      <w:szCs w:val="18"/>
                    </w:rPr>
                  </w:pPr>
                  <w:r>
                    <w:rPr>
                      <w:rFonts w:hint="eastAsia"/>
                      <w:sz w:val="18"/>
                      <w:szCs w:val="18"/>
                    </w:rPr>
                    <w:t>0.575</w:t>
                  </w:r>
                </w:p>
              </w:tc>
              <w:tc>
                <w:tcPr>
                  <w:tcW w:w="796" w:type="pct"/>
                  <w:tcBorders>
                    <w:tl2br w:val="nil"/>
                    <w:tr2bl w:val="nil"/>
                  </w:tcBorders>
                  <w:vAlign w:val="center"/>
                </w:tcPr>
                <w:p w14:paraId="177AF894">
                  <w:pPr>
                    <w:pStyle w:val="84"/>
                    <w:rPr>
                      <w:sz w:val="18"/>
                      <w:szCs w:val="18"/>
                    </w:rPr>
                  </w:pPr>
                  <w:r>
                    <w:rPr>
                      <w:rFonts w:hint="eastAsia"/>
                      <w:sz w:val="18"/>
                      <w:szCs w:val="18"/>
                    </w:rPr>
                    <w:t>0.10</w:t>
                  </w:r>
                </w:p>
              </w:tc>
            </w:tr>
            <w:tr w14:paraId="3FA24F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0" w:type="dxa"/>
                </w:tblCellMar>
              </w:tblPrEx>
              <w:trPr>
                <w:trHeight w:val="257" w:hRule="atLeast"/>
                <w:jc w:val="center"/>
              </w:trPr>
              <w:tc>
                <w:tcPr>
                  <w:tcW w:w="566" w:type="pct"/>
                  <w:vMerge w:val="continue"/>
                  <w:tcBorders>
                    <w:tl2br w:val="nil"/>
                    <w:tr2bl w:val="nil"/>
                  </w:tcBorders>
                  <w:vAlign w:val="center"/>
                </w:tcPr>
                <w:p w14:paraId="66F7583C">
                  <w:pPr>
                    <w:pStyle w:val="84"/>
                    <w:rPr>
                      <w:sz w:val="18"/>
                      <w:szCs w:val="18"/>
                    </w:rPr>
                  </w:pPr>
                </w:p>
              </w:tc>
              <w:tc>
                <w:tcPr>
                  <w:tcW w:w="909" w:type="pct"/>
                  <w:tcBorders>
                    <w:tl2br w:val="nil"/>
                    <w:tr2bl w:val="nil"/>
                  </w:tcBorders>
                  <w:vAlign w:val="center"/>
                </w:tcPr>
                <w:p w14:paraId="3A00D974">
                  <w:pPr>
                    <w:pStyle w:val="84"/>
                    <w:rPr>
                      <w:sz w:val="18"/>
                      <w:szCs w:val="18"/>
                    </w:rPr>
                  </w:pPr>
                  <w:r>
                    <w:rPr>
                      <w:sz w:val="18"/>
                      <w:szCs w:val="18"/>
                    </w:rPr>
                    <w:t>最小值</w:t>
                  </w:r>
                </w:p>
              </w:tc>
              <w:tc>
                <w:tcPr>
                  <w:tcW w:w="765" w:type="pct"/>
                  <w:tcBorders>
                    <w:tl2br w:val="nil"/>
                    <w:tr2bl w:val="nil"/>
                  </w:tcBorders>
                  <w:vAlign w:val="center"/>
                </w:tcPr>
                <w:p w14:paraId="4DA300F2">
                  <w:pPr>
                    <w:pStyle w:val="84"/>
                    <w:rPr>
                      <w:sz w:val="18"/>
                      <w:szCs w:val="18"/>
                    </w:rPr>
                  </w:pPr>
                  <w:r>
                    <w:rPr>
                      <w:rFonts w:hint="eastAsia"/>
                      <w:sz w:val="18"/>
                      <w:szCs w:val="18"/>
                    </w:rPr>
                    <w:t>7.3</w:t>
                  </w:r>
                </w:p>
              </w:tc>
              <w:tc>
                <w:tcPr>
                  <w:tcW w:w="599" w:type="pct"/>
                  <w:tcBorders>
                    <w:tl2br w:val="nil"/>
                    <w:tr2bl w:val="nil"/>
                  </w:tcBorders>
                  <w:vAlign w:val="center"/>
                </w:tcPr>
                <w:p w14:paraId="01681A89">
                  <w:pPr>
                    <w:pStyle w:val="84"/>
                    <w:rPr>
                      <w:sz w:val="18"/>
                      <w:szCs w:val="18"/>
                    </w:rPr>
                  </w:pPr>
                  <w:r>
                    <w:rPr>
                      <w:rFonts w:hint="eastAsia"/>
                      <w:sz w:val="18"/>
                      <w:szCs w:val="18"/>
                    </w:rPr>
                    <w:t>10</w:t>
                  </w:r>
                </w:p>
              </w:tc>
              <w:tc>
                <w:tcPr>
                  <w:tcW w:w="680" w:type="pct"/>
                  <w:tcBorders>
                    <w:tl2br w:val="nil"/>
                    <w:tr2bl w:val="nil"/>
                  </w:tcBorders>
                  <w:vAlign w:val="center"/>
                </w:tcPr>
                <w:p w14:paraId="11CEAC59">
                  <w:pPr>
                    <w:pStyle w:val="84"/>
                    <w:rPr>
                      <w:sz w:val="18"/>
                      <w:szCs w:val="18"/>
                    </w:rPr>
                  </w:pPr>
                  <w:r>
                    <w:rPr>
                      <w:rFonts w:hint="eastAsia"/>
                      <w:sz w:val="18"/>
                      <w:szCs w:val="18"/>
                    </w:rPr>
                    <w:t>11</w:t>
                  </w:r>
                </w:p>
              </w:tc>
              <w:tc>
                <w:tcPr>
                  <w:tcW w:w="682" w:type="pct"/>
                  <w:tcBorders>
                    <w:tl2br w:val="nil"/>
                    <w:tr2bl w:val="nil"/>
                  </w:tcBorders>
                  <w:vAlign w:val="center"/>
                </w:tcPr>
                <w:p w14:paraId="40B69D1D">
                  <w:pPr>
                    <w:pStyle w:val="84"/>
                    <w:rPr>
                      <w:sz w:val="18"/>
                      <w:szCs w:val="18"/>
                    </w:rPr>
                  </w:pPr>
                  <w:r>
                    <w:rPr>
                      <w:rFonts w:hint="eastAsia"/>
                      <w:sz w:val="18"/>
                      <w:szCs w:val="18"/>
                    </w:rPr>
                    <w:t>0.490</w:t>
                  </w:r>
                </w:p>
              </w:tc>
              <w:tc>
                <w:tcPr>
                  <w:tcW w:w="796" w:type="pct"/>
                  <w:tcBorders>
                    <w:tl2br w:val="nil"/>
                    <w:tr2bl w:val="nil"/>
                  </w:tcBorders>
                  <w:vAlign w:val="center"/>
                </w:tcPr>
                <w:p w14:paraId="38B62B27">
                  <w:pPr>
                    <w:pStyle w:val="84"/>
                    <w:rPr>
                      <w:sz w:val="18"/>
                      <w:szCs w:val="18"/>
                    </w:rPr>
                  </w:pPr>
                  <w:r>
                    <w:rPr>
                      <w:rFonts w:hint="eastAsia"/>
                      <w:sz w:val="18"/>
                      <w:szCs w:val="18"/>
                    </w:rPr>
                    <w:t>0.07</w:t>
                  </w:r>
                </w:p>
              </w:tc>
            </w:tr>
            <w:tr w14:paraId="6EFC79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0" w:type="dxa"/>
                </w:tblCellMar>
              </w:tblPrEx>
              <w:trPr>
                <w:trHeight w:val="257" w:hRule="atLeast"/>
                <w:jc w:val="center"/>
              </w:trPr>
              <w:tc>
                <w:tcPr>
                  <w:tcW w:w="566" w:type="pct"/>
                  <w:vMerge w:val="continue"/>
                  <w:tcBorders>
                    <w:tl2br w:val="nil"/>
                    <w:tr2bl w:val="nil"/>
                  </w:tcBorders>
                  <w:vAlign w:val="center"/>
                </w:tcPr>
                <w:p w14:paraId="50D3EDDB">
                  <w:pPr>
                    <w:pStyle w:val="84"/>
                    <w:rPr>
                      <w:sz w:val="18"/>
                      <w:szCs w:val="18"/>
                    </w:rPr>
                  </w:pPr>
                </w:p>
              </w:tc>
              <w:tc>
                <w:tcPr>
                  <w:tcW w:w="909" w:type="pct"/>
                  <w:tcBorders>
                    <w:tl2br w:val="nil"/>
                    <w:tr2bl w:val="nil"/>
                  </w:tcBorders>
                  <w:vAlign w:val="center"/>
                </w:tcPr>
                <w:p w14:paraId="6D58C585">
                  <w:pPr>
                    <w:pStyle w:val="84"/>
                    <w:rPr>
                      <w:sz w:val="18"/>
                      <w:szCs w:val="18"/>
                    </w:rPr>
                  </w:pPr>
                  <w:r>
                    <w:rPr>
                      <w:rFonts w:hint="eastAsia"/>
                      <w:sz w:val="18"/>
                      <w:szCs w:val="18"/>
                    </w:rPr>
                    <w:t>超标率%</w:t>
                  </w:r>
                </w:p>
              </w:tc>
              <w:tc>
                <w:tcPr>
                  <w:tcW w:w="765" w:type="pct"/>
                  <w:tcBorders>
                    <w:tl2br w:val="nil"/>
                    <w:tr2bl w:val="nil"/>
                  </w:tcBorders>
                  <w:vAlign w:val="center"/>
                </w:tcPr>
                <w:p w14:paraId="019E6CCA">
                  <w:pPr>
                    <w:pStyle w:val="84"/>
                    <w:rPr>
                      <w:sz w:val="18"/>
                      <w:szCs w:val="18"/>
                    </w:rPr>
                  </w:pPr>
                  <w:r>
                    <w:rPr>
                      <w:rFonts w:hint="eastAsia"/>
                      <w:sz w:val="18"/>
                      <w:szCs w:val="18"/>
                    </w:rPr>
                    <w:t>0</w:t>
                  </w:r>
                </w:p>
              </w:tc>
              <w:tc>
                <w:tcPr>
                  <w:tcW w:w="599" w:type="pct"/>
                  <w:tcBorders>
                    <w:tl2br w:val="nil"/>
                    <w:tr2bl w:val="nil"/>
                  </w:tcBorders>
                  <w:vAlign w:val="center"/>
                </w:tcPr>
                <w:p w14:paraId="35C04365">
                  <w:pPr>
                    <w:pStyle w:val="84"/>
                    <w:rPr>
                      <w:sz w:val="18"/>
                      <w:szCs w:val="18"/>
                    </w:rPr>
                  </w:pPr>
                  <w:r>
                    <w:rPr>
                      <w:rFonts w:hint="eastAsia"/>
                      <w:sz w:val="18"/>
                      <w:szCs w:val="18"/>
                    </w:rPr>
                    <w:t>0</w:t>
                  </w:r>
                </w:p>
              </w:tc>
              <w:tc>
                <w:tcPr>
                  <w:tcW w:w="680" w:type="pct"/>
                  <w:tcBorders>
                    <w:tl2br w:val="nil"/>
                    <w:tr2bl w:val="nil"/>
                  </w:tcBorders>
                  <w:vAlign w:val="center"/>
                </w:tcPr>
                <w:p w14:paraId="2BE65482">
                  <w:pPr>
                    <w:pStyle w:val="84"/>
                    <w:rPr>
                      <w:sz w:val="18"/>
                      <w:szCs w:val="18"/>
                    </w:rPr>
                  </w:pPr>
                  <w:r>
                    <w:rPr>
                      <w:rFonts w:hint="eastAsia"/>
                      <w:sz w:val="18"/>
                      <w:szCs w:val="18"/>
                    </w:rPr>
                    <w:t>0</w:t>
                  </w:r>
                </w:p>
              </w:tc>
              <w:tc>
                <w:tcPr>
                  <w:tcW w:w="682" w:type="pct"/>
                  <w:tcBorders>
                    <w:tl2br w:val="nil"/>
                    <w:tr2bl w:val="nil"/>
                  </w:tcBorders>
                  <w:vAlign w:val="center"/>
                </w:tcPr>
                <w:p w14:paraId="3E44C3DC">
                  <w:pPr>
                    <w:pStyle w:val="84"/>
                    <w:rPr>
                      <w:sz w:val="18"/>
                      <w:szCs w:val="18"/>
                    </w:rPr>
                  </w:pPr>
                  <w:r>
                    <w:rPr>
                      <w:rFonts w:hint="eastAsia"/>
                      <w:sz w:val="18"/>
                      <w:szCs w:val="18"/>
                    </w:rPr>
                    <w:t>0</w:t>
                  </w:r>
                </w:p>
              </w:tc>
              <w:tc>
                <w:tcPr>
                  <w:tcW w:w="796" w:type="pct"/>
                  <w:tcBorders>
                    <w:tl2br w:val="nil"/>
                    <w:tr2bl w:val="nil"/>
                  </w:tcBorders>
                  <w:vAlign w:val="center"/>
                </w:tcPr>
                <w:p w14:paraId="6F1AB772">
                  <w:pPr>
                    <w:pStyle w:val="84"/>
                    <w:rPr>
                      <w:sz w:val="18"/>
                      <w:szCs w:val="18"/>
                    </w:rPr>
                  </w:pPr>
                  <w:r>
                    <w:rPr>
                      <w:rFonts w:hint="eastAsia"/>
                      <w:sz w:val="18"/>
                      <w:szCs w:val="18"/>
                    </w:rPr>
                    <w:t>0</w:t>
                  </w:r>
                </w:p>
              </w:tc>
            </w:tr>
            <w:tr w14:paraId="05742B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0" w:type="dxa"/>
                </w:tblCellMar>
              </w:tblPrEx>
              <w:trPr>
                <w:trHeight w:val="257" w:hRule="atLeast"/>
                <w:jc w:val="center"/>
              </w:trPr>
              <w:tc>
                <w:tcPr>
                  <w:tcW w:w="566" w:type="pct"/>
                  <w:vMerge w:val="continue"/>
                  <w:tcBorders>
                    <w:tl2br w:val="nil"/>
                    <w:tr2bl w:val="nil"/>
                  </w:tcBorders>
                  <w:vAlign w:val="center"/>
                </w:tcPr>
                <w:p w14:paraId="66C117B2">
                  <w:pPr>
                    <w:pStyle w:val="84"/>
                    <w:rPr>
                      <w:sz w:val="18"/>
                      <w:szCs w:val="18"/>
                    </w:rPr>
                  </w:pPr>
                </w:p>
              </w:tc>
              <w:tc>
                <w:tcPr>
                  <w:tcW w:w="909" w:type="pct"/>
                  <w:tcBorders>
                    <w:tl2br w:val="nil"/>
                    <w:tr2bl w:val="nil"/>
                  </w:tcBorders>
                  <w:vAlign w:val="center"/>
                </w:tcPr>
                <w:p w14:paraId="18B706F8">
                  <w:pPr>
                    <w:pStyle w:val="84"/>
                    <w:rPr>
                      <w:sz w:val="18"/>
                      <w:szCs w:val="18"/>
                    </w:rPr>
                  </w:pPr>
                  <w:r>
                    <w:rPr>
                      <w:rFonts w:hint="eastAsia"/>
                      <w:sz w:val="18"/>
                      <w:szCs w:val="18"/>
                    </w:rPr>
                    <w:t>最大超标倍数</w:t>
                  </w:r>
                </w:p>
              </w:tc>
              <w:tc>
                <w:tcPr>
                  <w:tcW w:w="765" w:type="pct"/>
                  <w:tcBorders>
                    <w:tl2br w:val="nil"/>
                    <w:tr2bl w:val="nil"/>
                  </w:tcBorders>
                  <w:vAlign w:val="center"/>
                </w:tcPr>
                <w:p w14:paraId="409322DF">
                  <w:pPr>
                    <w:pStyle w:val="84"/>
                    <w:rPr>
                      <w:sz w:val="18"/>
                      <w:szCs w:val="18"/>
                    </w:rPr>
                  </w:pPr>
                  <w:r>
                    <w:rPr>
                      <w:rFonts w:hint="eastAsia"/>
                      <w:sz w:val="18"/>
                      <w:szCs w:val="18"/>
                    </w:rPr>
                    <w:t>0</w:t>
                  </w:r>
                </w:p>
              </w:tc>
              <w:tc>
                <w:tcPr>
                  <w:tcW w:w="599" w:type="pct"/>
                  <w:tcBorders>
                    <w:tl2br w:val="nil"/>
                    <w:tr2bl w:val="nil"/>
                  </w:tcBorders>
                  <w:vAlign w:val="center"/>
                </w:tcPr>
                <w:p w14:paraId="67ADA97D">
                  <w:pPr>
                    <w:pStyle w:val="84"/>
                    <w:rPr>
                      <w:sz w:val="18"/>
                      <w:szCs w:val="18"/>
                    </w:rPr>
                  </w:pPr>
                  <w:r>
                    <w:rPr>
                      <w:rFonts w:hint="eastAsia"/>
                      <w:sz w:val="18"/>
                      <w:szCs w:val="18"/>
                    </w:rPr>
                    <w:t>0</w:t>
                  </w:r>
                </w:p>
              </w:tc>
              <w:tc>
                <w:tcPr>
                  <w:tcW w:w="680" w:type="pct"/>
                  <w:tcBorders>
                    <w:tl2br w:val="nil"/>
                    <w:tr2bl w:val="nil"/>
                  </w:tcBorders>
                  <w:vAlign w:val="center"/>
                </w:tcPr>
                <w:p w14:paraId="0C4C1082">
                  <w:pPr>
                    <w:pStyle w:val="84"/>
                    <w:rPr>
                      <w:sz w:val="18"/>
                      <w:szCs w:val="18"/>
                    </w:rPr>
                  </w:pPr>
                  <w:r>
                    <w:rPr>
                      <w:rFonts w:hint="eastAsia"/>
                      <w:sz w:val="18"/>
                      <w:szCs w:val="18"/>
                    </w:rPr>
                    <w:t>0</w:t>
                  </w:r>
                </w:p>
              </w:tc>
              <w:tc>
                <w:tcPr>
                  <w:tcW w:w="682" w:type="pct"/>
                  <w:tcBorders>
                    <w:tl2br w:val="nil"/>
                    <w:tr2bl w:val="nil"/>
                  </w:tcBorders>
                  <w:vAlign w:val="center"/>
                </w:tcPr>
                <w:p w14:paraId="5D21F483">
                  <w:pPr>
                    <w:pStyle w:val="84"/>
                    <w:rPr>
                      <w:sz w:val="18"/>
                      <w:szCs w:val="18"/>
                    </w:rPr>
                  </w:pPr>
                  <w:r>
                    <w:rPr>
                      <w:rFonts w:hint="eastAsia"/>
                      <w:sz w:val="18"/>
                      <w:szCs w:val="18"/>
                    </w:rPr>
                    <w:t>0</w:t>
                  </w:r>
                </w:p>
              </w:tc>
              <w:tc>
                <w:tcPr>
                  <w:tcW w:w="796" w:type="pct"/>
                  <w:tcBorders>
                    <w:tl2br w:val="nil"/>
                    <w:tr2bl w:val="nil"/>
                  </w:tcBorders>
                  <w:vAlign w:val="center"/>
                </w:tcPr>
                <w:p w14:paraId="7AAE22A6">
                  <w:pPr>
                    <w:pStyle w:val="84"/>
                    <w:rPr>
                      <w:sz w:val="18"/>
                      <w:szCs w:val="18"/>
                    </w:rPr>
                  </w:pPr>
                  <w:r>
                    <w:rPr>
                      <w:rFonts w:hint="eastAsia"/>
                      <w:sz w:val="18"/>
                      <w:szCs w:val="18"/>
                    </w:rPr>
                    <w:t>0</w:t>
                  </w:r>
                </w:p>
              </w:tc>
            </w:tr>
            <w:tr w14:paraId="330202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0" w:type="dxa"/>
                </w:tblCellMar>
              </w:tblPrEx>
              <w:trPr>
                <w:trHeight w:val="257" w:hRule="atLeast"/>
                <w:jc w:val="center"/>
              </w:trPr>
              <w:tc>
                <w:tcPr>
                  <w:tcW w:w="566" w:type="pct"/>
                  <w:vMerge w:val="restart"/>
                  <w:tcBorders>
                    <w:tl2br w:val="nil"/>
                    <w:tr2bl w:val="nil"/>
                  </w:tcBorders>
                  <w:vAlign w:val="center"/>
                </w:tcPr>
                <w:p w14:paraId="54A5399D">
                  <w:pPr>
                    <w:pStyle w:val="84"/>
                    <w:rPr>
                      <w:sz w:val="18"/>
                      <w:szCs w:val="18"/>
                    </w:rPr>
                  </w:pPr>
                  <w:r>
                    <w:rPr>
                      <w:sz w:val="18"/>
                      <w:szCs w:val="18"/>
                    </w:rPr>
                    <w:t>W</w:t>
                  </w:r>
                  <w:r>
                    <w:rPr>
                      <w:rFonts w:hint="eastAsia"/>
                      <w:sz w:val="18"/>
                      <w:szCs w:val="18"/>
                    </w:rPr>
                    <w:t>2</w:t>
                  </w:r>
                </w:p>
              </w:tc>
              <w:tc>
                <w:tcPr>
                  <w:tcW w:w="909" w:type="pct"/>
                  <w:tcBorders>
                    <w:tl2br w:val="nil"/>
                    <w:tr2bl w:val="nil"/>
                  </w:tcBorders>
                  <w:vAlign w:val="center"/>
                </w:tcPr>
                <w:p w14:paraId="61A02156">
                  <w:pPr>
                    <w:pStyle w:val="84"/>
                    <w:rPr>
                      <w:sz w:val="18"/>
                      <w:szCs w:val="18"/>
                    </w:rPr>
                  </w:pPr>
                  <w:r>
                    <w:rPr>
                      <w:sz w:val="18"/>
                      <w:szCs w:val="18"/>
                    </w:rPr>
                    <w:t>最大值</w:t>
                  </w:r>
                </w:p>
              </w:tc>
              <w:tc>
                <w:tcPr>
                  <w:tcW w:w="765" w:type="pct"/>
                  <w:tcBorders>
                    <w:tl2br w:val="nil"/>
                    <w:tr2bl w:val="nil"/>
                  </w:tcBorders>
                  <w:vAlign w:val="center"/>
                </w:tcPr>
                <w:p w14:paraId="572BD042">
                  <w:pPr>
                    <w:pStyle w:val="84"/>
                    <w:rPr>
                      <w:sz w:val="18"/>
                      <w:szCs w:val="18"/>
                    </w:rPr>
                  </w:pPr>
                  <w:r>
                    <w:rPr>
                      <w:rFonts w:hint="eastAsia"/>
                      <w:sz w:val="18"/>
                      <w:szCs w:val="18"/>
                    </w:rPr>
                    <w:t>7.4</w:t>
                  </w:r>
                </w:p>
              </w:tc>
              <w:tc>
                <w:tcPr>
                  <w:tcW w:w="599" w:type="pct"/>
                  <w:tcBorders>
                    <w:tl2br w:val="nil"/>
                    <w:tr2bl w:val="nil"/>
                  </w:tcBorders>
                  <w:vAlign w:val="center"/>
                </w:tcPr>
                <w:p w14:paraId="46E16305">
                  <w:pPr>
                    <w:pStyle w:val="84"/>
                    <w:rPr>
                      <w:sz w:val="18"/>
                      <w:szCs w:val="18"/>
                    </w:rPr>
                  </w:pPr>
                  <w:r>
                    <w:rPr>
                      <w:rFonts w:hint="eastAsia"/>
                      <w:sz w:val="18"/>
                      <w:szCs w:val="18"/>
                    </w:rPr>
                    <w:t>19</w:t>
                  </w:r>
                </w:p>
              </w:tc>
              <w:tc>
                <w:tcPr>
                  <w:tcW w:w="680" w:type="pct"/>
                  <w:tcBorders>
                    <w:tl2br w:val="nil"/>
                    <w:tr2bl w:val="nil"/>
                  </w:tcBorders>
                  <w:vAlign w:val="center"/>
                </w:tcPr>
                <w:p w14:paraId="4FA097FF">
                  <w:pPr>
                    <w:pStyle w:val="84"/>
                    <w:rPr>
                      <w:sz w:val="18"/>
                      <w:szCs w:val="18"/>
                    </w:rPr>
                  </w:pPr>
                  <w:r>
                    <w:rPr>
                      <w:rFonts w:hint="eastAsia"/>
                      <w:sz w:val="18"/>
                      <w:szCs w:val="18"/>
                    </w:rPr>
                    <w:t>19</w:t>
                  </w:r>
                </w:p>
              </w:tc>
              <w:tc>
                <w:tcPr>
                  <w:tcW w:w="682" w:type="pct"/>
                  <w:tcBorders>
                    <w:tl2br w:val="nil"/>
                    <w:tr2bl w:val="nil"/>
                  </w:tcBorders>
                  <w:vAlign w:val="center"/>
                </w:tcPr>
                <w:p w14:paraId="5EF40207">
                  <w:pPr>
                    <w:pStyle w:val="84"/>
                    <w:rPr>
                      <w:sz w:val="18"/>
                      <w:szCs w:val="18"/>
                    </w:rPr>
                  </w:pPr>
                  <w:r>
                    <w:rPr>
                      <w:rFonts w:hint="eastAsia"/>
                      <w:sz w:val="18"/>
                      <w:szCs w:val="18"/>
                    </w:rPr>
                    <w:t>0.720</w:t>
                  </w:r>
                </w:p>
              </w:tc>
              <w:tc>
                <w:tcPr>
                  <w:tcW w:w="796" w:type="pct"/>
                  <w:tcBorders>
                    <w:tl2br w:val="nil"/>
                    <w:tr2bl w:val="nil"/>
                  </w:tcBorders>
                  <w:vAlign w:val="center"/>
                </w:tcPr>
                <w:p w14:paraId="51FEB210">
                  <w:pPr>
                    <w:pStyle w:val="84"/>
                    <w:rPr>
                      <w:sz w:val="18"/>
                      <w:szCs w:val="18"/>
                    </w:rPr>
                  </w:pPr>
                  <w:r>
                    <w:rPr>
                      <w:rFonts w:hint="eastAsia"/>
                      <w:sz w:val="18"/>
                      <w:szCs w:val="18"/>
                    </w:rPr>
                    <w:t>0.07</w:t>
                  </w:r>
                </w:p>
              </w:tc>
            </w:tr>
            <w:tr w14:paraId="750354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0" w:type="dxa"/>
                </w:tblCellMar>
              </w:tblPrEx>
              <w:trPr>
                <w:trHeight w:val="257" w:hRule="atLeast"/>
                <w:jc w:val="center"/>
              </w:trPr>
              <w:tc>
                <w:tcPr>
                  <w:tcW w:w="566" w:type="pct"/>
                  <w:vMerge w:val="continue"/>
                  <w:tcBorders>
                    <w:tl2br w:val="nil"/>
                    <w:tr2bl w:val="nil"/>
                  </w:tcBorders>
                  <w:vAlign w:val="center"/>
                </w:tcPr>
                <w:p w14:paraId="6F307203">
                  <w:pPr>
                    <w:pStyle w:val="84"/>
                    <w:rPr>
                      <w:sz w:val="18"/>
                      <w:szCs w:val="18"/>
                    </w:rPr>
                  </w:pPr>
                </w:p>
              </w:tc>
              <w:tc>
                <w:tcPr>
                  <w:tcW w:w="909" w:type="pct"/>
                  <w:tcBorders>
                    <w:tl2br w:val="nil"/>
                    <w:tr2bl w:val="nil"/>
                  </w:tcBorders>
                  <w:vAlign w:val="center"/>
                </w:tcPr>
                <w:p w14:paraId="3092DD5E">
                  <w:pPr>
                    <w:pStyle w:val="84"/>
                    <w:rPr>
                      <w:sz w:val="18"/>
                      <w:szCs w:val="18"/>
                    </w:rPr>
                  </w:pPr>
                  <w:r>
                    <w:rPr>
                      <w:sz w:val="18"/>
                      <w:szCs w:val="18"/>
                    </w:rPr>
                    <w:t>最小值</w:t>
                  </w:r>
                </w:p>
              </w:tc>
              <w:tc>
                <w:tcPr>
                  <w:tcW w:w="765" w:type="pct"/>
                  <w:tcBorders>
                    <w:tl2br w:val="nil"/>
                    <w:tr2bl w:val="nil"/>
                  </w:tcBorders>
                  <w:vAlign w:val="center"/>
                </w:tcPr>
                <w:p w14:paraId="0D4337CB">
                  <w:pPr>
                    <w:pStyle w:val="84"/>
                    <w:rPr>
                      <w:sz w:val="18"/>
                      <w:szCs w:val="18"/>
                    </w:rPr>
                  </w:pPr>
                  <w:r>
                    <w:rPr>
                      <w:rFonts w:hint="eastAsia"/>
                      <w:sz w:val="18"/>
                      <w:szCs w:val="18"/>
                    </w:rPr>
                    <w:t>7.3</w:t>
                  </w:r>
                </w:p>
              </w:tc>
              <w:tc>
                <w:tcPr>
                  <w:tcW w:w="599" w:type="pct"/>
                  <w:tcBorders>
                    <w:tl2br w:val="nil"/>
                    <w:tr2bl w:val="nil"/>
                  </w:tcBorders>
                  <w:vAlign w:val="center"/>
                </w:tcPr>
                <w:p w14:paraId="66C015A6">
                  <w:pPr>
                    <w:pStyle w:val="84"/>
                    <w:rPr>
                      <w:sz w:val="18"/>
                      <w:szCs w:val="18"/>
                    </w:rPr>
                  </w:pPr>
                  <w:r>
                    <w:rPr>
                      <w:rFonts w:hint="eastAsia"/>
                      <w:sz w:val="18"/>
                      <w:szCs w:val="18"/>
                    </w:rPr>
                    <w:t>16</w:t>
                  </w:r>
                </w:p>
              </w:tc>
              <w:tc>
                <w:tcPr>
                  <w:tcW w:w="680" w:type="pct"/>
                  <w:tcBorders>
                    <w:tl2br w:val="nil"/>
                    <w:tr2bl w:val="nil"/>
                  </w:tcBorders>
                  <w:vAlign w:val="center"/>
                </w:tcPr>
                <w:p w14:paraId="720B7644">
                  <w:pPr>
                    <w:pStyle w:val="84"/>
                    <w:rPr>
                      <w:sz w:val="18"/>
                      <w:szCs w:val="18"/>
                    </w:rPr>
                  </w:pPr>
                  <w:r>
                    <w:rPr>
                      <w:rFonts w:hint="eastAsia"/>
                      <w:sz w:val="18"/>
                      <w:szCs w:val="18"/>
                    </w:rPr>
                    <w:t>15</w:t>
                  </w:r>
                </w:p>
              </w:tc>
              <w:tc>
                <w:tcPr>
                  <w:tcW w:w="682" w:type="pct"/>
                  <w:tcBorders>
                    <w:tl2br w:val="nil"/>
                    <w:tr2bl w:val="nil"/>
                  </w:tcBorders>
                  <w:vAlign w:val="center"/>
                </w:tcPr>
                <w:p w14:paraId="3CC4FD4C">
                  <w:pPr>
                    <w:pStyle w:val="84"/>
                    <w:rPr>
                      <w:sz w:val="18"/>
                      <w:szCs w:val="18"/>
                    </w:rPr>
                  </w:pPr>
                  <w:r>
                    <w:rPr>
                      <w:rFonts w:hint="eastAsia"/>
                      <w:sz w:val="18"/>
                      <w:szCs w:val="18"/>
                    </w:rPr>
                    <w:t>0.593</w:t>
                  </w:r>
                </w:p>
              </w:tc>
              <w:tc>
                <w:tcPr>
                  <w:tcW w:w="796" w:type="pct"/>
                  <w:tcBorders>
                    <w:tl2br w:val="nil"/>
                    <w:tr2bl w:val="nil"/>
                  </w:tcBorders>
                  <w:vAlign w:val="center"/>
                </w:tcPr>
                <w:p w14:paraId="6C362A58">
                  <w:pPr>
                    <w:pStyle w:val="84"/>
                    <w:rPr>
                      <w:sz w:val="18"/>
                      <w:szCs w:val="18"/>
                    </w:rPr>
                  </w:pPr>
                  <w:r>
                    <w:rPr>
                      <w:rFonts w:hint="eastAsia"/>
                      <w:sz w:val="18"/>
                      <w:szCs w:val="18"/>
                    </w:rPr>
                    <w:t>0.05</w:t>
                  </w:r>
                </w:p>
              </w:tc>
            </w:tr>
            <w:tr w14:paraId="1609F4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0" w:type="dxa"/>
                </w:tblCellMar>
              </w:tblPrEx>
              <w:trPr>
                <w:trHeight w:val="257" w:hRule="atLeast"/>
                <w:jc w:val="center"/>
              </w:trPr>
              <w:tc>
                <w:tcPr>
                  <w:tcW w:w="566" w:type="pct"/>
                  <w:vMerge w:val="continue"/>
                  <w:tcBorders>
                    <w:tl2br w:val="nil"/>
                    <w:tr2bl w:val="nil"/>
                  </w:tcBorders>
                  <w:vAlign w:val="center"/>
                </w:tcPr>
                <w:p w14:paraId="1BD626A2">
                  <w:pPr>
                    <w:pStyle w:val="84"/>
                    <w:rPr>
                      <w:sz w:val="18"/>
                      <w:szCs w:val="18"/>
                    </w:rPr>
                  </w:pPr>
                </w:p>
              </w:tc>
              <w:tc>
                <w:tcPr>
                  <w:tcW w:w="909" w:type="pct"/>
                  <w:tcBorders>
                    <w:tl2br w:val="nil"/>
                    <w:tr2bl w:val="nil"/>
                  </w:tcBorders>
                  <w:vAlign w:val="center"/>
                </w:tcPr>
                <w:p w14:paraId="0194DE36">
                  <w:pPr>
                    <w:pStyle w:val="84"/>
                    <w:rPr>
                      <w:sz w:val="18"/>
                      <w:szCs w:val="18"/>
                    </w:rPr>
                  </w:pPr>
                  <w:r>
                    <w:rPr>
                      <w:sz w:val="18"/>
                      <w:szCs w:val="18"/>
                    </w:rPr>
                    <w:t>超标率%</w:t>
                  </w:r>
                </w:p>
              </w:tc>
              <w:tc>
                <w:tcPr>
                  <w:tcW w:w="765" w:type="pct"/>
                  <w:tcBorders>
                    <w:tl2br w:val="nil"/>
                    <w:tr2bl w:val="nil"/>
                  </w:tcBorders>
                  <w:vAlign w:val="center"/>
                </w:tcPr>
                <w:p w14:paraId="471D6A6D">
                  <w:pPr>
                    <w:pStyle w:val="84"/>
                    <w:rPr>
                      <w:sz w:val="18"/>
                      <w:szCs w:val="18"/>
                    </w:rPr>
                  </w:pPr>
                  <w:r>
                    <w:rPr>
                      <w:rFonts w:hint="eastAsia"/>
                      <w:sz w:val="18"/>
                      <w:szCs w:val="18"/>
                    </w:rPr>
                    <w:t>0</w:t>
                  </w:r>
                </w:p>
              </w:tc>
              <w:tc>
                <w:tcPr>
                  <w:tcW w:w="599" w:type="pct"/>
                  <w:tcBorders>
                    <w:tl2br w:val="nil"/>
                    <w:tr2bl w:val="nil"/>
                  </w:tcBorders>
                  <w:vAlign w:val="center"/>
                </w:tcPr>
                <w:p w14:paraId="4E88A2E7">
                  <w:pPr>
                    <w:pStyle w:val="84"/>
                    <w:rPr>
                      <w:sz w:val="18"/>
                      <w:szCs w:val="18"/>
                    </w:rPr>
                  </w:pPr>
                  <w:r>
                    <w:rPr>
                      <w:rFonts w:hint="eastAsia"/>
                      <w:sz w:val="18"/>
                      <w:szCs w:val="18"/>
                    </w:rPr>
                    <w:t>0</w:t>
                  </w:r>
                </w:p>
              </w:tc>
              <w:tc>
                <w:tcPr>
                  <w:tcW w:w="680" w:type="pct"/>
                  <w:tcBorders>
                    <w:tl2br w:val="nil"/>
                    <w:tr2bl w:val="nil"/>
                  </w:tcBorders>
                  <w:vAlign w:val="center"/>
                </w:tcPr>
                <w:p w14:paraId="6ADE4BE9">
                  <w:pPr>
                    <w:pStyle w:val="84"/>
                    <w:rPr>
                      <w:sz w:val="18"/>
                      <w:szCs w:val="18"/>
                    </w:rPr>
                  </w:pPr>
                  <w:r>
                    <w:rPr>
                      <w:rFonts w:hint="eastAsia"/>
                      <w:sz w:val="18"/>
                      <w:szCs w:val="18"/>
                    </w:rPr>
                    <w:t>0</w:t>
                  </w:r>
                </w:p>
              </w:tc>
              <w:tc>
                <w:tcPr>
                  <w:tcW w:w="682" w:type="pct"/>
                  <w:tcBorders>
                    <w:tl2br w:val="nil"/>
                    <w:tr2bl w:val="nil"/>
                  </w:tcBorders>
                  <w:vAlign w:val="center"/>
                </w:tcPr>
                <w:p w14:paraId="6D131B3C">
                  <w:pPr>
                    <w:pStyle w:val="84"/>
                    <w:rPr>
                      <w:sz w:val="18"/>
                      <w:szCs w:val="18"/>
                    </w:rPr>
                  </w:pPr>
                  <w:r>
                    <w:rPr>
                      <w:rFonts w:hint="eastAsia"/>
                      <w:sz w:val="18"/>
                      <w:szCs w:val="18"/>
                    </w:rPr>
                    <w:t>0</w:t>
                  </w:r>
                </w:p>
              </w:tc>
              <w:tc>
                <w:tcPr>
                  <w:tcW w:w="796" w:type="pct"/>
                  <w:tcBorders>
                    <w:tl2br w:val="nil"/>
                    <w:tr2bl w:val="nil"/>
                  </w:tcBorders>
                  <w:vAlign w:val="center"/>
                </w:tcPr>
                <w:p w14:paraId="1108B4BA">
                  <w:pPr>
                    <w:pStyle w:val="84"/>
                    <w:rPr>
                      <w:sz w:val="18"/>
                      <w:szCs w:val="18"/>
                    </w:rPr>
                  </w:pPr>
                  <w:r>
                    <w:rPr>
                      <w:rFonts w:hint="eastAsia"/>
                      <w:sz w:val="18"/>
                      <w:szCs w:val="18"/>
                    </w:rPr>
                    <w:t>0</w:t>
                  </w:r>
                </w:p>
              </w:tc>
            </w:tr>
            <w:tr w14:paraId="7E5369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0" w:type="dxa"/>
                </w:tblCellMar>
              </w:tblPrEx>
              <w:trPr>
                <w:trHeight w:val="257" w:hRule="atLeast"/>
                <w:jc w:val="center"/>
              </w:trPr>
              <w:tc>
                <w:tcPr>
                  <w:tcW w:w="566" w:type="pct"/>
                  <w:vMerge w:val="continue"/>
                  <w:tcBorders>
                    <w:tl2br w:val="nil"/>
                    <w:tr2bl w:val="nil"/>
                  </w:tcBorders>
                  <w:vAlign w:val="center"/>
                </w:tcPr>
                <w:p w14:paraId="16FB5D2C">
                  <w:pPr>
                    <w:pStyle w:val="84"/>
                    <w:rPr>
                      <w:sz w:val="18"/>
                      <w:szCs w:val="18"/>
                    </w:rPr>
                  </w:pPr>
                </w:p>
              </w:tc>
              <w:tc>
                <w:tcPr>
                  <w:tcW w:w="909" w:type="pct"/>
                  <w:tcBorders>
                    <w:tl2br w:val="nil"/>
                    <w:tr2bl w:val="nil"/>
                  </w:tcBorders>
                  <w:vAlign w:val="center"/>
                </w:tcPr>
                <w:p w14:paraId="443224CB">
                  <w:pPr>
                    <w:pStyle w:val="84"/>
                    <w:rPr>
                      <w:sz w:val="18"/>
                      <w:szCs w:val="18"/>
                    </w:rPr>
                  </w:pPr>
                  <w:r>
                    <w:rPr>
                      <w:rFonts w:ascii="宋体"/>
                      <w:sz w:val="18"/>
                      <w:szCs w:val="18"/>
                    </w:rPr>
                    <w:t>最大超标倍数</w:t>
                  </w:r>
                </w:p>
              </w:tc>
              <w:tc>
                <w:tcPr>
                  <w:tcW w:w="765" w:type="pct"/>
                  <w:tcBorders>
                    <w:tl2br w:val="nil"/>
                    <w:tr2bl w:val="nil"/>
                  </w:tcBorders>
                  <w:vAlign w:val="center"/>
                </w:tcPr>
                <w:p w14:paraId="52BA6858">
                  <w:pPr>
                    <w:pStyle w:val="84"/>
                    <w:rPr>
                      <w:sz w:val="18"/>
                      <w:szCs w:val="18"/>
                    </w:rPr>
                  </w:pPr>
                  <w:r>
                    <w:rPr>
                      <w:rFonts w:hint="eastAsia"/>
                      <w:sz w:val="18"/>
                      <w:szCs w:val="18"/>
                    </w:rPr>
                    <w:t>0</w:t>
                  </w:r>
                </w:p>
              </w:tc>
              <w:tc>
                <w:tcPr>
                  <w:tcW w:w="599" w:type="pct"/>
                  <w:tcBorders>
                    <w:tl2br w:val="nil"/>
                    <w:tr2bl w:val="nil"/>
                  </w:tcBorders>
                  <w:vAlign w:val="center"/>
                </w:tcPr>
                <w:p w14:paraId="5441E7B0">
                  <w:pPr>
                    <w:pStyle w:val="84"/>
                    <w:rPr>
                      <w:sz w:val="18"/>
                      <w:szCs w:val="18"/>
                    </w:rPr>
                  </w:pPr>
                  <w:r>
                    <w:rPr>
                      <w:rFonts w:hint="eastAsia"/>
                      <w:sz w:val="18"/>
                      <w:szCs w:val="18"/>
                    </w:rPr>
                    <w:t>0</w:t>
                  </w:r>
                </w:p>
              </w:tc>
              <w:tc>
                <w:tcPr>
                  <w:tcW w:w="680" w:type="pct"/>
                  <w:tcBorders>
                    <w:tl2br w:val="nil"/>
                    <w:tr2bl w:val="nil"/>
                  </w:tcBorders>
                  <w:vAlign w:val="center"/>
                </w:tcPr>
                <w:p w14:paraId="7F621E1B">
                  <w:pPr>
                    <w:pStyle w:val="84"/>
                    <w:rPr>
                      <w:sz w:val="18"/>
                      <w:szCs w:val="18"/>
                    </w:rPr>
                  </w:pPr>
                  <w:r>
                    <w:rPr>
                      <w:rFonts w:hint="eastAsia"/>
                      <w:sz w:val="18"/>
                      <w:szCs w:val="18"/>
                    </w:rPr>
                    <w:t>0</w:t>
                  </w:r>
                </w:p>
              </w:tc>
              <w:tc>
                <w:tcPr>
                  <w:tcW w:w="682" w:type="pct"/>
                  <w:tcBorders>
                    <w:tl2br w:val="nil"/>
                    <w:tr2bl w:val="nil"/>
                  </w:tcBorders>
                  <w:vAlign w:val="center"/>
                </w:tcPr>
                <w:p w14:paraId="7229E379">
                  <w:pPr>
                    <w:pStyle w:val="84"/>
                    <w:rPr>
                      <w:sz w:val="18"/>
                      <w:szCs w:val="18"/>
                    </w:rPr>
                  </w:pPr>
                  <w:r>
                    <w:rPr>
                      <w:rFonts w:hint="eastAsia"/>
                      <w:sz w:val="18"/>
                      <w:szCs w:val="18"/>
                    </w:rPr>
                    <w:t>0</w:t>
                  </w:r>
                </w:p>
              </w:tc>
              <w:tc>
                <w:tcPr>
                  <w:tcW w:w="796" w:type="pct"/>
                  <w:tcBorders>
                    <w:tl2br w:val="nil"/>
                    <w:tr2bl w:val="nil"/>
                  </w:tcBorders>
                  <w:vAlign w:val="center"/>
                </w:tcPr>
                <w:p w14:paraId="4C0887ED">
                  <w:pPr>
                    <w:pStyle w:val="84"/>
                    <w:rPr>
                      <w:sz w:val="18"/>
                      <w:szCs w:val="18"/>
                    </w:rPr>
                  </w:pPr>
                  <w:r>
                    <w:rPr>
                      <w:rFonts w:hint="eastAsia"/>
                      <w:sz w:val="18"/>
                      <w:szCs w:val="18"/>
                    </w:rPr>
                    <w:t>0</w:t>
                  </w:r>
                </w:p>
              </w:tc>
            </w:tr>
            <w:tr w14:paraId="5EA7A6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0" w:type="dxa"/>
                </w:tblCellMar>
              </w:tblPrEx>
              <w:trPr>
                <w:trHeight w:val="257" w:hRule="atLeast"/>
                <w:jc w:val="center"/>
              </w:trPr>
              <w:tc>
                <w:tcPr>
                  <w:tcW w:w="566" w:type="pct"/>
                  <w:vMerge w:val="restart"/>
                  <w:tcBorders>
                    <w:tl2br w:val="nil"/>
                    <w:tr2bl w:val="nil"/>
                  </w:tcBorders>
                  <w:vAlign w:val="center"/>
                </w:tcPr>
                <w:p w14:paraId="60FED015">
                  <w:pPr>
                    <w:pStyle w:val="84"/>
                    <w:rPr>
                      <w:sz w:val="18"/>
                      <w:szCs w:val="18"/>
                    </w:rPr>
                  </w:pPr>
                  <w:r>
                    <w:rPr>
                      <w:sz w:val="18"/>
                      <w:szCs w:val="18"/>
                    </w:rPr>
                    <w:t>W</w:t>
                  </w:r>
                  <w:r>
                    <w:rPr>
                      <w:rFonts w:hint="eastAsia"/>
                      <w:sz w:val="18"/>
                      <w:szCs w:val="18"/>
                    </w:rPr>
                    <w:t>3</w:t>
                  </w:r>
                </w:p>
              </w:tc>
              <w:tc>
                <w:tcPr>
                  <w:tcW w:w="909" w:type="pct"/>
                  <w:tcBorders>
                    <w:tl2br w:val="nil"/>
                    <w:tr2bl w:val="nil"/>
                  </w:tcBorders>
                  <w:vAlign w:val="center"/>
                </w:tcPr>
                <w:p w14:paraId="2A819CA8">
                  <w:pPr>
                    <w:pStyle w:val="84"/>
                    <w:rPr>
                      <w:sz w:val="18"/>
                      <w:szCs w:val="18"/>
                    </w:rPr>
                  </w:pPr>
                  <w:r>
                    <w:rPr>
                      <w:sz w:val="18"/>
                      <w:szCs w:val="18"/>
                    </w:rPr>
                    <w:t>最大值</w:t>
                  </w:r>
                </w:p>
              </w:tc>
              <w:tc>
                <w:tcPr>
                  <w:tcW w:w="765" w:type="pct"/>
                  <w:tcBorders>
                    <w:tl2br w:val="nil"/>
                    <w:tr2bl w:val="nil"/>
                  </w:tcBorders>
                  <w:vAlign w:val="center"/>
                </w:tcPr>
                <w:p w14:paraId="4963A981">
                  <w:pPr>
                    <w:pStyle w:val="84"/>
                    <w:rPr>
                      <w:sz w:val="18"/>
                      <w:szCs w:val="18"/>
                    </w:rPr>
                  </w:pPr>
                  <w:r>
                    <w:rPr>
                      <w:rFonts w:hint="eastAsia"/>
                      <w:sz w:val="18"/>
                      <w:szCs w:val="18"/>
                    </w:rPr>
                    <w:t>7.4</w:t>
                  </w:r>
                </w:p>
              </w:tc>
              <w:tc>
                <w:tcPr>
                  <w:tcW w:w="599" w:type="pct"/>
                  <w:tcBorders>
                    <w:tl2br w:val="nil"/>
                    <w:tr2bl w:val="nil"/>
                  </w:tcBorders>
                  <w:vAlign w:val="center"/>
                </w:tcPr>
                <w:p w14:paraId="0F6A96DA">
                  <w:pPr>
                    <w:pStyle w:val="84"/>
                    <w:rPr>
                      <w:sz w:val="18"/>
                      <w:szCs w:val="18"/>
                    </w:rPr>
                  </w:pPr>
                  <w:r>
                    <w:rPr>
                      <w:rFonts w:hint="eastAsia"/>
                      <w:sz w:val="18"/>
                      <w:szCs w:val="18"/>
                    </w:rPr>
                    <w:t>16</w:t>
                  </w:r>
                </w:p>
              </w:tc>
              <w:tc>
                <w:tcPr>
                  <w:tcW w:w="680" w:type="pct"/>
                  <w:tcBorders>
                    <w:tl2br w:val="nil"/>
                    <w:tr2bl w:val="nil"/>
                  </w:tcBorders>
                  <w:vAlign w:val="center"/>
                </w:tcPr>
                <w:p w14:paraId="0729ECA2">
                  <w:pPr>
                    <w:pStyle w:val="84"/>
                    <w:rPr>
                      <w:sz w:val="18"/>
                      <w:szCs w:val="18"/>
                    </w:rPr>
                  </w:pPr>
                  <w:r>
                    <w:rPr>
                      <w:rFonts w:hint="eastAsia"/>
                      <w:sz w:val="18"/>
                      <w:szCs w:val="18"/>
                    </w:rPr>
                    <w:t>13</w:t>
                  </w:r>
                </w:p>
              </w:tc>
              <w:tc>
                <w:tcPr>
                  <w:tcW w:w="682" w:type="pct"/>
                  <w:tcBorders>
                    <w:tl2br w:val="nil"/>
                    <w:tr2bl w:val="nil"/>
                  </w:tcBorders>
                  <w:vAlign w:val="center"/>
                </w:tcPr>
                <w:p w14:paraId="6E67C89B">
                  <w:pPr>
                    <w:pStyle w:val="84"/>
                    <w:rPr>
                      <w:sz w:val="18"/>
                      <w:szCs w:val="18"/>
                    </w:rPr>
                  </w:pPr>
                  <w:r>
                    <w:rPr>
                      <w:rFonts w:hint="eastAsia"/>
                      <w:sz w:val="18"/>
                      <w:szCs w:val="18"/>
                    </w:rPr>
                    <w:t>0.381</w:t>
                  </w:r>
                </w:p>
              </w:tc>
              <w:tc>
                <w:tcPr>
                  <w:tcW w:w="796" w:type="pct"/>
                  <w:tcBorders>
                    <w:tl2br w:val="nil"/>
                    <w:tr2bl w:val="nil"/>
                  </w:tcBorders>
                  <w:vAlign w:val="center"/>
                </w:tcPr>
                <w:p w14:paraId="1E87E6A2">
                  <w:pPr>
                    <w:pStyle w:val="84"/>
                    <w:rPr>
                      <w:sz w:val="18"/>
                      <w:szCs w:val="18"/>
                    </w:rPr>
                  </w:pPr>
                  <w:r>
                    <w:rPr>
                      <w:rFonts w:hint="eastAsia"/>
                      <w:sz w:val="18"/>
                      <w:szCs w:val="18"/>
                    </w:rPr>
                    <w:t>0.10</w:t>
                  </w:r>
                </w:p>
              </w:tc>
            </w:tr>
            <w:tr w14:paraId="72C970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0" w:type="dxa"/>
                </w:tblCellMar>
              </w:tblPrEx>
              <w:trPr>
                <w:trHeight w:val="257" w:hRule="atLeast"/>
                <w:jc w:val="center"/>
              </w:trPr>
              <w:tc>
                <w:tcPr>
                  <w:tcW w:w="566" w:type="pct"/>
                  <w:vMerge w:val="continue"/>
                  <w:tcBorders>
                    <w:tl2br w:val="nil"/>
                    <w:tr2bl w:val="nil"/>
                  </w:tcBorders>
                  <w:vAlign w:val="center"/>
                </w:tcPr>
                <w:p w14:paraId="60A39C75">
                  <w:pPr>
                    <w:pStyle w:val="84"/>
                    <w:rPr>
                      <w:sz w:val="18"/>
                      <w:szCs w:val="18"/>
                    </w:rPr>
                  </w:pPr>
                </w:p>
              </w:tc>
              <w:tc>
                <w:tcPr>
                  <w:tcW w:w="909" w:type="pct"/>
                  <w:tcBorders>
                    <w:tl2br w:val="nil"/>
                    <w:tr2bl w:val="nil"/>
                  </w:tcBorders>
                  <w:vAlign w:val="center"/>
                </w:tcPr>
                <w:p w14:paraId="7FB60F17">
                  <w:pPr>
                    <w:pStyle w:val="84"/>
                    <w:rPr>
                      <w:sz w:val="18"/>
                      <w:szCs w:val="18"/>
                    </w:rPr>
                  </w:pPr>
                  <w:r>
                    <w:rPr>
                      <w:sz w:val="18"/>
                      <w:szCs w:val="18"/>
                    </w:rPr>
                    <w:t>最小值</w:t>
                  </w:r>
                </w:p>
              </w:tc>
              <w:tc>
                <w:tcPr>
                  <w:tcW w:w="765" w:type="pct"/>
                  <w:tcBorders>
                    <w:tl2br w:val="nil"/>
                    <w:tr2bl w:val="nil"/>
                  </w:tcBorders>
                  <w:vAlign w:val="center"/>
                </w:tcPr>
                <w:p w14:paraId="066DD65A">
                  <w:pPr>
                    <w:pStyle w:val="84"/>
                    <w:rPr>
                      <w:sz w:val="18"/>
                      <w:szCs w:val="18"/>
                    </w:rPr>
                  </w:pPr>
                  <w:r>
                    <w:rPr>
                      <w:rFonts w:hint="eastAsia"/>
                      <w:sz w:val="18"/>
                      <w:szCs w:val="18"/>
                    </w:rPr>
                    <w:t>7.3</w:t>
                  </w:r>
                </w:p>
              </w:tc>
              <w:tc>
                <w:tcPr>
                  <w:tcW w:w="599" w:type="pct"/>
                  <w:tcBorders>
                    <w:tl2br w:val="nil"/>
                    <w:tr2bl w:val="nil"/>
                  </w:tcBorders>
                  <w:vAlign w:val="center"/>
                </w:tcPr>
                <w:p w14:paraId="3EC4EAE0">
                  <w:pPr>
                    <w:pStyle w:val="84"/>
                    <w:rPr>
                      <w:sz w:val="18"/>
                      <w:szCs w:val="18"/>
                    </w:rPr>
                  </w:pPr>
                  <w:r>
                    <w:rPr>
                      <w:rFonts w:hint="eastAsia"/>
                      <w:sz w:val="18"/>
                      <w:szCs w:val="18"/>
                    </w:rPr>
                    <w:t>14</w:t>
                  </w:r>
                </w:p>
              </w:tc>
              <w:tc>
                <w:tcPr>
                  <w:tcW w:w="680" w:type="pct"/>
                  <w:tcBorders>
                    <w:tl2br w:val="nil"/>
                    <w:tr2bl w:val="nil"/>
                  </w:tcBorders>
                  <w:vAlign w:val="center"/>
                </w:tcPr>
                <w:p w14:paraId="23736559">
                  <w:pPr>
                    <w:pStyle w:val="84"/>
                    <w:rPr>
                      <w:sz w:val="18"/>
                      <w:szCs w:val="18"/>
                    </w:rPr>
                  </w:pPr>
                  <w:r>
                    <w:rPr>
                      <w:rFonts w:hint="eastAsia"/>
                      <w:sz w:val="18"/>
                      <w:szCs w:val="18"/>
                    </w:rPr>
                    <w:t>11</w:t>
                  </w:r>
                </w:p>
              </w:tc>
              <w:tc>
                <w:tcPr>
                  <w:tcW w:w="682" w:type="pct"/>
                  <w:tcBorders>
                    <w:tl2br w:val="nil"/>
                    <w:tr2bl w:val="nil"/>
                  </w:tcBorders>
                  <w:vAlign w:val="center"/>
                </w:tcPr>
                <w:p w14:paraId="1D03D63C">
                  <w:pPr>
                    <w:pStyle w:val="84"/>
                    <w:rPr>
                      <w:sz w:val="18"/>
                      <w:szCs w:val="18"/>
                    </w:rPr>
                  </w:pPr>
                  <w:r>
                    <w:rPr>
                      <w:rFonts w:hint="eastAsia"/>
                      <w:sz w:val="18"/>
                      <w:szCs w:val="18"/>
                    </w:rPr>
                    <w:t>0.322</w:t>
                  </w:r>
                </w:p>
              </w:tc>
              <w:tc>
                <w:tcPr>
                  <w:tcW w:w="796" w:type="pct"/>
                  <w:tcBorders>
                    <w:tl2br w:val="nil"/>
                    <w:tr2bl w:val="nil"/>
                  </w:tcBorders>
                  <w:vAlign w:val="center"/>
                </w:tcPr>
                <w:p w14:paraId="373E798A">
                  <w:pPr>
                    <w:pStyle w:val="84"/>
                    <w:rPr>
                      <w:sz w:val="18"/>
                      <w:szCs w:val="18"/>
                    </w:rPr>
                  </w:pPr>
                  <w:r>
                    <w:rPr>
                      <w:rFonts w:hint="eastAsia"/>
                      <w:sz w:val="18"/>
                      <w:szCs w:val="18"/>
                    </w:rPr>
                    <w:t>0.07</w:t>
                  </w:r>
                </w:p>
              </w:tc>
            </w:tr>
            <w:tr w14:paraId="284F1F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0" w:type="dxa"/>
                </w:tblCellMar>
              </w:tblPrEx>
              <w:trPr>
                <w:trHeight w:val="257" w:hRule="atLeast"/>
                <w:jc w:val="center"/>
              </w:trPr>
              <w:tc>
                <w:tcPr>
                  <w:tcW w:w="566" w:type="pct"/>
                  <w:vMerge w:val="continue"/>
                  <w:tcBorders>
                    <w:tl2br w:val="nil"/>
                    <w:tr2bl w:val="nil"/>
                  </w:tcBorders>
                  <w:vAlign w:val="center"/>
                </w:tcPr>
                <w:p w14:paraId="34E943DB">
                  <w:pPr>
                    <w:pStyle w:val="84"/>
                    <w:rPr>
                      <w:sz w:val="18"/>
                      <w:szCs w:val="18"/>
                    </w:rPr>
                  </w:pPr>
                </w:p>
              </w:tc>
              <w:tc>
                <w:tcPr>
                  <w:tcW w:w="909" w:type="pct"/>
                  <w:tcBorders>
                    <w:tl2br w:val="nil"/>
                    <w:tr2bl w:val="nil"/>
                  </w:tcBorders>
                  <w:vAlign w:val="center"/>
                </w:tcPr>
                <w:p w14:paraId="73DD03E5">
                  <w:pPr>
                    <w:pStyle w:val="84"/>
                    <w:rPr>
                      <w:sz w:val="18"/>
                      <w:szCs w:val="18"/>
                    </w:rPr>
                  </w:pPr>
                  <w:r>
                    <w:rPr>
                      <w:sz w:val="18"/>
                      <w:szCs w:val="18"/>
                    </w:rPr>
                    <w:t>超标率%</w:t>
                  </w:r>
                </w:p>
              </w:tc>
              <w:tc>
                <w:tcPr>
                  <w:tcW w:w="765" w:type="pct"/>
                  <w:tcBorders>
                    <w:tl2br w:val="nil"/>
                    <w:tr2bl w:val="nil"/>
                  </w:tcBorders>
                  <w:vAlign w:val="center"/>
                </w:tcPr>
                <w:p w14:paraId="00EB5225">
                  <w:pPr>
                    <w:pStyle w:val="84"/>
                    <w:rPr>
                      <w:sz w:val="18"/>
                      <w:szCs w:val="18"/>
                    </w:rPr>
                  </w:pPr>
                  <w:r>
                    <w:rPr>
                      <w:rFonts w:hint="eastAsia"/>
                      <w:sz w:val="18"/>
                      <w:szCs w:val="18"/>
                    </w:rPr>
                    <w:t>0</w:t>
                  </w:r>
                </w:p>
              </w:tc>
              <w:tc>
                <w:tcPr>
                  <w:tcW w:w="599" w:type="pct"/>
                  <w:tcBorders>
                    <w:tl2br w:val="nil"/>
                    <w:tr2bl w:val="nil"/>
                  </w:tcBorders>
                  <w:vAlign w:val="center"/>
                </w:tcPr>
                <w:p w14:paraId="5EBB02EC">
                  <w:pPr>
                    <w:pStyle w:val="84"/>
                    <w:rPr>
                      <w:sz w:val="18"/>
                      <w:szCs w:val="18"/>
                    </w:rPr>
                  </w:pPr>
                  <w:r>
                    <w:rPr>
                      <w:rFonts w:hint="eastAsia"/>
                      <w:sz w:val="18"/>
                      <w:szCs w:val="18"/>
                    </w:rPr>
                    <w:t>0</w:t>
                  </w:r>
                </w:p>
              </w:tc>
              <w:tc>
                <w:tcPr>
                  <w:tcW w:w="680" w:type="pct"/>
                  <w:tcBorders>
                    <w:tl2br w:val="nil"/>
                    <w:tr2bl w:val="nil"/>
                  </w:tcBorders>
                  <w:vAlign w:val="center"/>
                </w:tcPr>
                <w:p w14:paraId="476BFB64">
                  <w:pPr>
                    <w:pStyle w:val="84"/>
                    <w:rPr>
                      <w:sz w:val="18"/>
                      <w:szCs w:val="18"/>
                    </w:rPr>
                  </w:pPr>
                  <w:r>
                    <w:rPr>
                      <w:rFonts w:hint="eastAsia"/>
                      <w:sz w:val="18"/>
                      <w:szCs w:val="18"/>
                    </w:rPr>
                    <w:t>0</w:t>
                  </w:r>
                </w:p>
              </w:tc>
              <w:tc>
                <w:tcPr>
                  <w:tcW w:w="682" w:type="pct"/>
                  <w:tcBorders>
                    <w:tl2br w:val="nil"/>
                    <w:tr2bl w:val="nil"/>
                  </w:tcBorders>
                  <w:vAlign w:val="center"/>
                </w:tcPr>
                <w:p w14:paraId="14980099">
                  <w:pPr>
                    <w:pStyle w:val="84"/>
                    <w:rPr>
                      <w:sz w:val="18"/>
                      <w:szCs w:val="18"/>
                    </w:rPr>
                  </w:pPr>
                  <w:r>
                    <w:rPr>
                      <w:rFonts w:hint="eastAsia"/>
                      <w:sz w:val="18"/>
                      <w:szCs w:val="18"/>
                    </w:rPr>
                    <w:t>0</w:t>
                  </w:r>
                </w:p>
              </w:tc>
              <w:tc>
                <w:tcPr>
                  <w:tcW w:w="796" w:type="pct"/>
                  <w:tcBorders>
                    <w:tl2br w:val="nil"/>
                    <w:tr2bl w:val="nil"/>
                  </w:tcBorders>
                  <w:vAlign w:val="center"/>
                </w:tcPr>
                <w:p w14:paraId="265BBC2F">
                  <w:pPr>
                    <w:pStyle w:val="84"/>
                    <w:rPr>
                      <w:sz w:val="18"/>
                      <w:szCs w:val="18"/>
                    </w:rPr>
                  </w:pPr>
                  <w:r>
                    <w:rPr>
                      <w:rFonts w:hint="eastAsia"/>
                      <w:sz w:val="18"/>
                      <w:szCs w:val="18"/>
                    </w:rPr>
                    <w:t>0</w:t>
                  </w:r>
                </w:p>
              </w:tc>
            </w:tr>
            <w:tr w14:paraId="23FD8A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0" w:type="dxa"/>
                </w:tblCellMar>
              </w:tblPrEx>
              <w:trPr>
                <w:trHeight w:val="257" w:hRule="atLeast"/>
                <w:jc w:val="center"/>
              </w:trPr>
              <w:tc>
                <w:tcPr>
                  <w:tcW w:w="566" w:type="pct"/>
                  <w:vMerge w:val="continue"/>
                  <w:tcBorders>
                    <w:tl2br w:val="nil"/>
                    <w:tr2bl w:val="nil"/>
                  </w:tcBorders>
                  <w:vAlign w:val="center"/>
                </w:tcPr>
                <w:p w14:paraId="7E70D111">
                  <w:pPr>
                    <w:pStyle w:val="84"/>
                    <w:rPr>
                      <w:sz w:val="18"/>
                      <w:szCs w:val="18"/>
                    </w:rPr>
                  </w:pPr>
                </w:p>
              </w:tc>
              <w:tc>
                <w:tcPr>
                  <w:tcW w:w="909" w:type="pct"/>
                  <w:tcBorders>
                    <w:tl2br w:val="nil"/>
                    <w:tr2bl w:val="nil"/>
                  </w:tcBorders>
                  <w:vAlign w:val="center"/>
                </w:tcPr>
                <w:p w14:paraId="4911824B">
                  <w:pPr>
                    <w:pStyle w:val="84"/>
                    <w:rPr>
                      <w:sz w:val="18"/>
                      <w:szCs w:val="18"/>
                    </w:rPr>
                  </w:pPr>
                  <w:r>
                    <w:rPr>
                      <w:rFonts w:ascii="宋体"/>
                      <w:sz w:val="18"/>
                      <w:szCs w:val="18"/>
                    </w:rPr>
                    <w:t>最大超标倍数</w:t>
                  </w:r>
                </w:p>
              </w:tc>
              <w:tc>
                <w:tcPr>
                  <w:tcW w:w="765" w:type="pct"/>
                  <w:tcBorders>
                    <w:tl2br w:val="nil"/>
                    <w:tr2bl w:val="nil"/>
                  </w:tcBorders>
                  <w:vAlign w:val="center"/>
                </w:tcPr>
                <w:p w14:paraId="3FC060AC">
                  <w:pPr>
                    <w:pStyle w:val="84"/>
                    <w:rPr>
                      <w:sz w:val="18"/>
                      <w:szCs w:val="18"/>
                    </w:rPr>
                  </w:pPr>
                  <w:r>
                    <w:rPr>
                      <w:rFonts w:hint="eastAsia"/>
                      <w:sz w:val="18"/>
                      <w:szCs w:val="18"/>
                    </w:rPr>
                    <w:t>0</w:t>
                  </w:r>
                </w:p>
              </w:tc>
              <w:tc>
                <w:tcPr>
                  <w:tcW w:w="599" w:type="pct"/>
                  <w:tcBorders>
                    <w:tl2br w:val="nil"/>
                    <w:tr2bl w:val="nil"/>
                  </w:tcBorders>
                  <w:vAlign w:val="center"/>
                </w:tcPr>
                <w:p w14:paraId="52496FC3">
                  <w:pPr>
                    <w:pStyle w:val="84"/>
                    <w:rPr>
                      <w:sz w:val="18"/>
                      <w:szCs w:val="18"/>
                    </w:rPr>
                  </w:pPr>
                  <w:r>
                    <w:rPr>
                      <w:rFonts w:hint="eastAsia"/>
                      <w:sz w:val="18"/>
                      <w:szCs w:val="18"/>
                    </w:rPr>
                    <w:t>0</w:t>
                  </w:r>
                </w:p>
              </w:tc>
              <w:tc>
                <w:tcPr>
                  <w:tcW w:w="680" w:type="pct"/>
                  <w:tcBorders>
                    <w:tl2br w:val="nil"/>
                    <w:tr2bl w:val="nil"/>
                  </w:tcBorders>
                  <w:vAlign w:val="center"/>
                </w:tcPr>
                <w:p w14:paraId="66517E67">
                  <w:pPr>
                    <w:pStyle w:val="84"/>
                    <w:rPr>
                      <w:sz w:val="18"/>
                      <w:szCs w:val="18"/>
                    </w:rPr>
                  </w:pPr>
                  <w:r>
                    <w:rPr>
                      <w:rFonts w:hint="eastAsia"/>
                      <w:sz w:val="18"/>
                      <w:szCs w:val="18"/>
                    </w:rPr>
                    <w:t>0</w:t>
                  </w:r>
                </w:p>
              </w:tc>
              <w:tc>
                <w:tcPr>
                  <w:tcW w:w="682" w:type="pct"/>
                  <w:tcBorders>
                    <w:tl2br w:val="nil"/>
                    <w:tr2bl w:val="nil"/>
                  </w:tcBorders>
                  <w:vAlign w:val="center"/>
                </w:tcPr>
                <w:p w14:paraId="5F6B2B34">
                  <w:pPr>
                    <w:pStyle w:val="84"/>
                    <w:rPr>
                      <w:sz w:val="18"/>
                      <w:szCs w:val="18"/>
                    </w:rPr>
                  </w:pPr>
                  <w:r>
                    <w:rPr>
                      <w:rFonts w:hint="eastAsia"/>
                      <w:sz w:val="18"/>
                      <w:szCs w:val="18"/>
                    </w:rPr>
                    <w:t>0</w:t>
                  </w:r>
                </w:p>
              </w:tc>
              <w:tc>
                <w:tcPr>
                  <w:tcW w:w="796" w:type="pct"/>
                  <w:tcBorders>
                    <w:tl2br w:val="nil"/>
                    <w:tr2bl w:val="nil"/>
                  </w:tcBorders>
                  <w:vAlign w:val="center"/>
                </w:tcPr>
                <w:p w14:paraId="2D655869">
                  <w:pPr>
                    <w:pStyle w:val="84"/>
                    <w:rPr>
                      <w:sz w:val="18"/>
                      <w:szCs w:val="18"/>
                    </w:rPr>
                  </w:pPr>
                  <w:r>
                    <w:rPr>
                      <w:rFonts w:hint="eastAsia"/>
                      <w:sz w:val="18"/>
                      <w:szCs w:val="18"/>
                    </w:rPr>
                    <w:t>0</w:t>
                  </w:r>
                </w:p>
              </w:tc>
            </w:tr>
            <w:tr w14:paraId="529D9F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0" w:type="dxa"/>
                </w:tblCellMar>
              </w:tblPrEx>
              <w:trPr>
                <w:trHeight w:val="289" w:hRule="atLeast"/>
                <w:jc w:val="center"/>
              </w:trPr>
              <w:tc>
                <w:tcPr>
                  <w:tcW w:w="1476" w:type="pct"/>
                  <w:gridSpan w:val="2"/>
                  <w:tcBorders>
                    <w:tl2br w:val="nil"/>
                    <w:tr2bl w:val="nil"/>
                  </w:tcBorders>
                  <w:vAlign w:val="center"/>
                </w:tcPr>
                <w:p w14:paraId="50C6F385">
                  <w:pPr>
                    <w:pStyle w:val="84"/>
                    <w:rPr>
                      <w:sz w:val="18"/>
                      <w:szCs w:val="18"/>
                    </w:rPr>
                  </w:pPr>
                  <w:r>
                    <w:rPr>
                      <w:rFonts w:hint="eastAsia" w:ascii="宋体" w:hAnsi="宋体" w:cs="宋体"/>
                      <w:sz w:val="18"/>
                      <w:szCs w:val="18"/>
                    </w:rPr>
                    <w:t>Ⅲ</w:t>
                  </w:r>
                  <w:r>
                    <w:rPr>
                      <w:rFonts w:hint="eastAsia"/>
                      <w:sz w:val="18"/>
                      <w:szCs w:val="18"/>
                    </w:rPr>
                    <w:t>类标准值</w:t>
                  </w:r>
                </w:p>
              </w:tc>
              <w:tc>
                <w:tcPr>
                  <w:tcW w:w="765" w:type="pct"/>
                  <w:tcBorders>
                    <w:tl2br w:val="nil"/>
                    <w:tr2bl w:val="nil"/>
                  </w:tcBorders>
                  <w:vAlign w:val="center"/>
                </w:tcPr>
                <w:p w14:paraId="7B791E36">
                  <w:pPr>
                    <w:pStyle w:val="84"/>
                    <w:rPr>
                      <w:sz w:val="18"/>
                      <w:szCs w:val="18"/>
                    </w:rPr>
                  </w:pPr>
                  <w:r>
                    <w:rPr>
                      <w:rFonts w:hint="eastAsia"/>
                      <w:sz w:val="18"/>
                      <w:szCs w:val="18"/>
                    </w:rPr>
                    <w:t>6-9</w:t>
                  </w:r>
                </w:p>
              </w:tc>
              <w:tc>
                <w:tcPr>
                  <w:tcW w:w="599" w:type="pct"/>
                  <w:tcBorders>
                    <w:tl2br w:val="nil"/>
                    <w:tr2bl w:val="nil"/>
                  </w:tcBorders>
                  <w:vAlign w:val="center"/>
                </w:tcPr>
                <w:p w14:paraId="70890935">
                  <w:pPr>
                    <w:pStyle w:val="84"/>
                    <w:rPr>
                      <w:sz w:val="18"/>
                      <w:szCs w:val="18"/>
                    </w:rPr>
                  </w:pPr>
                  <w:r>
                    <w:rPr>
                      <w:sz w:val="18"/>
                      <w:szCs w:val="18"/>
                    </w:rPr>
                    <w:t>≤</w:t>
                  </w:r>
                  <w:r>
                    <w:rPr>
                      <w:rFonts w:hint="eastAsia"/>
                      <w:sz w:val="18"/>
                      <w:szCs w:val="18"/>
                    </w:rPr>
                    <w:t>20</w:t>
                  </w:r>
                </w:p>
              </w:tc>
              <w:tc>
                <w:tcPr>
                  <w:tcW w:w="680" w:type="pct"/>
                  <w:tcBorders>
                    <w:tl2br w:val="nil"/>
                    <w:tr2bl w:val="nil"/>
                  </w:tcBorders>
                  <w:vAlign w:val="center"/>
                </w:tcPr>
                <w:p w14:paraId="54331F61">
                  <w:pPr>
                    <w:pStyle w:val="84"/>
                    <w:rPr>
                      <w:sz w:val="18"/>
                      <w:szCs w:val="18"/>
                    </w:rPr>
                  </w:pPr>
                  <w:r>
                    <w:rPr>
                      <w:rFonts w:hint="eastAsia"/>
                      <w:sz w:val="18"/>
                      <w:szCs w:val="18"/>
                    </w:rPr>
                    <w:t>/</w:t>
                  </w:r>
                </w:p>
              </w:tc>
              <w:tc>
                <w:tcPr>
                  <w:tcW w:w="682" w:type="pct"/>
                  <w:tcBorders>
                    <w:tl2br w:val="nil"/>
                    <w:tr2bl w:val="nil"/>
                  </w:tcBorders>
                  <w:vAlign w:val="center"/>
                </w:tcPr>
                <w:p w14:paraId="4847A015">
                  <w:pPr>
                    <w:pStyle w:val="84"/>
                    <w:rPr>
                      <w:sz w:val="18"/>
                      <w:szCs w:val="18"/>
                    </w:rPr>
                  </w:pPr>
                  <w:r>
                    <w:rPr>
                      <w:sz w:val="18"/>
                      <w:szCs w:val="18"/>
                    </w:rPr>
                    <w:t>≤</w:t>
                  </w:r>
                  <w:r>
                    <w:rPr>
                      <w:rFonts w:hint="eastAsia"/>
                      <w:sz w:val="18"/>
                      <w:szCs w:val="18"/>
                    </w:rPr>
                    <w:t>1.</w:t>
                  </w:r>
                  <w:r>
                    <w:rPr>
                      <w:sz w:val="18"/>
                      <w:szCs w:val="18"/>
                    </w:rPr>
                    <w:t>0</w:t>
                  </w:r>
                </w:p>
              </w:tc>
              <w:tc>
                <w:tcPr>
                  <w:tcW w:w="796" w:type="pct"/>
                  <w:tcBorders>
                    <w:tl2br w:val="nil"/>
                    <w:tr2bl w:val="nil"/>
                  </w:tcBorders>
                  <w:vAlign w:val="center"/>
                </w:tcPr>
                <w:p w14:paraId="7ED52948">
                  <w:pPr>
                    <w:pStyle w:val="84"/>
                    <w:rPr>
                      <w:sz w:val="18"/>
                      <w:szCs w:val="18"/>
                    </w:rPr>
                  </w:pPr>
                  <w:r>
                    <w:rPr>
                      <w:sz w:val="18"/>
                      <w:szCs w:val="18"/>
                    </w:rPr>
                    <w:t>≤</w:t>
                  </w:r>
                  <w:r>
                    <w:rPr>
                      <w:rFonts w:hint="eastAsia"/>
                      <w:sz w:val="18"/>
                      <w:szCs w:val="18"/>
                    </w:rPr>
                    <w:t>0.</w:t>
                  </w:r>
                  <w:r>
                    <w:rPr>
                      <w:sz w:val="18"/>
                      <w:szCs w:val="18"/>
                    </w:rPr>
                    <w:t>2</w:t>
                  </w:r>
                </w:p>
              </w:tc>
            </w:tr>
          </w:tbl>
          <w:p w14:paraId="03F609D9">
            <w:pPr>
              <w:pStyle w:val="86"/>
              <w:snapToGrid w:val="0"/>
              <w:rPr>
                <w:bCs/>
                <w:sz w:val="21"/>
                <w:szCs w:val="21"/>
              </w:rPr>
            </w:pPr>
            <w:r>
              <w:rPr>
                <w:sz w:val="21"/>
                <w:szCs w:val="21"/>
              </w:rPr>
              <w:t>根据监测结果可知，</w:t>
            </w:r>
            <w:r>
              <w:rPr>
                <w:rFonts w:hint="eastAsia"/>
                <w:sz w:val="21"/>
                <w:szCs w:val="21"/>
              </w:rPr>
              <w:t>监测期间北凌</w:t>
            </w:r>
            <w:r>
              <w:rPr>
                <w:sz w:val="21"/>
                <w:szCs w:val="21"/>
              </w:rPr>
              <w:t>河</w:t>
            </w:r>
            <w:r>
              <w:rPr>
                <w:rFonts w:hint="eastAsia"/>
                <w:sz w:val="21"/>
                <w:szCs w:val="21"/>
              </w:rPr>
              <w:t>监测断面中各污染物因子现状监测浓度符合国家《地表水环境质量标准》</w:t>
            </w:r>
            <w:r>
              <w:rPr>
                <w:sz w:val="21"/>
                <w:szCs w:val="21"/>
              </w:rPr>
              <w:t>（GB3838-2002）</w:t>
            </w:r>
            <w:r>
              <w:rPr>
                <w:rFonts w:hint="eastAsia"/>
                <w:sz w:val="21"/>
                <w:szCs w:val="21"/>
              </w:rPr>
              <w:t>中</w:t>
            </w:r>
            <w:r>
              <w:rPr>
                <w:sz w:val="21"/>
                <w:szCs w:val="21"/>
              </w:rPr>
              <w:t>Ⅲ</w:t>
            </w:r>
            <w:r>
              <w:rPr>
                <w:rFonts w:hint="eastAsia"/>
                <w:sz w:val="21"/>
                <w:szCs w:val="21"/>
              </w:rPr>
              <w:t>类标准要求</w:t>
            </w:r>
            <w:r>
              <w:rPr>
                <w:sz w:val="21"/>
                <w:szCs w:val="21"/>
              </w:rPr>
              <w:t>。</w:t>
            </w:r>
          </w:p>
          <w:p w14:paraId="10E48361">
            <w:pPr>
              <w:widowControl/>
              <w:shd w:val="clear" w:color="auto" w:fill="FFFFFF"/>
              <w:spacing w:line="360" w:lineRule="auto"/>
              <w:ind w:firstLine="454" w:firstLineChars="200"/>
              <w:rPr>
                <w:b/>
                <w:spacing w:val="8"/>
                <w:kern w:val="0"/>
                <w:szCs w:val="21"/>
              </w:rPr>
            </w:pPr>
            <w:r>
              <w:rPr>
                <w:b/>
                <w:spacing w:val="8"/>
                <w:kern w:val="0"/>
                <w:szCs w:val="21"/>
              </w:rPr>
              <w:t>3.声环境质量现状</w:t>
            </w:r>
          </w:p>
          <w:p w14:paraId="2990E6E6">
            <w:pPr>
              <w:widowControl/>
              <w:shd w:val="clear" w:color="auto" w:fill="FFFFFF"/>
              <w:spacing w:line="360" w:lineRule="auto"/>
              <w:ind w:firstLine="420" w:firstLineChars="200"/>
            </w:pPr>
            <w:r>
              <w:rPr>
                <w:kern w:val="0"/>
              </w:rPr>
              <w:t>本项目位于</w:t>
            </w:r>
            <w:r>
              <w:rPr>
                <w:rFonts w:hint="eastAsia"/>
              </w:rPr>
              <w:t>江苏省南通市海安市李堡镇富庄村7组（江海路23号）</w:t>
            </w:r>
            <w:r>
              <w:rPr>
                <w:kern w:val="0"/>
              </w:rPr>
              <w:t>，</w:t>
            </w:r>
            <w:r>
              <w:rPr>
                <w:rFonts w:hint="eastAsia"/>
                <w:kern w:val="0"/>
              </w:rPr>
              <w:t>本项目以租赁车间边界为本项目边界，</w:t>
            </w:r>
            <w:r>
              <w:t>建设项目周边50米范围内没有声环境敏感目标。根据《建设项目环境影响报告表编制技术指南（污染影响类）》，不需要进行现状监测。</w:t>
            </w:r>
          </w:p>
          <w:p w14:paraId="36F6C40C">
            <w:pPr>
              <w:widowControl/>
              <w:shd w:val="clear" w:color="auto" w:fill="FFFFFF"/>
              <w:spacing w:line="360" w:lineRule="auto"/>
              <w:ind w:firstLine="454" w:firstLineChars="200"/>
              <w:rPr>
                <w:b/>
                <w:spacing w:val="8"/>
                <w:kern w:val="0"/>
                <w:szCs w:val="21"/>
              </w:rPr>
            </w:pPr>
            <w:r>
              <w:rPr>
                <w:b/>
                <w:spacing w:val="8"/>
                <w:kern w:val="0"/>
                <w:szCs w:val="21"/>
              </w:rPr>
              <w:t>4.生态环境</w:t>
            </w:r>
          </w:p>
          <w:p w14:paraId="33CBC691">
            <w:pPr>
              <w:widowControl/>
              <w:shd w:val="clear" w:color="auto" w:fill="FFFFFF"/>
              <w:spacing w:line="360" w:lineRule="auto"/>
              <w:ind w:firstLine="420" w:firstLineChars="200"/>
              <w:rPr>
                <w:bCs/>
                <w:spacing w:val="8"/>
                <w:kern w:val="0"/>
                <w:szCs w:val="21"/>
              </w:rPr>
            </w:pPr>
            <w:r>
              <w:rPr>
                <w:kern w:val="0"/>
              </w:rPr>
              <w:t>本项目位于</w:t>
            </w:r>
            <w:r>
              <w:rPr>
                <w:rFonts w:hint="eastAsia"/>
              </w:rPr>
              <w:t>江苏省南通市海安市李堡镇富庄村7组（江海路23号）</w:t>
            </w:r>
            <w:r>
              <w:rPr>
                <w:kern w:val="0"/>
              </w:rPr>
              <w:t>，</w:t>
            </w:r>
            <w:r>
              <w:t>建设项目用地范围内无生态环境保护目标。对照《建设项目环境影响报告表编制技术指南（污染影响类）（试行）》，无需进行生态环境现状调查。</w:t>
            </w:r>
          </w:p>
          <w:p w14:paraId="2B8D8A16">
            <w:pPr>
              <w:pStyle w:val="86"/>
              <w:adjustRightInd w:val="0"/>
              <w:snapToGrid w:val="0"/>
              <w:ind w:firstLine="422"/>
              <w:rPr>
                <w:b/>
                <w:bCs/>
                <w:sz w:val="21"/>
                <w:szCs w:val="21"/>
              </w:rPr>
            </w:pPr>
            <w:r>
              <w:rPr>
                <w:b/>
                <w:bCs/>
                <w:sz w:val="21"/>
                <w:szCs w:val="21"/>
              </w:rPr>
              <w:t>5.土壤、地下水环境质量</w:t>
            </w:r>
          </w:p>
          <w:p w14:paraId="6FF7268F">
            <w:pPr>
              <w:widowControl/>
              <w:shd w:val="clear" w:color="auto" w:fill="FFFFFF"/>
              <w:spacing w:line="360" w:lineRule="auto"/>
              <w:ind w:firstLine="420" w:firstLineChars="200"/>
              <w:rPr>
                <w:szCs w:val="21"/>
              </w:rPr>
            </w:pPr>
            <w:r>
              <w:rPr>
                <w:szCs w:val="21"/>
              </w:rPr>
              <w:t>对照《建设项目环境影响报告表编制技术指南（污染影响类）（试行）》，本项目无需进行地下水、土壤环境质量现状调查。</w:t>
            </w:r>
          </w:p>
        </w:tc>
      </w:tr>
      <w:tr w14:paraId="321E2C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49" w:hRule="atLeast"/>
          <w:jc w:val="center"/>
        </w:trPr>
        <w:tc>
          <w:tcPr>
            <w:tcW w:w="424" w:type="dxa"/>
            <w:vAlign w:val="center"/>
          </w:tcPr>
          <w:p w14:paraId="4DCF8CCF">
            <w:pPr>
              <w:adjustRightInd w:val="0"/>
              <w:snapToGrid w:val="0"/>
              <w:jc w:val="center"/>
              <w:rPr>
                <w:kern w:val="0"/>
                <w:szCs w:val="21"/>
              </w:rPr>
            </w:pPr>
            <w:r>
              <w:rPr>
                <w:kern w:val="0"/>
                <w:szCs w:val="21"/>
              </w:rPr>
              <w:t>环境</w:t>
            </w:r>
          </w:p>
          <w:p w14:paraId="2E59B08D">
            <w:pPr>
              <w:adjustRightInd w:val="0"/>
              <w:snapToGrid w:val="0"/>
              <w:jc w:val="center"/>
              <w:rPr>
                <w:kern w:val="0"/>
                <w:szCs w:val="21"/>
              </w:rPr>
            </w:pPr>
            <w:r>
              <w:rPr>
                <w:kern w:val="0"/>
                <w:szCs w:val="21"/>
              </w:rPr>
              <w:t>保护</w:t>
            </w:r>
          </w:p>
          <w:p w14:paraId="41D6D269">
            <w:pPr>
              <w:adjustRightInd w:val="0"/>
              <w:snapToGrid w:val="0"/>
              <w:jc w:val="center"/>
              <w:rPr>
                <w:kern w:val="0"/>
                <w:szCs w:val="21"/>
              </w:rPr>
            </w:pPr>
            <w:r>
              <w:rPr>
                <w:kern w:val="0"/>
                <w:szCs w:val="21"/>
              </w:rPr>
              <w:t>目标</w:t>
            </w:r>
          </w:p>
        </w:tc>
        <w:tc>
          <w:tcPr>
            <w:tcW w:w="8967" w:type="dxa"/>
            <w:vAlign w:val="center"/>
          </w:tcPr>
          <w:p w14:paraId="6952E108">
            <w:pPr>
              <w:widowControl/>
              <w:shd w:val="clear" w:color="auto" w:fill="FFFFFF"/>
              <w:spacing w:line="360" w:lineRule="auto"/>
              <w:ind w:firstLine="454" w:firstLineChars="200"/>
              <w:jc w:val="left"/>
              <w:rPr>
                <w:b/>
                <w:spacing w:val="8"/>
                <w:kern w:val="0"/>
                <w:szCs w:val="21"/>
              </w:rPr>
            </w:pPr>
            <w:r>
              <w:rPr>
                <w:b/>
                <w:spacing w:val="8"/>
                <w:kern w:val="0"/>
                <w:szCs w:val="21"/>
              </w:rPr>
              <w:t>1.大气环境</w:t>
            </w:r>
          </w:p>
          <w:p w14:paraId="2B8FD669">
            <w:pPr>
              <w:adjustRightInd w:val="0"/>
              <w:snapToGrid w:val="0"/>
              <w:spacing w:line="360" w:lineRule="auto"/>
              <w:ind w:firstLine="452" w:firstLineChars="200"/>
              <w:jc w:val="left"/>
              <w:rPr>
                <w:snapToGrid w:val="0"/>
                <w:kern w:val="0"/>
                <w:sz w:val="24"/>
              </w:rPr>
            </w:pPr>
            <w:r>
              <w:rPr>
                <w:bCs/>
                <w:spacing w:val="8"/>
                <w:kern w:val="0"/>
                <w:szCs w:val="21"/>
              </w:rPr>
              <w:t>本项目位于</w:t>
            </w:r>
            <w:r>
              <w:rPr>
                <w:rFonts w:hint="eastAsia"/>
              </w:rPr>
              <w:t>江苏省南通市海安市李堡镇富庄村7组（江海路23号）</w:t>
            </w:r>
            <w:r>
              <w:rPr>
                <w:bCs/>
                <w:spacing w:val="8"/>
                <w:kern w:val="0"/>
                <w:szCs w:val="21"/>
              </w:rPr>
              <w:t>，</w:t>
            </w:r>
            <w:r>
              <w:rPr>
                <w:szCs w:val="21"/>
              </w:rPr>
              <w:t>根据现场勘查，本项目周边500m范围内大气环境保护目标，具体见下表。</w:t>
            </w:r>
          </w:p>
          <w:p w14:paraId="48214034">
            <w:pPr>
              <w:adjustRightInd w:val="0"/>
              <w:snapToGrid w:val="0"/>
              <w:jc w:val="center"/>
              <w:rPr>
                <w:b/>
                <w:sz w:val="24"/>
              </w:rPr>
            </w:pPr>
            <w:r>
              <w:rPr>
                <w:b/>
                <w:szCs w:val="21"/>
              </w:rPr>
              <w:t>表3-</w:t>
            </w:r>
            <w:r>
              <w:rPr>
                <w:rFonts w:hint="eastAsia"/>
                <w:b/>
                <w:szCs w:val="21"/>
              </w:rPr>
              <w:t>4</w:t>
            </w:r>
            <w:r>
              <w:rPr>
                <w:b/>
                <w:szCs w:val="21"/>
              </w:rPr>
              <w:t xml:space="preserve">  环境空气保护目标</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097"/>
              <w:gridCol w:w="1213"/>
              <w:gridCol w:w="1213"/>
              <w:gridCol w:w="1051"/>
              <w:gridCol w:w="1376"/>
              <w:gridCol w:w="1062"/>
              <w:gridCol w:w="830"/>
              <w:gridCol w:w="879"/>
            </w:tblGrid>
            <w:tr w14:paraId="00AC3B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097" w:type="dxa"/>
                  <w:vMerge w:val="restart"/>
                  <w:vAlign w:val="center"/>
                </w:tcPr>
                <w:p w14:paraId="3EA8DE5C">
                  <w:pPr>
                    <w:widowControl/>
                    <w:snapToGrid w:val="0"/>
                    <w:jc w:val="center"/>
                    <w:rPr>
                      <w:b/>
                      <w:bCs/>
                      <w:kern w:val="18"/>
                      <w:sz w:val="18"/>
                      <w:szCs w:val="18"/>
                    </w:rPr>
                  </w:pPr>
                  <w:r>
                    <w:rPr>
                      <w:b/>
                      <w:bCs/>
                      <w:kern w:val="18"/>
                      <w:sz w:val="18"/>
                      <w:szCs w:val="18"/>
                    </w:rPr>
                    <w:t>名称</w:t>
                  </w:r>
                </w:p>
              </w:tc>
              <w:tc>
                <w:tcPr>
                  <w:tcW w:w="2426" w:type="dxa"/>
                  <w:gridSpan w:val="2"/>
                  <w:vAlign w:val="center"/>
                </w:tcPr>
                <w:p w14:paraId="6F675698">
                  <w:pPr>
                    <w:widowControl/>
                    <w:snapToGrid w:val="0"/>
                    <w:jc w:val="center"/>
                    <w:rPr>
                      <w:b/>
                      <w:bCs/>
                      <w:kern w:val="18"/>
                      <w:sz w:val="18"/>
                      <w:szCs w:val="18"/>
                    </w:rPr>
                  </w:pPr>
                  <w:r>
                    <w:rPr>
                      <w:b/>
                      <w:bCs/>
                      <w:kern w:val="18"/>
                      <w:sz w:val="18"/>
                      <w:szCs w:val="18"/>
                    </w:rPr>
                    <w:t>坐标（°）</w:t>
                  </w:r>
                </w:p>
              </w:tc>
              <w:tc>
                <w:tcPr>
                  <w:tcW w:w="1051" w:type="dxa"/>
                  <w:vMerge w:val="restart"/>
                  <w:vAlign w:val="center"/>
                </w:tcPr>
                <w:p w14:paraId="6A7209FD">
                  <w:pPr>
                    <w:widowControl/>
                    <w:snapToGrid w:val="0"/>
                    <w:jc w:val="center"/>
                    <w:rPr>
                      <w:b/>
                      <w:bCs/>
                      <w:kern w:val="18"/>
                      <w:sz w:val="18"/>
                      <w:szCs w:val="18"/>
                    </w:rPr>
                  </w:pPr>
                  <w:r>
                    <w:rPr>
                      <w:b/>
                      <w:bCs/>
                      <w:kern w:val="18"/>
                      <w:sz w:val="18"/>
                      <w:szCs w:val="18"/>
                    </w:rPr>
                    <w:t>保护对象</w:t>
                  </w:r>
                </w:p>
              </w:tc>
              <w:tc>
                <w:tcPr>
                  <w:tcW w:w="1376" w:type="dxa"/>
                  <w:vMerge w:val="restart"/>
                  <w:vAlign w:val="center"/>
                </w:tcPr>
                <w:p w14:paraId="33F62A05">
                  <w:pPr>
                    <w:widowControl/>
                    <w:snapToGrid w:val="0"/>
                    <w:jc w:val="center"/>
                    <w:rPr>
                      <w:b/>
                      <w:bCs/>
                      <w:kern w:val="18"/>
                      <w:sz w:val="18"/>
                      <w:szCs w:val="18"/>
                    </w:rPr>
                  </w:pPr>
                  <w:r>
                    <w:rPr>
                      <w:b/>
                      <w:bCs/>
                      <w:kern w:val="18"/>
                      <w:sz w:val="18"/>
                      <w:szCs w:val="18"/>
                    </w:rPr>
                    <w:t>保护内容</w:t>
                  </w:r>
                </w:p>
              </w:tc>
              <w:tc>
                <w:tcPr>
                  <w:tcW w:w="1062" w:type="dxa"/>
                  <w:vMerge w:val="restart"/>
                  <w:vAlign w:val="center"/>
                </w:tcPr>
                <w:p w14:paraId="05B6C601">
                  <w:pPr>
                    <w:widowControl/>
                    <w:snapToGrid w:val="0"/>
                    <w:jc w:val="center"/>
                    <w:rPr>
                      <w:b/>
                      <w:bCs/>
                      <w:kern w:val="18"/>
                      <w:sz w:val="18"/>
                      <w:szCs w:val="18"/>
                    </w:rPr>
                  </w:pPr>
                  <w:r>
                    <w:rPr>
                      <w:b/>
                      <w:bCs/>
                      <w:kern w:val="18"/>
                      <w:sz w:val="18"/>
                      <w:szCs w:val="18"/>
                    </w:rPr>
                    <w:t>环境功能区</w:t>
                  </w:r>
                </w:p>
              </w:tc>
              <w:tc>
                <w:tcPr>
                  <w:tcW w:w="830" w:type="dxa"/>
                  <w:vMerge w:val="restart"/>
                  <w:vAlign w:val="center"/>
                </w:tcPr>
                <w:p w14:paraId="4FD6D314">
                  <w:pPr>
                    <w:widowControl/>
                    <w:snapToGrid w:val="0"/>
                    <w:jc w:val="center"/>
                    <w:rPr>
                      <w:b/>
                      <w:bCs/>
                      <w:kern w:val="18"/>
                      <w:sz w:val="18"/>
                      <w:szCs w:val="18"/>
                    </w:rPr>
                  </w:pPr>
                  <w:r>
                    <w:rPr>
                      <w:b/>
                      <w:bCs/>
                      <w:kern w:val="18"/>
                      <w:sz w:val="18"/>
                      <w:szCs w:val="18"/>
                    </w:rPr>
                    <w:t>相对厂址方位</w:t>
                  </w:r>
                </w:p>
              </w:tc>
              <w:tc>
                <w:tcPr>
                  <w:tcW w:w="879" w:type="dxa"/>
                  <w:vMerge w:val="restart"/>
                  <w:vAlign w:val="center"/>
                </w:tcPr>
                <w:p w14:paraId="7F6C8160">
                  <w:pPr>
                    <w:widowControl/>
                    <w:snapToGrid w:val="0"/>
                    <w:jc w:val="center"/>
                    <w:rPr>
                      <w:b/>
                      <w:bCs/>
                      <w:kern w:val="18"/>
                      <w:sz w:val="18"/>
                      <w:szCs w:val="18"/>
                    </w:rPr>
                  </w:pPr>
                  <w:r>
                    <w:rPr>
                      <w:b/>
                      <w:bCs/>
                      <w:kern w:val="18"/>
                      <w:sz w:val="18"/>
                      <w:szCs w:val="18"/>
                    </w:rPr>
                    <w:t>相对厂界</w:t>
                  </w:r>
                  <w:r>
                    <w:rPr>
                      <w:rStyle w:val="29"/>
                      <w:rFonts w:hint="eastAsia"/>
                      <w:kern w:val="0"/>
                      <w:szCs w:val="20"/>
                    </w:rPr>
                    <w:t>*</w:t>
                  </w:r>
                  <w:r>
                    <w:rPr>
                      <w:b/>
                      <w:bCs/>
                      <w:kern w:val="18"/>
                      <w:sz w:val="18"/>
                      <w:szCs w:val="18"/>
                    </w:rPr>
                    <w:t>距离（m）</w:t>
                  </w:r>
                </w:p>
              </w:tc>
            </w:tr>
            <w:tr w14:paraId="2B3887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97" w:type="dxa"/>
                  <w:vMerge w:val="continue"/>
                  <w:vAlign w:val="center"/>
                </w:tcPr>
                <w:p w14:paraId="6A6B1949">
                  <w:pPr>
                    <w:widowControl/>
                    <w:snapToGrid w:val="0"/>
                    <w:jc w:val="center"/>
                    <w:rPr>
                      <w:kern w:val="18"/>
                      <w:sz w:val="18"/>
                      <w:szCs w:val="18"/>
                    </w:rPr>
                  </w:pPr>
                </w:p>
              </w:tc>
              <w:tc>
                <w:tcPr>
                  <w:tcW w:w="1213" w:type="dxa"/>
                  <w:vAlign w:val="center"/>
                </w:tcPr>
                <w:p w14:paraId="29B60773">
                  <w:pPr>
                    <w:widowControl/>
                    <w:snapToGrid w:val="0"/>
                    <w:jc w:val="center"/>
                    <w:rPr>
                      <w:b/>
                      <w:bCs/>
                      <w:kern w:val="18"/>
                      <w:sz w:val="18"/>
                      <w:szCs w:val="18"/>
                    </w:rPr>
                  </w:pPr>
                  <w:r>
                    <w:rPr>
                      <w:b/>
                      <w:bCs/>
                      <w:kern w:val="18"/>
                      <w:sz w:val="18"/>
                      <w:szCs w:val="18"/>
                    </w:rPr>
                    <w:t>经度</w:t>
                  </w:r>
                </w:p>
              </w:tc>
              <w:tc>
                <w:tcPr>
                  <w:tcW w:w="1213" w:type="dxa"/>
                  <w:vAlign w:val="center"/>
                </w:tcPr>
                <w:p w14:paraId="4748845E">
                  <w:pPr>
                    <w:widowControl/>
                    <w:snapToGrid w:val="0"/>
                    <w:jc w:val="center"/>
                    <w:rPr>
                      <w:b/>
                      <w:bCs/>
                      <w:kern w:val="18"/>
                      <w:sz w:val="18"/>
                      <w:szCs w:val="18"/>
                    </w:rPr>
                  </w:pPr>
                  <w:r>
                    <w:rPr>
                      <w:b/>
                      <w:bCs/>
                      <w:kern w:val="18"/>
                      <w:sz w:val="18"/>
                      <w:szCs w:val="18"/>
                    </w:rPr>
                    <w:t>纬度</w:t>
                  </w:r>
                </w:p>
              </w:tc>
              <w:tc>
                <w:tcPr>
                  <w:tcW w:w="1051" w:type="dxa"/>
                  <w:vMerge w:val="continue"/>
                  <w:vAlign w:val="center"/>
                </w:tcPr>
                <w:p w14:paraId="440AEFD4">
                  <w:pPr>
                    <w:widowControl/>
                    <w:snapToGrid w:val="0"/>
                    <w:jc w:val="center"/>
                    <w:rPr>
                      <w:kern w:val="18"/>
                      <w:sz w:val="18"/>
                      <w:szCs w:val="18"/>
                    </w:rPr>
                  </w:pPr>
                </w:p>
              </w:tc>
              <w:tc>
                <w:tcPr>
                  <w:tcW w:w="1376" w:type="dxa"/>
                  <w:vMerge w:val="continue"/>
                  <w:vAlign w:val="center"/>
                </w:tcPr>
                <w:p w14:paraId="729F5E25">
                  <w:pPr>
                    <w:widowControl/>
                    <w:snapToGrid w:val="0"/>
                    <w:jc w:val="center"/>
                    <w:rPr>
                      <w:kern w:val="18"/>
                      <w:sz w:val="18"/>
                      <w:szCs w:val="18"/>
                    </w:rPr>
                  </w:pPr>
                </w:p>
              </w:tc>
              <w:tc>
                <w:tcPr>
                  <w:tcW w:w="1062" w:type="dxa"/>
                  <w:vMerge w:val="continue"/>
                  <w:vAlign w:val="center"/>
                </w:tcPr>
                <w:p w14:paraId="66EBB23E">
                  <w:pPr>
                    <w:widowControl/>
                    <w:snapToGrid w:val="0"/>
                    <w:jc w:val="center"/>
                    <w:rPr>
                      <w:kern w:val="18"/>
                      <w:sz w:val="18"/>
                      <w:szCs w:val="18"/>
                    </w:rPr>
                  </w:pPr>
                </w:p>
              </w:tc>
              <w:tc>
                <w:tcPr>
                  <w:tcW w:w="830" w:type="dxa"/>
                  <w:vMerge w:val="continue"/>
                  <w:vAlign w:val="center"/>
                </w:tcPr>
                <w:p w14:paraId="7B21D7A6">
                  <w:pPr>
                    <w:widowControl/>
                    <w:snapToGrid w:val="0"/>
                    <w:jc w:val="center"/>
                    <w:rPr>
                      <w:kern w:val="18"/>
                      <w:sz w:val="18"/>
                      <w:szCs w:val="18"/>
                    </w:rPr>
                  </w:pPr>
                </w:p>
              </w:tc>
              <w:tc>
                <w:tcPr>
                  <w:tcW w:w="879" w:type="dxa"/>
                  <w:vMerge w:val="continue"/>
                  <w:vAlign w:val="center"/>
                </w:tcPr>
                <w:p w14:paraId="5C5B076B">
                  <w:pPr>
                    <w:widowControl/>
                    <w:snapToGrid w:val="0"/>
                    <w:jc w:val="center"/>
                    <w:rPr>
                      <w:kern w:val="18"/>
                      <w:sz w:val="18"/>
                      <w:szCs w:val="18"/>
                    </w:rPr>
                  </w:pPr>
                </w:p>
              </w:tc>
            </w:tr>
            <w:tr w14:paraId="7E7CBA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5" w:hRule="atLeast"/>
                <w:jc w:val="center"/>
              </w:trPr>
              <w:tc>
                <w:tcPr>
                  <w:tcW w:w="1097" w:type="dxa"/>
                  <w:vAlign w:val="center"/>
                </w:tcPr>
                <w:p w14:paraId="32B2844D">
                  <w:pPr>
                    <w:snapToGrid w:val="0"/>
                    <w:jc w:val="center"/>
                    <w:rPr>
                      <w:kern w:val="18"/>
                      <w:sz w:val="18"/>
                      <w:szCs w:val="18"/>
                    </w:rPr>
                  </w:pPr>
                  <w:r>
                    <w:rPr>
                      <w:rFonts w:hint="eastAsia"/>
                      <w:kern w:val="18"/>
                      <w:sz w:val="18"/>
                      <w:szCs w:val="18"/>
                    </w:rPr>
                    <w:t>富庄村</w:t>
                  </w:r>
                </w:p>
              </w:tc>
              <w:tc>
                <w:tcPr>
                  <w:tcW w:w="1213" w:type="dxa"/>
                  <w:vAlign w:val="center"/>
                </w:tcPr>
                <w:p w14:paraId="058A592A">
                  <w:pPr>
                    <w:pStyle w:val="11"/>
                    <w:adjustRightInd w:val="0"/>
                    <w:snapToGrid w:val="0"/>
                    <w:jc w:val="center"/>
                    <w:rPr>
                      <w:rFonts w:ascii="Times New Roman" w:hAnsi="Times New Roman" w:cs="Times New Roman"/>
                      <w:color w:val="auto"/>
                      <w:kern w:val="18"/>
                      <w:sz w:val="18"/>
                      <w:szCs w:val="18"/>
                    </w:rPr>
                  </w:pPr>
                  <w:r>
                    <w:rPr>
                      <w:rFonts w:hint="eastAsia" w:ascii="Times New Roman" w:hAnsi="Times New Roman" w:cs="Times New Roman"/>
                      <w:color w:val="auto"/>
                      <w:kern w:val="18"/>
                      <w:sz w:val="18"/>
                      <w:szCs w:val="18"/>
                    </w:rPr>
                    <w:t>120.687668</w:t>
                  </w:r>
                </w:p>
              </w:tc>
              <w:tc>
                <w:tcPr>
                  <w:tcW w:w="1213" w:type="dxa"/>
                  <w:vAlign w:val="center"/>
                </w:tcPr>
                <w:p w14:paraId="278B55E9">
                  <w:pPr>
                    <w:pStyle w:val="11"/>
                    <w:adjustRightInd w:val="0"/>
                    <w:snapToGrid w:val="0"/>
                    <w:jc w:val="center"/>
                    <w:rPr>
                      <w:rFonts w:ascii="Times New Roman" w:hAnsi="Times New Roman" w:cs="Times New Roman"/>
                      <w:color w:val="auto"/>
                      <w:kern w:val="18"/>
                      <w:sz w:val="18"/>
                      <w:szCs w:val="18"/>
                    </w:rPr>
                  </w:pPr>
                  <w:r>
                    <w:rPr>
                      <w:rFonts w:hint="eastAsia" w:ascii="Times New Roman" w:hAnsi="Times New Roman" w:cs="Times New Roman"/>
                      <w:color w:val="auto"/>
                      <w:kern w:val="18"/>
                      <w:sz w:val="18"/>
                      <w:szCs w:val="18"/>
                    </w:rPr>
                    <w:t>32.543741</w:t>
                  </w:r>
                </w:p>
              </w:tc>
              <w:tc>
                <w:tcPr>
                  <w:tcW w:w="1051" w:type="dxa"/>
                  <w:vAlign w:val="center"/>
                </w:tcPr>
                <w:p w14:paraId="276B8138">
                  <w:pPr>
                    <w:snapToGrid w:val="0"/>
                    <w:jc w:val="center"/>
                    <w:rPr>
                      <w:sz w:val="18"/>
                      <w:szCs w:val="18"/>
                    </w:rPr>
                  </w:pPr>
                  <w:r>
                    <w:rPr>
                      <w:sz w:val="18"/>
                      <w:szCs w:val="18"/>
                    </w:rPr>
                    <w:t>居住区</w:t>
                  </w:r>
                </w:p>
              </w:tc>
              <w:tc>
                <w:tcPr>
                  <w:tcW w:w="1376" w:type="dxa"/>
                  <w:vAlign w:val="center"/>
                </w:tcPr>
                <w:p w14:paraId="62491650">
                  <w:pPr>
                    <w:snapToGrid w:val="0"/>
                    <w:jc w:val="center"/>
                    <w:rPr>
                      <w:sz w:val="18"/>
                      <w:szCs w:val="18"/>
                    </w:rPr>
                  </w:pPr>
                  <w:r>
                    <w:rPr>
                      <w:sz w:val="18"/>
                      <w:szCs w:val="18"/>
                    </w:rPr>
                    <w:t>约</w:t>
                  </w:r>
                  <w:r>
                    <w:rPr>
                      <w:rFonts w:hint="eastAsia"/>
                      <w:sz w:val="18"/>
                      <w:szCs w:val="18"/>
                    </w:rPr>
                    <w:t>60</w:t>
                  </w:r>
                  <w:r>
                    <w:rPr>
                      <w:sz w:val="18"/>
                      <w:szCs w:val="18"/>
                    </w:rPr>
                    <w:t>户/</w:t>
                  </w:r>
                  <w:r>
                    <w:rPr>
                      <w:rFonts w:hint="eastAsia"/>
                      <w:sz w:val="18"/>
                      <w:szCs w:val="18"/>
                    </w:rPr>
                    <w:t>210</w:t>
                  </w:r>
                  <w:r>
                    <w:rPr>
                      <w:sz w:val="18"/>
                      <w:szCs w:val="18"/>
                    </w:rPr>
                    <w:t>人</w:t>
                  </w:r>
                </w:p>
              </w:tc>
              <w:tc>
                <w:tcPr>
                  <w:tcW w:w="1062" w:type="dxa"/>
                  <w:vAlign w:val="center"/>
                </w:tcPr>
                <w:p w14:paraId="28E9D427">
                  <w:pPr>
                    <w:snapToGrid w:val="0"/>
                    <w:jc w:val="center"/>
                    <w:rPr>
                      <w:kern w:val="18"/>
                      <w:sz w:val="18"/>
                      <w:szCs w:val="18"/>
                    </w:rPr>
                  </w:pPr>
                  <w:r>
                    <w:rPr>
                      <w:sz w:val="18"/>
                      <w:szCs w:val="18"/>
                    </w:rPr>
                    <w:t>二类区</w:t>
                  </w:r>
                </w:p>
              </w:tc>
              <w:tc>
                <w:tcPr>
                  <w:tcW w:w="830" w:type="dxa"/>
                  <w:vAlign w:val="center"/>
                </w:tcPr>
                <w:p w14:paraId="2D7CB4E2">
                  <w:pPr>
                    <w:snapToGrid w:val="0"/>
                    <w:jc w:val="center"/>
                    <w:rPr>
                      <w:sz w:val="18"/>
                      <w:szCs w:val="18"/>
                    </w:rPr>
                  </w:pPr>
                  <w:r>
                    <w:rPr>
                      <w:rFonts w:hint="eastAsia"/>
                      <w:sz w:val="18"/>
                      <w:szCs w:val="18"/>
                    </w:rPr>
                    <w:t>W</w:t>
                  </w:r>
                </w:p>
              </w:tc>
              <w:tc>
                <w:tcPr>
                  <w:tcW w:w="879" w:type="dxa"/>
                  <w:vAlign w:val="center"/>
                </w:tcPr>
                <w:p w14:paraId="24341E57">
                  <w:pPr>
                    <w:snapToGrid w:val="0"/>
                    <w:jc w:val="center"/>
                    <w:rPr>
                      <w:sz w:val="18"/>
                      <w:szCs w:val="18"/>
                    </w:rPr>
                  </w:pPr>
                  <w:r>
                    <w:rPr>
                      <w:rFonts w:hint="eastAsia"/>
                      <w:sz w:val="18"/>
                      <w:szCs w:val="18"/>
                    </w:rPr>
                    <w:t>52</w:t>
                  </w:r>
                </w:p>
              </w:tc>
            </w:tr>
            <w:tr w14:paraId="3F8DC9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5" w:hRule="atLeast"/>
                <w:jc w:val="center"/>
              </w:trPr>
              <w:tc>
                <w:tcPr>
                  <w:tcW w:w="1097" w:type="dxa"/>
                  <w:vAlign w:val="center"/>
                </w:tcPr>
                <w:p w14:paraId="11FBA69A">
                  <w:pPr>
                    <w:snapToGrid w:val="0"/>
                    <w:jc w:val="center"/>
                    <w:rPr>
                      <w:kern w:val="18"/>
                      <w:sz w:val="18"/>
                      <w:szCs w:val="18"/>
                    </w:rPr>
                  </w:pPr>
                  <w:r>
                    <w:rPr>
                      <w:rFonts w:hint="eastAsia"/>
                      <w:kern w:val="18"/>
                      <w:sz w:val="18"/>
                      <w:szCs w:val="18"/>
                    </w:rPr>
                    <w:t>富庄村</w:t>
                  </w:r>
                </w:p>
              </w:tc>
              <w:tc>
                <w:tcPr>
                  <w:tcW w:w="1213" w:type="dxa"/>
                  <w:vAlign w:val="center"/>
                </w:tcPr>
                <w:p w14:paraId="7E3315DE">
                  <w:pPr>
                    <w:pStyle w:val="11"/>
                    <w:adjustRightInd w:val="0"/>
                    <w:snapToGrid w:val="0"/>
                    <w:jc w:val="center"/>
                    <w:rPr>
                      <w:rFonts w:ascii="Times New Roman" w:hAnsi="Times New Roman" w:cs="Times New Roman"/>
                      <w:color w:val="auto"/>
                      <w:kern w:val="18"/>
                      <w:sz w:val="18"/>
                      <w:szCs w:val="18"/>
                    </w:rPr>
                  </w:pPr>
                  <w:r>
                    <w:rPr>
                      <w:rFonts w:hint="eastAsia" w:ascii="Times New Roman" w:hAnsi="Times New Roman" w:cs="Times New Roman"/>
                      <w:color w:val="auto"/>
                      <w:kern w:val="18"/>
                      <w:sz w:val="18"/>
                      <w:szCs w:val="18"/>
                    </w:rPr>
                    <w:t>120.688647</w:t>
                  </w:r>
                </w:p>
              </w:tc>
              <w:tc>
                <w:tcPr>
                  <w:tcW w:w="1213" w:type="dxa"/>
                  <w:vAlign w:val="center"/>
                </w:tcPr>
                <w:p w14:paraId="08DAE122">
                  <w:pPr>
                    <w:pStyle w:val="11"/>
                    <w:adjustRightInd w:val="0"/>
                    <w:snapToGrid w:val="0"/>
                    <w:jc w:val="center"/>
                    <w:rPr>
                      <w:rFonts w:ascii="Times New Roman" w:hAnsi="Times New Roman" w:cs="Times New Roman"/>
                      <w:color w:val="auto"/>
                      <w:kern w:val="18"/>
                      <w:sz w:val="18"/>
                      <w:szCs w:val="18"/>
                    </w:rPr>
                  </w:pPr>
                  <w:r>
                    <w:rPr>
                      <w:rFonts w:hint="eastAsia" w:ascii="Times New Roman" w:hAnsi="Times New Roman" w:cs="Times New Roman"/>
                      <w:color w:val="auto"/>
                      <w:kern w:val="18"/>
                      <w:sz w:val="18"/>
                      <w:szCs w:val="18"/>
                    </w:rPr>
                    <w:t>32.544857</w:t>
                  </w:r>
                </w:p>
              </w:tc>
              <w:tc>
                <w:tcPr>
                  <w:tcW w:w="1051" w:type="dxa"/>
                  <w:vAlign w:val="center"/>
                </w:tcPr>
                <w:p w14:paraId="4FFB9604">
                  <w:pPr>
                    <w:snapToGrid w:val="0"/>
                    <w:jc w:val="center"/>
                    <w:rPr>
                      <w:sz w:val="18"/>
                      <w:szCs w:val="18"/>
                    </w:rPr>
                  </w:pPr>
                  <w:r>
                    <w:rPr>
                      <w:sz w:val="18"/>
                      <w:szCs w:val="18"/>
                    </w:rPr>
                    <w:t>居住区</w:t>
                  </w:r>
                </w:p>
              </w:tc>
              <w:tc>
                <w:tcPr>
                  <w:tcW w:w="1376" w:type="dxa"/>
                  <w:vAlign w:val="center"/>
                </w:tcPr>
                <w:p w14:paraId="01B6E7EE">
                  <w:pPr>
                    <w:snapToGrid w:val="0"/>
                    <w:jc w:val="center"/>
                    <w:rPr>
                      <w:sz w:val="18"/>
                      <w:szCs w:val="18"/>
                    </w:rPr>
                  </w:pPr>
                  <w:r>
                    <w:rPr>
                      <w:sz w:val="18"/>
                      <w:szCs w:val="18"/>
                    </w:rPr>
                    <w:t>约</w:t>
                  </w:r>
                  <w:r>
                    <w:rPr>
                      <w:rFonts w:hint="eastAsia"/>
                      <w:sz w:val="18"/>
                      <w:szCs w:val="18"/>
                    </w:rPr>
                    <w:t>60</w:t>
                  </w:r>
                  <w:r>
                    <w:rPr>
                      <w:sz w:val="18"/>
                      <w:szCs w:val="18"/>
                    </w:rPr>
                    <w:t>户/</w:t>
                  </w:r>
                  <w:r>
                    <w:rPr>
                      <w:rFonts w:hint="eastAsia"/>
                      <w:sz w:val="18"/>
                      <w:szCs w:val="18"/>
                    </w:rPr>
                    <w:t>210</w:t>
                  </w:r>
                  <w:r>
                    <w:rPr>
                      <w:sz w:val="18"/>
                      <w:szCs w:val="18"/>
                    </w:rPr>
                    <w:t>人</w:t>
                  </w:r>
                </w:p>
              </w:tc>
              <w:tc>
                <w:tcPr>
                  <w:tcW w:w="1062" w:type="dxa"/>
                  <w:vAlign w:val="center"/>
                </w:tcPr>
                <w:p w14:paraId="60EC4C15">
                  <w:pPr>
                    <w:snapToGrid w:val="0"/>
                    <w:jc w:val="center"/>
                    <w:rPr>
                      <w:kern w:val="18"/>
                      <w:sz w:val="18"/>
                      <w:szCs w:val="18"/>
                    </w:rPr>
                  </w:pPr>
                  <w:r>
                    <w:rPr>
                      <w:sz w:val="18"/>
                      <w:szCs w:val="18"/>
                    </w:rPr>
                    <w:t>二类区</w:t>
                  </w:r>
                </w:p>
              </w:tc>
              <w:tc>
                <w:tcPr>
                  <w:tcW w:w="830" w:type="dxa"/>
                  <w:vAlign w:val="center"/>
                </w:tcPr>
                <w:p w14:paraId="642FAB6E">
                  <w:pPr>
                    <w:snapToGrid w:val="0"/>
                    <w:jc w:val="center"/>
                    <w:rPr>
                      <w:sz w:val="18"/>
                      <w:szCs w:val="18"/>
                    </w:rPr>
                  </w:pPr>
                  <w:r>
                    <w:rPr>
                      <w:rFonts w:hint="eastAsia"/>
                      <w:sz w:val="18"/>
                      <w:szCs w:val="18"/>
                    </w:rPr>
                    <w:t>N</w:t>
                  </w:r>
                </w:p>
              </w:tc>
              <w:tc>
                <w:tcPr>
                  <w:tcW w:w="879" w:type="dxa"/>
                  <w:vAlign w:val="center"/>
                </w:tcPr>
                <w:p w14:paraId="13D077BA">
                  <w:pPr>
                    <w:snapToGrid w:val="0"/>
                    <w:jc w:val="center"/>
                    <w:rPr>
                      <w:sz w:val="18"/>
                      <w:szCs w:val="18"/>
                    </w:rPr>
                  </w:pPr>
                  <w:r>
                    <w:rPr>
                      <w:rFonts w:hint="eastAsia"/>
                      <w:sz w:val="18"/>
                      <w:szCs w:val="18"/>
                    </w:rPr>
                    <w:t>54</w:t>
                  </w:r>
                </w:p>
              </w:tc>
            </w:tr>
            <w:tr w14:paraId="4A58DF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1097" w:type="dxa"/>
                  <w:vAlign w:val="center"/>
                </w:tcPr>
                <w:p w14:paraId="3D68BC91">
                  <w:pPr>
                    <w:snapToGrid w:val="0"/>
                    <w:jc w:val="center"/>
                    <w:rPr>
                      <w:kern w:val="18"/>
                      <w:sz w:val="18"/>
                      <w:szCs w:val="18"/>
                    </w:rPr>
                  </w:pPr>
                  <w:r>
                    <w:rPr>
                      <w:rFonts w:hint="eastAsia"/>
                      <w:kern w:val="18"/>
                      <w:sz w:val="18"/>
                      <w:szCs w:val="18"/>
                    </w:rPr>
                    <w:t>富庄村</w:t>
                  </w:r>
                </w:p>
              </w:tc>
              <w:tc>
                <w:tcPr>
                  <w:tcW w:w="1213" w:type="dxa"/>
                  <w:vAlign w:val="center"/>
                </w:tcPr>
                <w:p w14:paraId="7616E382">
                  <w:pPr>
                    <w:pStyle w:val="11"/>
                    <w:adjustRightInd w:val="0"/>
                    <w:snapToGrid w:val="0"/>
                    <w:jc w:val="center"/>
                    <w:rPr>
                      <w:rFonts w:ascii="Times New Roman" w:hAnsi="Times New Roman" w:cs="Times New Roman"/>
                      <w:color w:val="auto"/>
                      <w:kern w:val="18"/>
                      <w:sz w:val="18"/>
                      <w:szCs w:val="18"/>
                    </w:rPr>
                  </w:pPr>
                  <w:r>
                    <w:rPr>
                      <w:rFonts w:hint="eastAsia" w:ascii="Times New Roman" w:hAnsi="Times New Roman" w:cs="Times New Roman"/>
                      <w:color w:val="auto"/>
                      <w:kern w:val="18"/>
                      <w:sz w:val="18"/>
                      <w:szCs w:val="18"/>
                    </w:rPr>
                    <w:t>120.689409</w:t>
                  </w:r>
                </w:p>
              </w:tc>
              <w:tc>
                <w:tcPr>
                  <w:tcW w:w="1213" w:type="dxa"/>
                  <w:vAlign w:val="center"/>
                </w:tcPr>
                <w:p w14:paraId="6722F473">
                  <w:pPr>
                    <w:pStyle w:val="11"/>
                    <w:adjustRightInd w:val="0"/>
                    <w:snapToGrid w:val="0"/>
                    <w:jc w:val="center"/>
                    <w:rPr>
                      <w:rFonts w:ascii="Times New Roman" w:hAnsi="Times New Roman" w:cs="Times New Roman"/>
                      <w:color w:val="auto"/>
                      <w:kern w:val="18"/>
                      <w:sz w:val="18"/>
                      <w:szCs w:val="18"/>
                    </w:rPr>
                  </w:pPr>
                  <w:r>
                    <w:rPr>
                      <w:rFonts w:hint="eastAsia" w:ascii="Times New Roman" w:hAnsi="Times New Roman" w:cs="Times New Roman"/>
                      <w:color w:val="auto"/>
                      <w:kern w:val="18"/>
                      <w:sz w:val="18"/>
                      <w:szCs w:val="18"/>
                    </w:rPr>
                    <w:t>32.544878</w:t>
                  </w:r>
                </w:p>
              </w:tc>
              <w:tc>
                <w:tcPr>
                  <w:tcW w:w="1051" w:type="dxa"/>
                  <w:vAlign w:val="center"/>
                </w:tcPr>
                <w:p w14:paraId="4308D44A">
                  <w:pPr>
                    <w:snapToGrid w:val="0"/>
                    <w:jc w:val="center"/>
                    <w:rPr>
                      <w:sz w:val="18"/>
                      <w:szCs w:val="18"/>
                    </w:rPr>
                  </w:pPr>
                  <w:r>
                    <w:rPr>
                      <w:sz w:val="18"/>
                      <w:szCs w:val="18"/>
                    </w:rPr>
                    <w:t>居住区</w:t>
                  </w:r>
                </w:p>
              </w:tc>
              <w:tc>
                <w:tcPr>
                  <w:tcW w:w="1376" w:type="dxa"/>
                  <w:vAlign w:val="center"/>
                </w:tcPr>
                <w:p w14:paraId="44C50608">
                  <w:pPr>
                    <w:snapToGrid w:val="0"/>
                    <w:jc w:val="center"/>
                    <w:rPr>
                      <w:sz w:val="18"/>
                      <w:szCs w:val="18"/>
                    </w:rPr>
                  </w:pPr>
                  <w:r>
                    <w:rPr>
                      <w:rFonts w:hint="eastAsia"/>
                      <w:sz w:val="18"/>
                      <w:szCs w:val="18"/>
                    </w:rPr>
                    <w:t>约44户/154人</w:t>
                  </w:r>
                </w:p>
              </w:tc>
              <w:tc>
                <w:tcPr>
                  <w:tcW w:w="1062" w:type="dxa"/>
                  <w:vAlign w:val="center"/>
                </w:tcPr>
                <w:p w14:paraId="55853101">
                  <w:pPr>
                    <w:snapToGrid w:val="0"/>
                    <w:jc w:val="center"/>
                    <w:rPr>
                      <w:kern w:val="18"/>
                      <w:sz w:val="18"/>
                      <w:szCs w:val="18"/>
                    </w:rPr>
                  </w:pPr>
                  <w:r>
                    <w:rPr>
                      <w:sz w:val="18"/>
                      <w:szCs w:val="18"/>
                    </w:rPr>
                    <w:t>二类区</w:t>
                  </w:r>
                </w:p>
              </w:tc>
              <w:tc>
                <w:tcPr>
                  <w:tcW w:w="830" w:type="dxa"/>
                  <w:vAlign w:val="center"/>
                </w:tcPr>
                <w:p w14:paraId="71B5D3DE">
                  <w:pPr>
                    <w:snapToGrid w:val="0"/>
                    <w:jc w:val="center"/>
                    <w:rPr>
                      <w:sz w:val="18"/>
                      <w:szCs w:val="18"/>
                    </w:rPr>
                  </w:pPr>
                  <w:r>
                    <w:rPr>
                      <w:rFonts w:hint="eastAsia"/>
                      <w:sz w:val="18"/>
                      <w:szCs w:val="18"/>
                    </w:rPr>
                    <w:t>NE</w:t>
                  </w:r>
                </w:p>
              </w:tc>
              <w:tc>
                <w:tcPr>
                  <w:tcW w:w="879" w:type="dxa"/>
                  <w:vAlign w:val="center"/>
                </w:tcPr>
                <w:p w14:paraId="678DEA0D">
                  <w:pPr>
                    <w:snapToGrid w:val="0"/>
                    <w:jc w:val="center"/>
                    <w:rPr>
                      <w:sz w:val="18"/>
                      <w:szCs w:val="18"/>
                    </w:rPr>
                  </w:pPr>
                  <w:r>
                    <w:rPr>
                      <w:rFonts w:hint="eastAsia"/>
                      <w:sz w:val="18"/>
                      <w:szCs w:val="18"/>
                    </w:rPr>
                    <w:t>83</w:t>
                  </w:r>
                </w:p>
              </w:tc>
            </w:tr>
            <w:tr w14:paraId="5BD338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1097" w:type="dxa"/>
                  <w:vAlign w:val="center"/>
                </w:tcPr>
                <w:p w14:paraId="4E719F88">
                  <w:pPr>
                    <w:snapToGrid w:val="0"/>
                    <w:jc w:val="center"/>
                    <w:rPr>
                      <w:kern w:val="18"/>
                      <w:sz w:val="18"/>
                      <w:szCs w:val="18"/>
                    </w:rPr>
                  </w:pPr>
                  <w:r>
                    <w:rPr>
                      <w:rFonts w:hint="eastAsia"/>
                      <w:kern w:val="18"/>
                      <w:sz w:val="18"/>
                      <w:szCs w:val="18"/>
                    </w:rPr>
                    <w:t>富庄村</w:t>
                  </w:r>
                </w:p>
              </w:tc>
              <w:tc>
                <w:tcPr>
                  <w:tcW w:w="1213" w:type="dxa"/>
                  <w:vAlign w:val="center"/>
                </w:tcPr>
                <w:p w14:paraId="78020BE1">
                  <w:pPr>
                    <w:pStyle w:val="11"/>
                    <w:adjustRightInd w:val="0"/>
                    <w:snapToGrid w:val="0"/>
                    <w:jc w:val="center"/>
                    <w:rPr>
                      <w:rFonts w:ascii="Times New Roman" w:hAnsi="Times New Roman" w:cs="Times New Roman"/>
                      <w:color w:val="auto"/>
                      <w:kern w:val="18"/>
                      <w:sz w:val="18"/>
                      <w:szCs w:val="18"/>
                    </w:rPr>
                  </w:pPr>
                  <w:r>
                    <w:rPr>
                      <w:rFonts w:hint="eastAsia" w:ascii="Times New Roman" w:hAnsi="Times New Roman" w:cs="Times New Roman"/>
                      <w:color w:val="auto"/>
                      <w:kern w:val="18"/>
                      <w:sz w:val="18"/>
                      <w:szCs w:val="18"/>
                    </w:rPr>
                    <w:t>120.688610</w:t>
                  </w:r>
                </w:p>
              </w:tc>
              <w:tc>
                <w:tcPr>
                  <w:tcW w:w="1213" w:type="dxa"/>
                  <w:vAlign w:val="center"/>
                </w:tcPr>
                <w:p w14:paraId="018EB106">
                  <w:pPr>
                    <w:pStyle w:val="11"/>
                    <w:adjustRightInd w:val="0"/>
                    <w:snapToGrid w:val="0"/>
                    <w:jc w:val="center"/>
                    <w:rPr>
                      <w:rFonts w:ascii="Times New Roman" w:hAnsi="Times New Roman" w:cs="Times New Roman"/>
                      <w:color w:val="auto"/>
                      <w:kern w:val="18"/>
                      <w:sz w:val="18"/>
                      <w:szCs w:val="18"/>
                    </w:rPr>
                  </w:pPr>
                  <w:r>
                    <w:rPr>
                      <w:rFonts w:hint="eastAsia" w:ascii="Times New Roman" w:hAnsi="Times New Roman" w:cs="Times New Roman"/>
                      <w:color w:val="auto"/>
                      <w:kern w:val="18"/>
                      <w:sz w:val="18"/>
                      <w:szCs w:val="18"/>
                    </w:rPr>
                    <w:t>32.540184</w:t>
                  </w:r>
                </w:p>
              </w:tc>
              <w:tc>
                <w:tcPr>
                  <w:tcW w:w="1051" w:type="dxa"/>
                  <w:vAlign w:val="center"/>
                </w:tcPr>
                <w:p w14:paraId="5A29F770">
                  <w:pPr>
                    <w:snapToGrid w:val="0"/>
                    <w:jc w:val="center"/>
                    <w:rPr>
                      <w:sz w:val="18"/>
                      <w:szCs w:val="18"/>
                    </w:rPr>
                  </w:pPr>
                  <w:r>
                    <w:rPr>
                      <w:sz w:val="18"/>
                      <w:szCs w:val="18"/>
                    </w:rPr>
                    <w:t>居住区</w:t>
                  </w:r>
                </w:p>
              </w:tc>
              <w:tc>
                <w:tcPr>
                  <w:tcW w:w="1376" w:type="dxa"/>
                  <w:vAlign w:val="center"/>
                </w:tcPr>
                <w:p w14:paraId="17066FBD">
                  <w:pPr>
                    <w:snapToGrid w:val="0"/>
                    <w:jc w:val="center"/>
                    <w:rPr>
                      <w:sz w:val="18"/>
                      <w:szCs w:val="18"/>
                    </w:rPr>
                  </w:pPr>
                  <w:r>
                    <w:rPr>
                      <w:rFonts w:hint="eastAsia"/>
                      <w:sz w:val="18"/>
                      <w:szCs w:val="18"/>
                    </w:rPr>
                    <w:t>约12户/42人</w:t>
                  </w:r>
                </w:p>
              </w:tc>
              <w:tc>
                <w:tcPr>
                  <w:tcW w:w="1062" w:type="dxa"/>
                  <w:vAlign w:val="center"/>
                </w:tcPr>
                <w:p w14:paraId="6CF961C0">
                  <w:pPr>
                    <w:snapToGrid w:val="0"/>
                    <w:jc w:val="center"/>
                    <w:rPr>
                      <w:sz w:val="18"/>
                      <w:szCs w:val="18"/>
                    </w:rPr>
                  </w:pPr>
                  <w:r>
                    <w:rPr>
                      <w:sz w:val="18"/>
                      <w:szCs w:val="18"/>
                    </w:rPr>
                    <w:t>二类区</w:t>
                  </w:r>
                </w:p>
              </w:tc>
              <w:tc>
                <w:tcPr>
                  <w:tcW w:w="830" w:type="dxa"/>
                  <w:vAlign w:val="center"/>
                </w:tcPr>
                <w:p w14:paraId="3627F684">
                  <w:pPr>
                    <w:snapToGrid w:val="0"/>
                    <w:jc w:val="center"/>
                    <w:rPr>
                      <w:sz w:val="18"/>
                      <w:szCs w:val="18"/>
                    </w:rPr>
                  </w:pPr>
                  <w:r>
                    <w:rPr>
                      <w:rFonts w:hint="eastAsia"/>
                      <w:sz w:val="18"/>
                      <w:szCs w:val="18"/>
                    </w:rPr>
                    <w:t>S</w:t>
                  </w:r>
                </w:p>
              </w:tc>
              <w:tc>
                <w:tcPr>
                  <w:tcW w:w="879" w:type="dxa"/>
                  <w:vAlign w:val="center"/>
                </w:tcPr>
                <w:p w14:paraId="3628F1DB">
                  <w:pPr>
                    <w:snapToGrid w:val="0"/>
                    <w:jc w:val="center"/>
                    <w:rPr>
                      <w:sz w:val="18"/>
                      <w:szCs w:val="18"/>
                    </w:rPr>
                  </w:pPr>
                  <w:r>
                    <w:rPr>
                      <w:rFonts w:hint="eastAsia"/>
                      <w:sz w:val="18"/>
                      <w:szCs w:val="18"/>
                    </w:rPr>
                    <w:t>428</w:t>
                  </w:r>
                </w:p>
              </w:tc>
            </w:tr>
          </w:tbl>
          <w:p w14:paraId="39EEC5E1">
            <w:pPr>
              <w:spacing w:line="360" w:lineRule="auto"/>
              <w:ind w:firstLine="420" w:firstLineChars="200"/>
              <w:rPr>
                <w:szCs w:val="21"/>
              </w:rPr>
            </w:pPr>
            <w:r>
              <w:rPr>
                <w:rFonts w:hint="eastAsia"/>
                <w:szCs w:val="21"/>
              </w:rPr>
              <w:t>*注：</w:t>
            </w:r>
            <w:r>
              <w:rPr>
                <w:rFonts w:hint="eastAsia"/>
                <w:kern w:val="0"/>
              </w:rPr>
              <w:t>本项目以租赁车间边界为本项目边界</w:t>
            </w:r>
            <w:r>
              <w:rPr>
                <w:rFonts w:hint="eastAsia"/>
                <w:szCs w:val="21"/>
              </w:rPr>
              <w:t>。</w:t>
            </w:r>
          </w:p>
          <w:p w14:paraId="512A5299">
            <w:pPr>
              <w:spacing w:line="360" w:lineRule="auto"/>
              <w:ind w:firstLine="422" w:firstLineChars="200"/>
              <w:rPr>
                <w:b/>
                <w:bCs/>
                <w:szCs w:val="21"/>
              </w:rPr>
            </w:pPr>
            <w:r>
              <w:rPr>
                <w:b/>
                <w:bCs/>
                <w:szCs w:val="21"/>
              </w:rPr>
              <w:t>2.声环境</w:t>
            </w:r>
          </w:p>
          <w:p w14:paraId="5FAF8CD9">
            <w:pPr>
              <w:spacing w:line="360" w:lineRule="auto"/>
              <w:ind w:firstLine="420" w:firstLineChars="200"/>
              <w:rPr>
                <w:szCs w:val="21"/>
              </w:rPr>
            </w:pPr>
            <w:r>
              <w:rPr>
                <w:szCs w:val="21"/>
              </w:rPr>
              <w:t>本项目位于</w:t>
            </w:r>
            <w:r>
              <w:rPr>
                <w:rFonts w:hint="eastAsia"/>
                <w:szCs w:val="21"/>
              </w:rPr>
              <w:t>江苏省南通市海安市李堡镇富庄村7组（江海路23号）</w:t>
            </w:r>
            <w:r>
              <w:rPr>
                <w:szCs w:val="21"/>
              </w:rPr>
              <w:t>，经现场勘查，项目周边50m范围内无声环境敏感目标。</w:t>
            </w:r>
          </w:p>
          <w:p w14:paraId="6CBB55CB">
            <w:pPr>
              <w:spacing w:line="360" w:lineRule="auto"/>
              <w:ind w:firstLine="422" w:firstLineChars="200"/>
              <w:rPr>
                <w:b/>
                <w:bCs/>
                <w:szCs w:val="21"/>
              </w:rPr>
            </w:pPr>
            <w:r>
              <w:rPr>
                <w:b/>
                <w:bCs/>
                <w:szCs w:val="21"/>
              </w:rPr>
              <w:t>3.地下水环境</w:t>
            </w:r>
          </w:p>
          <w:p w14:paraId="69D73B57">
            <w:pPr>
              <w:widowControl/>
              <w:shd w:val="clear" w:color="auto" w:fill="FFFFFF"/>
              <w:spacing w:line="360" w:lineRule="auto"/>
              <w:ind w:firstLine="420" w:firstLineChars="200"/>
              <w:jc w:val="left"/>
              <w:rPr>
                <w:bCs/>
                <w:spacing w:val="8"/>
                <w:kern w:val="0"/>
                <w:szCs w:val="21"/>
              </w:rPr>
            </w:pPr>
            <w:r>
              <w:rPr>
                <w:szCs w:val="21"/>
              </w:rPr>
              <w:t>本项目位于</w:t>
            </w:r>
            <w:r>
              <w:rPr>
                <w:rFonts w:hint="eastAsia"/>
                <w:szCs w:val="21"/>
              </w:rPr>
              <w:t>江苏省南通市海安市李堡镇富庄村7组（江海路23号）</w:t>
            </w:r>
            <w:r>
              <w:rPr>
                <w:szCs w:val="21"/>
              </w:rPr>
              <w:t>，经现场勘查，厂界外500米范围内无地下水集中式饮用水水源和热水、矿泉水、温泉等特殊地下水资源。</w:t>
            </w:r>
          </w:p>
          <w:p w14:paraId="010C5658">
            <w:pPr>
              <w:widowControl/>
              <w:shd w:val="clear" w:color="auto" w:fill="FFFFFF"/>
              <w:spacing w:line="360" w:lineRule="auto"/>
              <w:ind w:firstLine="454" w:firstLineChars="200"/>
              <w:jc w:val="left"/>
              <w:rPr>
                <w:b/>
                <w:spacing w:val="8"/>
                <w:kern w:val="0"/>
                <w:szCs w:val="21"/>
              </w:rPr>
            </w:pPr>
            <w:r>
              <w:rPr>
                <w:b/>
                <w:spacing w:val="8"/>
                <w:kern w:val="0"/>
                <w:szCs w:val="21"/>
              </w:rPr>
              <w:t>4.生态环境</w:t>
            </w:r>
          </w:p>
          <w:p w14:paraId="51592A5C">
            <w:pPr>
              <w:widowControl/>
              <w:shd w:val="clear" w:color="auto" w:fill="FFFFFF"/>
              <w:ind w:firstLine="420" w:firstLineChars="200"/>
              <w:jc w:val="left"/>
              <w:rPr>
                <w:snapToGrid w:val="0"/>
                <w:szCs w:val="21"/>
              </w:rPr>
            </w:pPr>
            <w:r>
              <w:rPr>
                <w:snapToGrid w:val="0"/>
                <w:szCs w:val="21"/>
              </w:rPr>
              <w:t>建设项目用地范围内无生态环境保护目标。</w:t>
            </w:r>
          </w:p>
          <w:p w14:paraId="64BAF4B2">
            <w:pPr>
              <w:widowControl/>
              <w:shd w:val="clear" w:color="auto" w:fill="FFFFFF"/>
              <w:ind w:firstLine="420" w:firstLineChars="200"/>
              <w:jc w:val="left"/>
              <w:rPr>
                <w:snapToGrid w:val="0"/>
                <w:szCs w:val="21"/>
              </w:rPr>
            </w:pPr>
          </w:p>
          <w:p w14:paraId="734A3DD5">
            <w:pPr>
              <w:widowControl/>
              <w:shd w:val="clear" w:color="auto" w:fill="FFFFFF"/>
              <w:ind w:firstLine="420" w:firstLineChars="200"/>
              <w:jc w:val="left"/>
              <w:rPr>
                <w:snapToGrid w:val="0"/>
                <w:szCs w:val="21"/>
              </w:rPr>
            </w:pPr>
          </w:p>
          <w:p w14:paraId="0233072C">
            <w:pPr>
              <w:widowControl/>
              <w:shd w:val="clear" w:color="auto" w:fill="FFFFFF"/>
              <w:ind w:firstLine="420" w:firstLineChars="200"/>
              <w:jc w:val="left"/>
              <w:rPr>
                <w:snapToGrid w:val="0"/>
                <w:szCs w:val="21"/>
              </w:rPr>
            </w:pPr>
          </w:p>
          <w:p w14:paraId="4AC2E6D4">
            <w:pPr>
              <w:widowControl/>
              <w:shd w:val="clear" w:color="auto" w:fill="FFFFFF"/>
              <w:ind w:firstLine="420" w:firstLineChars="200"/>
              <w:jc w:val="left"/>
              <w:rPr>
                <w:snapToGrid w:val="0"/>
                <w:szCs w:val="21"/>
              </w:rPr>
            </w:pPr>
          </w:p>
        </w:tc>
      </w:tr>
      <w:tr w14:paraId="2E5E14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25" w:hRule="atLeast"/>
          <w:jc w:val="center"/>
        </w:trPr>
        <w:tc>
          <w:tcPr>
            <w:tcW w:w="424" w:type="dxa"/>
            <w:tcMar>
              <w:left w:w="28" w:type="dxa"/>
              <w:right w:w="28" w:type="dxa"/>
            </w:tcMar>
            <w:vAlign w:val="center"/>
          </w:tcPr>
          <w:p w14:paraId="4A94A044">
            <w:pPr>
              <w:adjustRightInd w:val="0"/>
              <w:snapToGrid w:val="0"/>
              <w:jc w:val="center"/>
              <w:rPr>
                <w:kern w:val="0"/>
                <w:szCs w:val="21"/>
              </w:rPr>
            </w:pPr>
            <w:r>
              <w:rPr>
                <w:kern w:val="0"/>
                <w:szCs w:val="21"/>
              </w:rPr>
              <w:t>污染</w:t>
            </w:r>
          </w:p>
          <w:p w14:paraId="42D524B3">
            <w:pPr>
              <w:adjustRightInd w:val="0"/>
              <w:snapToGrid w:val="0"/>
              <w:jc w:val="center"/>
              <w:rPr>
                <w:kern w:val="0"/>
                <w:szCs w:val="21"/>
              </w:rPr>
            </w:pPr>
            <w:r>
              <w:rPr>
                <w:kern w:val="0"/>
                <w:szCs w:val="21"/>
              </w:rPr>
              <w:t>物排</w:t>
            </w:r>
          </w:p>
          <w:p w14:paraId="05EDB242">
            <w:pPr>
              <w:adjustRightInd w:val="0"/>
              <w:snapToGrid w:val="0"/>
              <w:jc w:val="center"/>
              <w:rPr>
                <w:kern w:val="0"/>
                <w:szCs w:val="21"/>
              </w:rPr>
            </w:pPr>
            <w:r>
              <w:rPr>
                <w:kern w:val="0"/>
                <w:szCs w:val="21"/>
              </w:rPr>
              <w:t>放控</w:t>
            </w:r>
          </w:p>
          <w:p w14:paraId="0ADC4F8B">
            <w:pPr>
              <w:adjustRightInd w:val="0"/>
              <w:snapToGrid w:val="0"/>
              <w:jc w:val="center"/>
              <w:rPr>
                <w:kern w:val="0"/>
                <w:szCs w:val="21"/>
              </w:rPr>
            </w:pPr>
            <w:r>
              <w:rPr>
                <w:kern w:val="0"/>
                <w:szCs w:val="21"/>
              </w:rPr>
              <w:t>制标</w:t>
            </w:r>
          </w:p>
          <w:p w14:paraId="40E43880">
            <w:pPr>
              <w:adjustRightInd w:val="0"/>
              <w:snapToGrid w:val="0"/>
              <w:jc w:val="center"/>
              <w:rPr>
                <w:kern w:val="0"/>
                <w:szCs w:val="21"/>
              </w:rPr>
            </w:pPr>
            <w:r>
              <w:rPr>
                <w:kern w:val="0"/>
                <w:szCs w:val="21"/>
              </w:rPr>
              <w:t>准</w:t>
            </w:r>
          </w:p>
        </w:tc>
        <w:tc>
          <w:tcPr>
            <w:tcW w:w="8967" w:type="dxa"/>
            <w:vAlign w:val="center"/>
          </w:tcPr>
          <w:p w14:paraId="0E585866">
            <w:pPr>
              <w:widowControl/>
              <w:shd w:val="clear" w:color="auto" w:fill="FFFFFF"/>
              <w:spacing w:line="360" w:lineRule="auto"/>
              <w:ind w:firstLine="454" w:firstLineChars="200"/>
              <w:jc w:val="left"/>
              <w:rPr>
                <w:b/>
                <w:spacing w:val="8"/>
                <w:kern w:val="0"/>
                <w:szCs w:val="21"/>
              </w:rPr>
            </w:pPr>
            <w:r>
              <w:rPr>
                <w:b/>
                <w:spacing w:val="8"/>
                <w:kern w:val="0"/>
                <w:szCs w:val="21"/>
              </w:rPr>
              <w:t>1.大气污染物排放标准</w:t>
            </w:r>
          </w:p>
          <w:p w14:paraId="6E4408FC">
            <w:pPr>
              <w:adjustRightInd w:val="0"/>
              <w:snapToGrid w:val="0"/>
              <w:spacing w:line="360" w:lineRule="auto"/>
              <w:ind w:firstLine="420" w:firstLineChars="200"/>
            </w:pPr>
            <w:r>
              <w:t>运营期项目</w:t>
            </w:r>
            <w:r>
              <w:rPr>
                <w:rFonts w:hint="eastAsia"/>
              </w:rPr>
              <w:t>产生的</w:t>
            </w:r>
            <w:r>
              <w:rPr>
                <w:rFonts w:hint="eastAsia"/>
                <w:lang w:val="en-US" w:eastAsia="zh-CN"/>
              </w:rPr>
              <w:t>苯系物、氮氧化物、</w:t>
            </w:r>
            <w:r>
              <w:rPr>
                <w:rFonts w:hint="eastAsia"/>
              </w:rPr>
              <w:t>非甲烷总烃、二甲苯、</w:t>
            </w:r>
            <w:r>
              <w:rPr>
                <w:rFonts w:hint="eastAsia"/>
                <w:color w:val="auto"/>
                <w:lang w:val="en-US" w:eastAsia="zh-CN"/>
              </w:rPr>
              <w:t>氯化氢、硫酸雾</w:t>
            </w:r>
            <w:r>
              <w:rPr>
                <w:rFonts w:hint="eastAsia"/>
                <w:lang w:eastAsia="zh-CN"/>
              </w:rPr>
              <w:t>、</w:t>
            </w:r>
            <w:r>
              <w:rPr>
                <w:rFonts w:hint="eastAsia"/>
                <w:lang w:val="en-US" w:eastAsia="zh-CN"/>
              </w:rPr>
              <w:t>氯苯类</w:t>
            </w:r>
            <w:r>
              <w:rPr>
                <w:rFonts w:hint="eastAsia"/>
                <w:color w:val="auto"/>
                <w:lang w:val="en-US" w:eastAsia="zh-CN"/>
              </w:rPr>
              <w:t>、苯胺类、酚类、</w:t>
            </w:r>
            <w:r>
              <w:rPr>
                <w:rFonts w:hint="eastAsia"/>
              </w:rPr>
              <w:t>甲醇执行《大气污染物综合排放标准》（</w:t>
            </w:r>
            <w:r>
              <w:t>DB32/4041-2021</w:t>
            </w:r>
            <w:r>
              <w:rPr>
                <w:rFonts w:hint="eastAsia"/>
              </w:rPr>
              <w:t>）表1、表3标准；</w:t>
            </w:r>
            <w:r>
              <w:rPr>
                <w:rFonts w:hint="eastAsia"/>
                <w:lang w:val="en-US" w:eastAsia="zh-CN"/>
              </w:rPr>
              <w:t>乙腈参照执行《化学工业挥发性有机物排放标准》（DB32/3151-2016）中的</w:t>
            </w:r>
            <w:r>
              <w:rPr>
                <w:rFonts w:hint="eastAsia"/>
              </w:rPr>
              <w:t>标准；氨气、</w:t>
            </w:r>
            <w:r>
              <w:rPr>
                <w:szCs w:val="21"/>
              </w:rPr>
              <w:t>臭气浓度</w:t>
            </w:r>
            <w:r>
              <w:rPr>
                <w:rFonts w:hint="eastAsia"/>
                <w:szCs w:val="21"/>
                <w:lang w:eastAsia="zh-CN"/>
              </w:rPr>
              <w:t>、</w:t>
            </w:r>
            <w:r>
              <w:rPr>
                <w:rFonts w:hint="eastAsia"/>
                <w:szCs w:val="21"/>
                <w:lang w:val="en-US" w:eastAsia="zh-CN"/>
              </w:rPr>
              <w:t>苯乙烯</w:t>
            </w:r>
            <w:r>
              <w:rPr>
                <w:rFonts w:hint="eastAsia"/>
                <w:szCs w:val="21"/>
              </w:rPr>
              <w:t>有组织、</w:t>
            </w:r>
            <w:r>
              <w:rPr>
                <w:szCs w:val="21"/>
              </w:rPr>
              <w:t>无组织排放监控浓度执行《恶臭污染物排放标准》（GB</w:t>
            </w:r>
            <w:r>
              <w:rPr>
                <w:rFonts w:hint="eastAsia"/>
                <w:szCs w:val="21"/>
              </w:rPr>
              <w:t>14554</w:t>
            </w:r>
            <w:r>
              <w:rPr>
                <w:szCs w:val="21"/>
              </w:rPr>
              <w:t>-93）中的</w:t>
            </w:r>
            <w:r>
              <w:rPr>
                <w:rFonts w:hint="eastAsia"/>
              </w:rPr>
              <w:t>标准</w:t>
            </w:r>
            <w:r>
              <w:rPr>
                <w:rFonts w:hint="eastAsia"/>
                <w:szCs w:val="21"/>
              </w:rPr>
              <w:t>；</w:t>
            </w:r>
            <w:r>
              <w:rPr>
                <w:rFonts w:hint="eastAsia"/>
              </w:rPr>
              <w:t>厂区内非甲烷总烃执行《大气污染物综合排放标准》（</w:t>
            </w:r>
            <w:r>
              <w:t>DB32/4041-2021</w:t>
            </w:r>
            <w:r>
              <w:rPr>
                <w:rFonts w:hint="eastAsia"/>
              </w:rPr>
              <w:t>）表</w:t>
            </w:r>
            <w:r>
              <w:t>2</w:t>
            </w:r>
            <w:r>
              <w:rPr>
                <w:rFonts w:hint="eastAsia"/>
              </w:rPr>
              <w:t>标准；</w:t>
            </w:r>
            <w:r>
              <w:t>具体排放限值见下表。</w:t>
            </w:r>
          </w:p>
          <w:p w14:paraId="431993C6">
            <w:pPr>
              <w:adjustRightInd w:val="0"/>
              <w:snapToGrid w:val="0"/>
              <w:jc w:val="center"/>
              <w:rPr>
                <w:b/>
                <w:bCs/>
              </w:rPr>
            </w:pPr>
            <w:r>
              <w:rPr>
                <w:b/>
                <w:bCs/>
              </w:rPr>
              <w:t>表3-</w:t>
            </w:r>
            <w:r>
              <w:rPr>
                <w:rFonts w:hint="eastAsia"/>
                <w:b/>
                <w:bCs/>
              </w:rPr>
              <w:t xml:space="preserve">5 </w:t>
            </w:r>
            <w:r>
              <w:rPr>
                <w:b/>
                <w:bCs/>
              </w:rPr>
              <w:t>大气污染物排放标准</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857"/>
              <w:gridCol w:w="1245"/>
              <w:gridCol w:w="1168"/>
              <w:gridCol w:w="1251"/>
              <w:gridCol w:w="877"/>
              <w:gridCol w:w="316"/>
              <w:gridCol w:w="1176"/>
              <w:gridCol w:w="1831"/>
            </w:tblGrid>
            <w:tr w14:paraId="16CA35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498" w:hRule="atLeast"/>
                <w:jc w:val="center"/>
              </w:trPr>
              <w:tc>
                <w:tcPr>
                  <w:tcW w:w="491" w:type="pct"/>
                  <w:vAlign w:val="center"/>
                </w:tcPr>
                <w:p w14:paraId="4746DFE2">
                  <w:pPr>
                    <w:jc w:val="center"/>
                    <w:rPr>
                      <w:b/>
                      <w:bCs/>
                      <w:sz w:val="18"/>
                      <w:szCs w:val="18"/>
                    </w:rPr>
                  </w:pPr>
                  <w:r>
                    <w:rPr>
                      <w:rFonts w:hint="eastAsia"/>
                      <w:b/>
                      <w:bCs/>
                      <w:sz w:val="18"/>
                      <w:szCs w:val="18"/>
                    </w:rPr>
                    <w:t>排放源</w:t>
                  </w:r>
                </w:p>
              </w:tc>
              <w:tc>
                <w:tcPr>
                  <w:tcW w:w="713" w:type="pct"/>
                  <w:vAlign w:val="center"/>
                </w:tcPr>
                <w:p w14:paraId="0507A97C">
                  <w:pPr>
                    <w:jc w:val="center"/>
                    <w:rPr>
                      <w:b/>
                      <w:bCs/>
                      <w:sz w:val="18"/>
                      <w:szCs w:val="18"/>
                    </w:rPr>
                  </w:pPr>
                  <w:r>
                    <w:rPr>
                      <w:rFonts w:hint="eastAsia"/>
                      <w:b/>
                      <w:bCs/>
                      <w:sz w:val="18"/>
                      <w:szCs w:val="18"/>
                    </w:rPr>
                    <w:t>产污工序</w:t>
                  </w:r>
                </w:p>
              </w:tc>
              <w:tc>
                <w:tcPr>
                  <w:tcW w:w="669" w:type="pct"/>
                  <w:vAlign w:val="center"/>
                </w:tcPr>
                <w:p w14:paraId="11FDBF5C">
                  <w:pPr>
                    <w:jc w:val="center"/>
                    <w:rPr>
                      <w:b/>
                      <w:bCs/>
                      <w:sz w:val="18"/>
                      <w:szCs w:val="18"/>
                    </w:rPr>
                  </w:pPr>
                  <w:r>
                    <w:rPr>
                      <w:b/>
                      <w:bCs/>
                      <w:sz w:val="18"/>
                      <w:szCs w:val="18"/>
                    </w:rPr>
                    <w:t>污染物</w:t>
                  </w:r>
                </w:p>
              </w:tc>
              <w:tc>
                <w:tcPr>
                  <w:tcW w:w="717" w:type="pct"/>
                  <w:vAlign w:val="center"/>
                </w:tcPr>
                <w:p w14:paraId="4EA2E092">
                  <w:pPr>
                    <w:jc w:val="center"/>
                    <w:rPr>
                      <w:b/>
                      <w:bCs/>
                      <w:sz w:val="18"/>
                      <w:szCs w:val="18"/>
                    </w:rPr>
                  </w:pPr>
                  <w:r>
                    <w:rPr>
                      <w:rFonts w:hint="eastAsia"/>
                      <w:b/>
                      <w:bCs/>
                      <w:sz w:val="18"/>
                      <w:szCs w:val="18"/>
                    </w:rPr>
                    <w:t>最高允许排放浓度</w:t>
                  </w:r>
                  <w:r>
                    <w:rPr>
                      <w:b/>
                      <w:bCs/>
                      <w:sz w:val="18"/>
                      <w:szCs w:val="18"/>
                    </w:rPr>
                    <w:t>mg/m</w:t>
                  </w:r>
                  <w:r>
                    <w:rPr>
                      <w:b/>
                      <w:bCs/>
                      <w:sz w:val="18"/>
                      <w:szCs w:val="18"/>
                      <w:vertAlign w:val="superscript"/>
                    </w:rPr>
                    <w:t>3</w:t>
                  </w:r>
                </w:p>
              </w:tc>
              <w:tc>
                <w:tcPr>
                  <w:tcW w:w="683" w:type="pct"/>
                  <w:gridSpan w:val="2"/>
                  <w:vAlign w:val="center"/>
                </w:tcPr>
                <w:p w14:paraId="598E2B10">
                  <w:pPr>
                    <w:jc w:val="center"/>
                    <w:rPr>
                      <w:b/>
                      <w:bCs/>
                      <w:sz w:val="18"/>
                      <w:szCs w:val="18"/>
                    </w:rPr>
                  </w:pPr>
                  <w:r>
                    <w:rPr>
                      <w:rFonts w:hint="eastAsia"/>
                      <w:b/>
                      <w:bCs/>
                      <w:sz w:val="18"/>
                      <w:szCs w:val="18"/>
                    </w:rPr>
                    <w:t>最高允许排放速率kg</w:t>
                  </w:r>
                  <w:r>
                    <w:rPr>
                      <w:b/>
                      <w:bCs/>
                      <w:sz w:val="18"/>
                      <w:szCs w:val="18"/>
                    </w:rPr>
                    <w:t>/h</w:t>
                  </w:r>
                </w:p>
              </w:tc>
              <w:tc>
                <w:tcPr>
                  <w:tcW w:w="674" w:type="pct"/>
                  <w:vAlign w:val="center"/>
                </w:tcPr>
                <w:p w14:paraId="3E16DF7A">
                  <w:pPr>
                    <w:jc w:val="center"/>
                    <w:rPr>
                      <w:b/>
                      <w:bCs/>
                      <w:sz w:val="18"/>
                      <w:szCs w:val="18"/>
                    </w:rPr>
                  </w:pPr>
                  <w:r>
                    <w:rPr>
                      <w:b/>
                      <w:bCs/>
                      <w:sz w:val="18"/>
                      <w:szCs w:val="18"/>
                    </w:rPr>
                    <w:t>污染物排放监控位置</w:t>
                  </w:r>
                </w:p>
              </w:tc>
              <w:tc>
                <w:tcPr>
                  <w:tcW w:w="1049" w:type="pct"/>
                  <w:vAlign w:val="center"/>
                </w:tcPr>
                <w:p w14:paraId="0E881CEC">
                  <w:pPr>
                    <w:jc w:val="center"/>
                    <w:rPr>
                      <w:b/>
                      <w:bCs/>
                      <w:sz w:val="18"/>
                      <w:szCs w:val="18"/>
                    </w:rPr>
                  </w:pPr>
                  <w:r>
                    <w:rPr>
                      <w:b/>
                      <w:bCs/>
                      <w:sz w:val="18"/>
                      <w:szCs w:val="18"/>
                    </w:rPr>
                    <w:t>排放标准</w:t>
                  </w:r>
                </w:p>
              </w:tc>
            </w:tr>
            <w:tr w14:paraId="4CB9F5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01" w:hRule="atLeast"/>
                <w:jc w:val="center"/>
              </w:trPr>
              <w:tc>
                <w:tcPr>
                  <w:tcW w:w="491" w:type="pct"/>
                  <w:vMerge w:val="restart"/>
                  <w:vAlign w:val="center"/>
                </w:tcPr>
                <w:p w14:paraId="667E7F17">
                  <w:pPr>
                    <w:jc w:val="center"/>
                  </w:pPr>
                  <w:r>
                    <w:rPr>
                      <w:rFonts w:hint="eastAsia"/>
                      <w:sz w:val="18"/>
                      <w:szCs w:val="18"/>
                    </w:rPr>
                    <w:t>D</w:t>
                  </w:r>
                  <w:r>
                    <w:rPr>
                      <w:sz w:val="18"/>
                      <w:szCs w:val="18"/>
                    </w:rPr>
                    <w:t>A00</w:t>
                  </w:r>
                  <w:r>
                    <w:rPr>
                      <w:rFonts w:hint="eastAsia"/>
                      <w:sz w:val="18"/>
                      <w:szCs w:val="18"/>
                    </w:rPr>
                    <w:t>1</w:t>
                  </w:r>
                </w:p>
              </w:tc>
              <w:tc>
                <w:tcPr>
                  <w:tcW w:w="713" w:type="pct"/>
                  <w:vMerge w:val="restart"/>
                  <w:vAlign w:val="center"/>
                </w:tcPr>
                <w:p w14:paraId="1DDE8719">
                  <w:pPr>
                    <w:jc w:val="center"/>
                    <w:rPr>
                      <w:sz w:val="18"/>
                      <w:szCs w:val="18"/>
                    </w:rPr>
                  </w:pPr>
                  <w:r>
                    <w:rPr>
                      <w:rFonts w:hint="eastAsia"/>
                      <w:sz w:val="18"/>
                      <w:szCs w:val="18"/>
                    </w:rPr>
                    <w:t>均质、均匀性初检、稳定性评估、危废仓库</w:t>
                  </w:r>
                </w:p>
              </w:tc>
              <w:tc>
                <w:tcPr>
                  <w:tcW w:w="669" w:type="pct"/>
                  <w:shd w:val="clear" w:color="auto" w:fill="auto"/>
                  <w:vAlign w:val="center"/>
                </w:tcPr>
                <w:p w14:paraId="7CF19994">
                  <w:pPr>
                    <w:jc w:val="center"/>
                    <w:rPr>
                      <w:rFonts w:hint="default" w:ascii="Times New Roman" w:hAnsi="Times New Roman" w:eastAsia="宋体" w:cs="Times New Roman"/>
                      <w:color w:val="0000FF"/>
                      <w:kern w:val="2"/>
                      <w:sz w:val="18"/>
                      <w:szCs w:val="18"/>
                      <w:lang w:val="en-US" w:eastAsia="zh-CN" w:bidi="ar-SA"/>
                    </w:rPr>
                  </w:pPr>
                  <w:r>
                    <w:rPr>
                      <w:rFonts w:hint="eastAsia"/>
                      <w:color w:val="0000FF"/>
                      <w:sz w:val="18"/>
                      <w:szCs w:val="18"/>
                      <w:lang w:val="en-US" w:eastAsia="zh-CN"/>
                    </w:rPr>
                    <w:t>苯系物</w:t>
                  </w:r>
                </w:p>
              </w:tc>
              <w:tc>
                <w:tcPr>
                  <w:tcW w:w="717" w:type="pct"/>
                  <w:shd w:val="clear" w:color="auto" w:fill="auto"/>
                  <w:vAlign w:val="center"/>
                </w:tcPr>
                <w:p w14:paraId="5B9DB840">
                  <w:pPr>
                    <w:jc w:val="center"/>
                    <w:rPr>
                      <w:rFonts w:hint="default" w:ascii="Times New Roman" w:hAnsi="Times New Roman" w:eastAsia="宋体" w:cs="Times New Roman"/>
                      <w:color w:val="0000FF"/>
                      <w:kern w:val="2"/>
                      <w:sz w:val="18"/>
                      <w:szCs w:val="18"/>
                      <w:lang w:val="en-US" w:eastAsia="zh-CN" w:bidi="ar-SA"/>
                    </w:rPr>
                  </w:pPr>
                  <w:r>
                    <w:rPr>
                      <w:rFonts w:hint="eastAsia" w:ascii="Times New Roman" w:hAnsi="Times New Roman" w:eastAsia="宋体" w:cs="Times New Roman"/>
                      <w:color w:val="0000FF"/>
                      <w:kern w:val="2"/>
                      <w:sz w:val="18"/>
                      <w:szCs w:val="18"/>
                      <w:lang w:val="en-US" w:eastAsia="zh-CN" w:bidi="ar-SA"/>
                    </w:rPr>
                    <w:t>25</w:t>
                  </w:r>
                </w:p>
              </w:tc>
              <w:tc>
                <w:tcPr>
                  <w:tcW w:w="683" w:type="pct"/>
                  <w:gridSpan w:val="2"/>
                  <w:shd w:val="clear" w:color="auto" w:fill="auto"/>
                  <w:vAlign w:val="center"/>
                </w:tcPr>
                <w:p w14:paraId="4CB26842">
                  <w:pPr>
                    <w:jc w:val="center"/>
                    <w:rPr>
                      <w:rFonts w:hint="default" w:ascii="Times New Roman" w:hAnsi="Times New Roman" w:eastAsia="宋体" w:cs="Times New Roman"/>
                      <w:color w:val="0000FF"/>
                      <w:kern w:val="2"/>
                      <w:sz w:val="18"/>
                      <w:szCs w:val="18"/>
                      <w:lang w:val="en-US" w:eastAsia="zh-CN" w:bidi="ar-SA"/>
                    </w:rPr>
                  </w:pPr>
                  <w:r>
                    <w:rPr>
                      <w:rFonts w:hint="eastAsia" w:eastAsia="宋体" w:cs="Times New Roman"/>
                      <w:color w:val="0000FF"/>
                      <w:kern w:val="2"/>
                      <w:sz w:val="18"/>
                      <w:szCs w:val="18"/>
                      <w:lang w:val="en-US" w:eastAsia="zh-CN" w:bidi="ar-SA"/>
                    </w:rPr>
                    <w:t>1.6</w:t>
                  </w:r>
                </w:p>
              </w:tc>
              <w:tc>
                <w:tcPr>
                  <w:tcW w:w="674" w:type="pct"/>
                  <w:vMerge w:val="restart"/>
                  <w:vAlign w:val="center"/>
                </w:tcPr>
                <w:p w14:paraId="7356933A">
                  <w:pPr>
                    <w:adjustRightInd w:val="0"/>
                    <w:snapToGrid w:val="0"/>
                    <w:jc w:val="center"/>
                    <w:rPr>
                      <w:sz w:val="18"/>
                      <w:szCs w:val="18"/>
                    </w:rPr>
                  </w:pPr>
                  <w:r>
                    <w:rPr>
                      <w:sz w:val="18"/>
                      <w:szCs w:val="18"/>
                    </w:rPr>
                    <w:t>车间或生产设施排气筒</w:t>
                  </w:r>
                </w:p>
              </w:tc>
              <w:tc>
                <w:tcPr>
                  <w:tcW w:w="1049" w:type="pct"/>
                  <w:vMerge w:val="restart"/>
                  <w:vAlign w:val="center"/>
                </w:tcPr>
                <w:p w14:paraId="5B5AFD72">
                  <w:pPr>
                    <w:adjustRightInd w:val="0"/>
                    <w:snapToGrid w:val="0"/>
                    <w:jc w:val="center"/>
                    <w:rPr>
                      <w:sz w:val="18"/>
                      <w:szCs w:val="18"/>
                    </w:rPr>
                  </w:pPr>
                  <w:r>
                    <w:rPr>
                      <w:rFonts w:hint="eastAsia"/>
                      <w:sz w:val="18"/>
                      <w:szCs w:val="18"/>
                    </w:rPr>
                    <w:t>《大气污染物综合排放标准》（</w:t>
                  </w:r>
                  <w:r>
                    <w:rPr>
                      <w:sz w:val="18"/>
                      <w:szCs w:val="18"/>
                    </w:rPr>
                    <w:t>DB32/4041-2021</w:t>
                  </w:r>
                  <w:r>
                    <w:rPr>
                      <w:rFonts w:hint="eastAsia"/>
                      <w:sz w:val="18"/>
                      <w:szCs w:val="18"/>
                    </w:rPr>
                    <w:t>）</w:t>
                  </w:r>
                </w:p>
              </w:tc>
            </w:tr>
            <w:tr w14:paraId="5017D3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01" w:hRule="atLeast"/>
                <w:jc w:val="center"/>
              </w:trPr>
              <w:tc>
                <w:tcPr>
                  <w:tcW w:w="491" w:type="pct"/>
                  <w:vMerge w:val="continue"/>
                  <w:vAlign w:val="center"/>
                </w:tcPr>
                <w:p w14:paraId="51374F01">
                  <w:pPr>
                    <w:jc w:val="center"/>
                    <w:rPr>
                      <w:rFonts w:hint="eastAsia"/>
                      <w:sz w:val="18"/>
                      <w:szCs w:val="18"/>
                    </w:rPr>
                  </w:pPr>
                </w:p>
              </w:tc>
              <w:tc>
                <w:tcPr>
                  <w:tcW w:w="713" w:type="pct"/>
                  <w:vMerge w:val="continue"/>
                  <w:vAlign w:val="center"/>
                </w:tcPr>
                <w:p w14:paraId="11AA939C">
                  <w:pPr>
                    <w:jc w:val="center"/>
                    <w:rPr>
                      <w:rFonts w:hint="eastAsia"/>
                      <w:sz w:val="18"/>
                      <w:szCs w:val="18"/>
                    </w:rPr>
                  </w:pPr>
                </w:p>
              </w:tc>
              <w:tc>
                <w:tcPr>
                  <w:tcW w:w="669" w:type="pct"/>
                  <w:shd w:val="clear" w:color="auto" w:fill="auto"/>
                  <w:vAlign w:val="center"/>
                </w:tcPr>
                <w:p w14:paraId="32294633">
                  <w:pPr>
                    <w:jc w:val="center"/>
                    <w:rPr>
                      <w:rFonts w:hint="eastAsia" w:ascii="Times New Roman" w:hAnsi="Times New Roman" w:eastAsia="宋体" w:cs="Times New Roman"/>
                      <w:color w:val="0000FF"/>
                      <w:kern w:val="2"/>
                      <w:sz w:val="18"/>
                      <w:szCs w:val="18"/>
                      <w:lang w:val="en-US" w:eastAsia="zh-CN" w:bidi="ar-SA"/>
                    </w:rPr>
                  </w:pPr>
                  <w:r>
                    <w:rPr>
                      <w:rFonts w:hint="eastAsia" w:cs="Times New Roman"/>
                      <w:color w:val="0000FF"/>
                      <w:kern w:val="2"/>
                      <w:sz w:val="18"/>
                      <w:szCs w:val="18"/>
                      <w:lang w:val="en-US" w:eastAsia="zh-CN" w:bidi="ar-SA"/>
                    </w:rPr>
                    <w:t>氮氧化物</w:t>
                  </w:r>
                </w:p>
              </w:tc>
              <w:tc>
                <w:tcPr>
                  <w:tcW w:w="717" w:type="pct"/>
                  <w:shd w:val="clear" w:color="auto" w:fill="auto"/>
                  <w:vAlign w:val="center"/>
                </w:tcPr>
                <w:p w14:paraId="3E91F648">
                  <w:pPr>
                    <w:jc w:val="center"/>
                    <w:rPr>
                      <w:rFonts w:hint="default" w:ascii="Times New Roman" w:hAnsi="Times New Roman" w:eastAsia="宋体" w:cs="Times New Roman"/>
                      <w:color w:val="0000FF"/>
                      <w:kern w:val="2"/>
                      <w:sz w:val="18"/>
                      <w:szCs w:val="18"/>
                      <w:lang w:val="en-US" w:eastAsia="zh-CN" w:bidi="ar-SA"/>
                    </w:rPr>
                  </w:pPr>
                  <w:r>
                    <w:rPr>
                      <w:rFonts w:hint="eastAsia" w:cs="Times New Roman"/>
                      <w:color w:val="0000FF"/>
                      <w:kern w:val="2"/>
                      <w:sz w:val="18"/>
                      <w:szCs w:val="18"/>
                      <w:lang w:val="en-US" w:eastAsia="zh-CN" w:bidi="ar-SA"/>
                    </w:rPr>
                    <w:t>100</w:t>
                  </w:r>
                </w:p>
              </w:tc>
              <w:tc>
                <w:tcPr>
                  <w:tcW w:w="683" w:type="pct"/>
                  <w:gridSpan w:val="2"/>
                  <w:shd w:val="clear" w:color="auto" w:fill="auto"/>
                  <w:vAlign w:val="center"/>
                </w:tcPr>
                <w:p w14:paraId="1A51678B">
                  <w:pPr>
                    <w:jc w:val="center"/>
                    <w:rPr>
                      <w:rFonts w:hint="default" w:ascii="Times New Roman" w:hAnsi="Times New Roman" w:eastAsia="宋体" w:cs="Times New Roman"/>
                      <w:color w:val="0000FF"/>
                      <w:kern w:val="2"/>
                      <w:sz w:val="18"/>
                      <w:szCs w:val="18"/>
                      <w:lang w:val="en-US" w:eastAsia="zh-CN" w:bidi="ar-SA"/>
                    </w:rPr>
                  </w:pPr>
                  <w:r>
                    <w:rPr>
                      <w:rFonts w:hint="eastAsia"/>
                      <w:color w:val="0000FF"/>
                      <w:sz w:val="18"/>
                      <w:szCs w:val="18"/>
                      <w:lang w:val="en-US" w:eastAsia="zh-CN"/>
                    </w:rPr>
                    <w:t>0.47</w:t>
                  </w:r>
                </w:p>
              </w:tc>
              <w:tc>
                <w:tcPr>
                  <w:tcW w:w="674" w:type="pct"/>
                  <w:vMerge w:val="continue"/>
                  <w:vAlign w:val="center"/>
                </w:tcPr>
                <w:p w14:paraId="64C1A42D">
                  <w:pPr>
                    <w:adjustRightInd w:val="0"/>
                    <w:snapToGrid w:val="0"/>
                    <w:jc w:val="center"/>
                    <w:rPr>
                      <w:sz w:val="18"/>
                      <w:szCs w:val="18"/>
                    </w:rPr>
                  </w:pPr>
                </w:p>
              </w:tc>
              <w:tc>
                <w:tcPr>
                  <w:tcW w:w="1049" w:type="pct"/>
                  <w:vMerge w:val="continue"/>
                  <w:vAlign w:val="center"/>
                </w:tcPr>
                <w:p w14:paraId="77C2C608">
                  <w:pPr>
                    <w:adjustRightInd w:val="0"/>
                    <w:snapToGrid w:val="0"/>
                    <w:jc w:val="center"/>
                    <w:rPr>
                      <w:rFonts w:hint="eastAsia"/>
                      <w:sz w:val="18"/>
                      <w:szCs w:val="18"/>
                    </w:rPr>
                  </w:pPr>
                </w:p>
              </w:tc>
            </w:tr>
            <w:tr w14:paraId="1CB603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01" w:hRule="atLeast"/>
                <w:jc w:val="center"/>
              </w:trPr>
              <w:tc>
                <w:tcPr>
                  <w:tcW w:w="491" w:type="pct"/>
                  <w:vMerge w:val="continue"/>
                  <w:vAlign w:val="center"/>
                </w:tcPr>
                <w:p w14:paraId="530D5CB8">
                  <w:pPr>
                    <w:jc w:val="center"/>
                    <w:rPr>
                      <w:rFonts w:hint="eastAsia"/>
                      <w:sz w:val="18"/>
                      <w:szCs w:val="18"/>
                    </w:rPr>
                  </w:pPr>
                </w:p>
              </w:tc>
              <w:tc>
                <w:tcPr>
                  <w:tcW w:w="713" w:type="pct"/>
                  <w:vMerge w:val="continue"/>
                  <w:vAlign w:val="center"/>
                </w:tcPr>
                <w:p w14:paraId="70129079">
                  <w:pPr>
                    <w:jc w:val="center"/>
                    <w:rPr>
                      <w:rFonts w:hint="eastAsia"/>
                      <w:sz w:val="18"/>
                      <w:szCs w:val="18"/>
                    </w:rPr>
                  </w:pPr>
                </w:p>
              </w:tc>
              <w:tc>
                <w:tcPr>
                  <w:tcW w:w="669" w:type="pct"/>
                  <w:shd w:val="clear" w:color="auto" w:fill="auto"/>
                  <w:vAlign w:val="center"/>
                </w:tcPr>
                <w:p w14:paraId="23844426">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非甲烷总烃</w:t>
                  </w:r>
                </w:p>
              </w:tc>
              <w:tc>
                <w:tcPr>
                  <w:tcW w:w="717" w:type="pct"/>
                  <w:shd w:val="clear" w:color="auto" w:fill="auto"/>
                  <w:vAlign w:val="center"/>
                </w:tcPr>
                <w:p w14:paraId="66D0A340">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60</w:t>
                  </w:r>
                </w:p>
              </w:tc>
              <w:tc>
                <w:tcPr>
                  <w:tcW w:w="683" w:type="pct"/>
                  <w:gridSpan w:val="2"/>
                  <w:shd w:val="clear" w:color="auto" w:fill="auto"/>
                  <w:vAlign w:val="center"/>
                </w:tcPr>
                <w:p w14:paraId="47259D86">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3</w:t>
                  </w:r>
                </w:p>
              </w:tc>
              <w:tc>
                <w:tcPr>
                  <w:tcW w:w="674" w:type="pct"/>
                  <w:vMerge w:val="continue"/>
                  <w:vAlign w:val="center"/>
                </w:tcPr>
                <w:p w14:paraId="1D84688F">
                  <w:pPr>
                    <w:adjustRightInd w:val="0"/>
                    <w:snapToGrid w:val="0"/>
                    <w:jc w:val="center"/>
                    <w:rPr>
                      <w:sz w:val="18"/>
                      <w:szCs w:val="18"/>
                    </w:rPr>
                  </w:pPr>
                </w:p>
              </w:tc>
              <w:tc>
                <w:tcPr>
                  <w:tcW w:w="1049" w:type="pct"/>
                  <w:vMerge w:val="continue"/>
                  <w:vAlign w:val="center"/>
                </w:tcPr>
                <w:p w14:paraId="6EF25D95">
                  <w:pPr>
                    <w:adjustRightInd w:val="0"/>
                    <w:snapToGrid w:val="0"/>
                    <w:jc w:val="center"/>
                    <w:rPr>
                      <w:rFonts w:hint="eastAsia"/>
                      <w:sz w:val="18"/>
                      <w:szCs w:val="18"/>
                    </w:rPr>
                  </w:pPr>
                </w:p>
              </w:tc>
            </w:tr>
            <w:tr w14:paraId="0DFBDF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46" w:hRule="atLeast"/>
                <w:jc w:val="center"/>
              </w:trPr>
              <w:tc>
                <w:tcPr>
                  <w:tcW w:w="491" w:type="pct"/>
                  <w:vMerge w:val="continue"/>
                  <w:vAlign w:val="center"/>
                </w:tcPr>
                <w:p w14:paraId="0DC2E842">
                  <w:pPr>
                    <w:jc w:val="center"/>
                    <w:rPr>
                      <w:rFonts w:hint="eastAsia"/>
                      <w:sz w:val="18"/>
                      <w:szCs w:val="18"/>
                    </w:rPr>
                  </w:pPr>
                </w:p>
              </w:tc>
              <w:tc>
                <w:tcPr>
                  <w:tcW w:w="713" w:type="pct"/>
                  <w:vMerge w:val="continue"/>
                  <w:vAlign w:val="center"/>
                </w:tcPr>
                <w:p w14:paraId="4E51717F">
                  <w:pPr>
                    <w:jc w:val="center"/>
                    <w:rPr>
                      <w:rFonts w:hint="eastAsia"/>
                      <w:sz w:val="18"/>
                      <w:szCs w:val="18"/>
                    </w:rPr>
                  </w:pPr>
                </w:p>
              </w:tc>
              <w:tc>
                <w:tcPr>
                  <w:tcW w:w="669" w:type="pct"/>
                  <w:shd w:val="clear" w:color="auto" w:fill="auto"/>
                  <w:vAlign w:val="center"/>
                </w:tcPr>
                <w:p w14:paraId="320236A9">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二甲苯</w:t>
                  </w:r>
                </w:p>
              </w:tc>
              <w:tc>
                <w:tcPr>
                  <w:tcW w:w="717" w:type="pct"/>
                  <w:shd w:val="clear" w:color="auto" w:fill="auto"/>
                  <w:vAlign w:val="center"/>
                </w:tcPr>
                <w:p w14:paraId="45B82DE6">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10</w:t>
                  </w:r>
                </w:p>
              </w:tc>
              <w:tc>
                <w:tcPr>
                  <w:tcW w:w="683" w:type="pct"/>
                  <w:gridSpan w:val="2"/>
                  <w:shd w:val="clear" w:color="auto" w:fill="auto"/>
                  <w:vAlign w:val="center"/>
                </w:tcPr>
                <w:p w14:paraId="2D42A3CC">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0.72</w:t>
                  </w:r>
                </w:p>
              </w:tc>
              <w:tc>
                <w:tcPr>
                  <w:tcW w:w="674" w:type="pct"/>
                  <w:vMerge w:val="continue"/>
                  <w:vAlign w:val="center"/>
                </w:tcPr>
                <w:p w14:paraId="03C30EDD">
                  <w:pPr>
                    <w:adjustRightInd w:val="0"/>
                    <w:snapToGrid w:val="0"/>
                    <w:jc w:val="center"/>
                    <w:rPr>
                      <w:sz w:val="18"/>
                      <w:szCs w:val="18"/>
                    </w:rPr>
                  </w:pPr>
                </w:p>
              </w:tc>
              <w:tc>
                <w:tcPr>
                  <w:tcW w:w="1049" w:type="pct"/>
                  <w:vMerge w:val="continue"/>
                  <w:vAlign w:val="center"/>
                </w:tcPr>
                <w:p w14:paraId="38314BA8">
                  <w:pPr>
                    <w:adjustRightInd w:val="0"/>
                    <w:snapToGrid w:val="0"/>
                    <w:jc w:val="center"/>
                    <w:rPr>
                      <w:rFonts w:hint="eastAsia"/>
                      <w:sz w:val="18"/>
                      <w:szCs w:val="18"/>
                    </w:rPr>
                  </w:pPr>
                </w:p>
              </w:tc>
            </w:tr>
            <w:tr w14:paraId="22314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46" w:hRule="atLeast"/>
                <w:jc w:val="center"/>
              </w:trPr>
              <w:tc>
                <w:tcPr>
                  <w:tcW w:w="491" w:type="pct"/>
                  <w:vMerge w:val="continue"/>
                  <w:vAlign w:val="center"/>
                </w:tcPr>
                <w:p w14:paraId="489FA902">
                  <w:pPr>
                    <w:jc w:val="center"/>
                    <w:rPr>
                      <w:rFonts w:hint="eastAsia"/>
                      <w:sz w:val="18"/>
                      <w:szCs w:val="18"/>
                    </w:rPr>
                  </w:pPr>
                </w:p>
              </w:tc>
              <w:tc>
                <w:tcPr>
                  <w:tcW w:w="713" w:type="pct"/>
                  <w:vMerge w:val="continue"/>
                  <w:vAlign w:val="center"/>
                </w:tcPr>
                <w:p w14:paraId="1D6F628A">
                  <w:pPr>
                    <w:jc w:val="center"/>
                    <w:rPr>
                      <w:rFonts w:hint="eastAsia"/>
                      <w:sz w:val="18"/>
                      <w:szCs w:val="18"/>
                    </w:rPr>
                  </w:pPr>
                </w:p>
              </w:tc>
              <w:tc>
                <w:tcPr>
                  <w:tcW w:w="669" w:type="pct"/>
                  <w:shd w:val="clear" w:color="auto" w:fill="auto"/>
                  <w:vAlign w:val="center"/>
                </w:tcPr>
                <w:p w14:paraId="4AEF183D">
                  <w:pPr>
                    <w:jc w:val="center"/>
                    <w:rPr>
                      <w:rFonts w:hint="eastAsia"/>
                      <w:color w:val="0000FF"/>
                      <w:sz w:val="18"/>
                      <w:szCs w:val="18"/>
                    </w:rPr>
                  </w:pPr>
                  <w:r>
                    <w:rPr>
                      <w:rFonts w:hint="eastAsia"/>
                      <w:color w:val="0000FF"/>
                      <w:sz w:val="18"/>
                      <w:szCs w:val="18"/>
                      <w:lang w:val="en-US" w:eastAsia="zh-CN"/>
                    </w:rPr>
                    <w:t>氯化氢</w:t>
                  </w:r>
                </w:p>
              </w:tc>
              <w:tc>
                <w:tcPr>
                  <w:tcW w:w="717" w:type="pct"/>
                  <w:shd w:val="clear" w:color="auto" w:fill="auto"/>
                  <w:vAlign w:val="center"/>
                </w:tcPr>
                <w:p w14:paraId="38C9D71C">
                  <w:pPr>
                    <w:jc w:val="center"/>
                    <w:rPr>
                      <w:rFonts w:hint="default" w:eastAsia="宋体"/>
                      <w:color w:val="0000FF"/>
                      <w:sz w:val="18"/>
                      <w:szCs w:val="18"/>
                      <w:lang w:val="en-US" w:eastAsia="zh-CN"/>
                    </w:rPr>
                  </w:pPr>
                  <w:r>
                    <w:rPr>
                      <w:rFonts w:hint="eastAsia"/>
                      <w:color w:val="0000FF"/>
                      <w:sz w:val="18"/>
                      <w:szCs w:val="18"/>
                      <w:lang w:val="en-US" w:eastAsia="zh-CN"/>
                    </w:rPr>
                    <w:t>10</w:t>
                  </w:r>
                </w:p>
              </w:tc>
              <w:tc>
                <w:tcPr>
                  <w:tcW w:w="683" w:type="pct"/>
                  <w:gridSpan w:val="2"/>
                  <w:shd w:val="clear" w:color="auto" w:fill="auto"/>
                  <w:vAlign w:val="center"/>
                </w:tcPr>
                <w:p w14:paraId="6A0671AC">
                  <w:pPr>
                    <w:jc w:val="center"/>
                    <w:rPr>
                      <w:rFonts w:hint="default" w:eastAsia="宋体"/>
                      <w:color w:val="0000FF"/>
                      <w:sz w:val="18"/>
                      <w:szCs w:val="18"/>
                      <w:lang w:val="en-US" w:eastAsia="zh-CN"/>
                    </w:rPr>
                  </w:pPr>
                  <w:r>
                    <w:rPr>
                      <w:rFonts w:hint="eastAsia"/>
                      <w:color w:val="0000FF"/>
                      <w:sz w:val="18"/>
                      <w:szCs w:val="18"/>
                      <w:lang w:val="en-US" w:eastAsia="zh-CN"/>
                    </w:rPr>
                    <w:t>0.18</w:t>
                  </w:r>
                </w:p>
              </w:tc>
              <w:tc>
                <w:tcPr>
                  <w:tcW w:w="674" w:type="pct"/>
                  <w:vMerge w:val="continue"/>
                  <w:vAlign w:val="center"/>
                </w:tcPr>
                <w:p w14:paraId="30F939AD">
                  <w:pPr>
                    <w:adjustRightInd w:val="0"/>
                    <w:snapToGrid w:val="0"/>
                    <w:jc w:val="center"/>
                    <w:rPr>
                      <w:sz w:val="18"/>
                      <w:szCs w:val="18"/>
                    </w:rPr>
                  </w:pPr>
                </w:p>
              </w:tc>
              <w:tc>
                <w:tcPr>
                  <w:tcW w:w="1049" w:type="pct"/>
                  <w:vMerge w:val="continue"/>
                  <w:vAlign w:val="center"/>
                </w:tcPr>
                <w:p w14:paraId="04FDD41B">
                  <w:pPr>
                    <w:adjustRightInd w:val="0"/>
                    <w:snapToGrid w:val="0"/>
                    <w:jc w:val="center"/>
                    <w:rPr>
                      <w:rFonts w:hint="eastAsia"/>
                      <w:sz w:val="18"/>
                      <w:szCs w:val="18"/>
                    </w:rPr>
                  </w:pPr>
                </w:p>
              </w:tc>
            </w:tr>
            <w:tr w14:paraId="5013B6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01" w:hRule="atLeast"/>
                <w:jc w:val="center"/>
              </w:trPr>
              <w:tc>
                <w:tcPr>
                  <w:tcW w:w="491" w:type="pct"/>
                  <w:vMerge w:val="continue"/>
                  <w:vAlign w:val="center"/>
                </w:tcPr>
                <w:p w14:paraId="6261920B">
                  <w:pPr>
                    <w:jc w:val="center"/>
                    <w:rPr>
                      <w:rFonts w:hint="eastAsia"/>
                      <w:sz w:val="18"/>
                      <w:szCs w:val="18"/>
                    </w:rPr>
                  </w:pPr>
                </w:p>
              </w:tc>
              <w:tc>
                <w:tcPr>
                  <w:tcW w:w="713" w:type="pct"/>
                  <w:vMerge w:val="continue"/>
                  <w:vAlign w:val="center"/>
                </w:tcPr>
                <w:p w14:paraId="0EC4B162">
                  <w:pPr>
                    <w:jc w:val="center"/>
                    <w:rPr>
                      <w:rFonts w:hint="eastAsia"/>
                      <w:sz w:val="18"/>
                      <w:szCs w:val="18"/>
                    </w:rPr>
                  </w:pPr>
                </w:p>
              </w:tc>
              <w:tc>
                <w:tcPr>
                  <w:tcW w:w="669" w:type="pct"/>
                  <w:shd w:val="clear" w:color="auto" w:fill="auto"/>
                  <w:vAlign w:val="center"/>
                </w:tcPr>
                <w:p w14:paraId="4A5AFC90">
                  <w:pPr>
                    <w:jc w:val="center"/>
                    <w:rPr>
                      <w:rFonts w:hint="eastAsia"/>
                      <w:color w:val="0000FF"/>
                      <w:sz w:val="18"/>
                      <w:szCs w:val="18"/>
                    </w:rPr>
                  </w:pPr>
                  <w:r>
                    <w:rPr>
                      <w:rFonts w:hint="eastAsia"/>
                      <w:color w:val="0000FF"/>
                      <w:sz w:val="18"/>
                      <w:szCs w:val="18"/>
                      <w:lang w:val="en-US" w:eastAsia="zh-CN"/>
                    </w:rPr>
                    <w:t>硫酸雾</w:t>
                  </w:r>
                </w:p>
              </w:tc>
              <w:tc>
                <w:tcPr>
                  <w:tcW w:w="717" w:type="pct"/>
                  <w:shd w:val="clear" w:color="auto" w:fill="auto"/>
                  <w:vAlign w:val="center"/>
                </w:tcPr>
                <w:p w14:paraId="0F43543C">
                  <w:pPr>
                    <w:jc w:val="center"/>
                    <w:rPr>
                      <w:rFonts w:hint="eastAsia" w:eastAsia="宋体"/>
                      <w:color w:val="0000FF"/>
                      <w:sz w:val="18"/>
                      <w:szCs w:val="18"/>
                      <w:lang w:val="en-US" w:eastAsia="zh-CN"/>
                    </w:rPr>
                  </w:pPr>
                  <w:r>
                    <w:rPr>
                      <w:rFonts w:hint="eastAsia"/>
                      <w:color w:val="0000FF"/>
                      <w:sz w:val="18"/>
                      <w:szCs w:val="18"/>
                      <w:lang w:val="en-US" w:eastAsia="zh-CN"/>
                    </w:rPr>
                    <w:t>5</w:t>
                  </w:r>
                </w:p>
              </w:tc>
              <w:tc>
                <w:tcPr>
                  <w:tcW w:w="683" w:type="pct"/>
                  <w:gridSpan w:val="2"/>
                  <w:shd w:val="clear" w:color="auto" w:fill="auto"/>
                  <w:vAlign w:val="center"/>
                </w:tcPr>
                <w:p w14:paraId="42356D10">
                  <w:pPr>
                    <w:jc w:val="center"/>
                    <w:rPr>
                      <w:rFonts w:hint="default" w:eastAsia="宋体"/>
                      <w:color w:val="0000FF"/>
                      <w:sz w:val="18"/>
                      <w:szCs w:val="18"/>
                      <w:lang w:val="en-US" w:eastAsia="zh-CN"/>
                    </w:rPr>
                  </w:pPr>
                  <w:r>
                    <w:rPr>
                      <w:rFonts w:hint="eastAsia"/>
                      <w:color w:val="0000FF"/>
                      <w:sz w:val="18"/>
                      <w:szCs w:val="18"/>
                      <w:lang w:val="en-US" w:eastAsia="zh-CN"/>
                    </w:rPr>
                    <w:t>1.1</w:t>
                  </w:r>
                </w:p>
              </w:tc>
              <w:tc>
                <w:tcPr>
                  <w:tcW w:w="674" w:type="pct"/>
                  <w:vMerge w:val="continue"/>
                  <w:vAlign w:val="center"/>
                </w:tcPr>
                <w:p w14:paraId="67C2F5E7">
                  <w:pPr>
                    <w:adjustRightInd w:val="0"/>
                    <w:snapToGrid w:val="0"/>
                    <w:jc w:val="center"/>
                    <w:rPr>
                      <w:sz w:val="18"/>
                      <w:szCs w:val="18"/>
                    </w:rPr>
                  </w:pPr>
                </w:p>
              </w:tc>
              <w:tc>
                <w:tcPr>
                  <w:tcW w:w="1049" w:type="pct"/>
                  <w:vMerge w:val="continue"/>
                  <w:vAlign w:val="center"/>
                </w:tcPr>
                <w:p w14:paraId="5E3E3F88">
                  <w:pPr>
                    <w:adjustRightInd w:val="0"/>
                    <w:snapToGrid w:val="0"/>
                    <w:jc w:val="center"/>
                    <w:rPr>
                      <w:rFonts w:hint="eastAsia"/>
                      <w:sz w:val="18"/>
                      <w:szCs w:val="18"/>
                    </w:rPr>
                  </w:pPr>
                </w:p>
              </w:tc>
            </w:tr>
            <w:tr w14:paraId="38C552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16" w:hRule="atLeast"/>
                <w:jc w:val="center"/>
              </w:trPr>
              <w:tc>
                <w:tcPr>
                  <w:tcW w:w="491" w:type="pct"/>
                  <w:vMerge w:val="continue"/>
                  <w:vAlign w:val="center"/>
                </w:tcPr>
                <w:p w14:paraId="431D4338">
                  <w:pPr>
                    <w:jc w:val="center"/>
                    <w:rPr>
                      <w:rFonts w:hint="eastAsia"/>
                      <w:sz w:val="18"/>
                      <w:szCs w:val="18"/>
                    </w:rPr>
                  </w:pPr>
                </w:p>
              </w:tc>
              <w:tc>
                <w:tcPr>
                  <w:tcW w:w="713" w:type="pct"/>
                  <w:vMerge w:val="continue"/>
                  <w:vAlign w:val="center"/>
                </w:tcPr>
                <w:p w14:paraId="7D262FAB">
                  <w:pPr>
                    <w:jc w:val="center"/>
                    <w:rPr>
                      <w:rFonts w:hint="eastAsia"/>
                      <w:sz w:val="18"/>
                      <w:szCs w:val="18"/>
                    </w:rPr>
                  </w:pPr>
                </w:p>
              </w:tc>
              <w:tc>
                <w:tcPr>
                  <w:tcW w:w="669" w:type="pct"/>
                  <w:shd w:val="clear" w:color="auto" w:fill="auto"/>
                  <w:vAlign w:val="center"/>
                </w:tcPr>
                <w:p w14:paraId="17481708">
                  <w:pPr>
                    <w:jc w:val="center"/>
                    <w:rPr>
                      <w:rFonts w:hint="eastAsia" w:ascii="Times New Roman" w:hAnsi="Times New Roman" w:eastAsia="宋体" w:cs="Times New Roman"/>
                      <w:color w:val="0000FF"/>
                      <w:kern w:val="2"/>
                      <w:sz w:val="18"/>
                      <w:szCs w:val="18"/>
                      <w:lang w:val="en-US" w:eastAsia="zh-CN" w:bidi="ar-SA"/>
                    </w:rPr>
                  </w:pPr>
                  <w:r>
                    <w:rPr>
                      <w:rFonts w:hint="eastAsia"/>
                      <w:color w:val="0000FF"/>
                      <w:sz w:val="18"/>
                      <w:szCs w:val="18"/>
                      <w:lang w:val="en-US" w:eastAsia="zh-CN"/>
                    </w:rPr>
                    <w:t>氯苯类</w:t>
                  </w:r>
                </w:p>
              </w:tc>
              <w:tc>
                <w:tcPr>
                  <w:tcW w:w="717" w:type="pct"/>
                  <w:shd w:val="clear" w:color="auto" w:fill="auto"/>
                  <w:vAlign w:val="center"/>
                </w:tcPr>
                <w:p w14:paraId="0E17BCDD">
                  <w:pPr>
                    <w:jc w:val="center"/>
                    <w:rPr>
                      <w:rFonts w:hint="eastAsia" w:ascii="Times New Roman" w:hAnsi="Times New Roman" w:eastAsia="宋体" w:cs="Times New Roman"/>
                      <w:color w:val="0000FF"/>
                      <w:kern w:val="2"/>
                      <w:sz w:val="18"/>
                      <w:szCs w:val="18"/>
                      <w:lang w:val="en-US" w:eastAsia="zh-CN" w:bidi="ar-SA"/>
                    </w:rPr>
                  </w:pPr>
                  <w:r>
                    <w:rPr>
                      <w:rFonts w:hint="eastAsia"/>
                      <w:color w:val="0000FF"/>
                      <w:sz w:val="18"/>
                      <w:szCs w:val="18"/>
                      <w:lang w:val="en-US" w:eastAsia="zh-CN"/>
                    </w:rPr>
                    <w:t>20</w:t>
                  </w:r>
                </w:p>
              </w:tc>
              <w:tc>
                <w:tcPr>
                  <w:tcW w:w="683" w:type="pct"/>
                  <w:gridSpan w:val="2"/>
                  <w:shd w:val="clear" w:color="auto" w:fill="auto"/>
                  <w:vAlign w:val="center"/>
                </w:tcPr>
                <w:p w14:paraId="79682F02">
                  <w:pPr>
                    <w:jc w:val="center"/>
                    <w:rPr>
                      <w:rFonts w:hint="eastAsia" w:ascii="Times New Roman" w:hAnsi="Times New Roman" w:eastAsia="宋体" w:cs="Times New Roman"/>
                      <w:color w:val="0000FF"/>
                      <w:kern w:val="2"/>
                      <w:sz w:val="18"/>
                      <w:szCs w:val="18"/>
                      <w:lang w:val="en-US" w:eastAsia="zh-CN" w:bidi="ar-SA"/>
                    </w:rPr>
                  </w:pPr>
                  <w:r>
                    <w:rPr>
                      <w:rFonts w:hint="eastAsia"/>
                      <w:color w:val="0000FF"/>
                      <w:sz w:val="18"/>
                      <w:szCs w:val="18"/>
                      <w:lang w:val="en-US" w:eastAsia="zh-CN"/>
                    </w:rPr>
                    <w:t>0.36</w:t>
                  </w:r>
                </w:p>
              </w:tc>
              <w:tc>
                <w:tcPr>
                  <w:tcW w:w="674" w:type="pct"/>
                  <w:vMerge w:val="continue"/>
                  <w:vAlign w:val="center"/>
                </w:tcPr>
                <w:p w14:paraId="6920A680">
                  <w:pPr>
                    <w:adjustRightInd w:val="0"/>
                    <w:snapToGrid w:val="0"/>
                    <w:jc w:val="center"/>
                    <w:rPr>
                      <w:sz w:val="18"/>
                      <w:szCs w:val="18"/>
                    </w:rPr>
                  </w:pPr>
                </w:p>
              </w:tc>
              <w:tc>
                <w:tcPr>
                  <w:tcW w:w="1049" w:type="pct"/>
                  <w:vMerge w:val="continue"/>
                  <w:vAlign w:val="center"/>
                </w:tcPr>
                <w:p w14:paraId="4BE8FC5F">
                  <w:pPr>
                    <w:adjustRightInd w:val="0"/>
                    <w:snapToGrid w:val="0"/>
                    <w:jc w:val="center"/>
                    <w:rPr>
                      <w:rFonts w:hint="eastAsia"/>
                      <w:sz w:val="18"/>
                      <w:szCs w:val="18"/>
                    </w:rPr>
                  </w:pPr>
                </w:p>
              </w:tc>
            </w:tr>
            <w:tr w14:paraId="0D2850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16" w:hRule="atLeast"/>
                <w:jc w:val="center"/>
              </w:trPr>
              <w:tc>
                <w:tcPr>
                  <w:tcW w:w="491" w:type="pct"/>
                  <w:vMerge w:val="continue"/>
                  <w:vAlign w:val="center"/>
                </w:tcPr>
                <w:p w14:paraId="6BD506F7">
                  <w:pPr>
                    <w:jc w:val="center"/>
                    <w:rPr>
                      <w:rFonts w:hint="eastAsia"/>
                      <w:sz w:val="18"/>
                      <w:szCs w:val="18"/>
                    </w:rPr>
                  </w:pPr>
                </w:p>
              </w:tc>
              <w:tc>
                <w:tcPr>
                  <w:tcW w:w="713" w:type="pct"/>
                  <w:vMerge w:val="continue"/>
                  <w:vAlign w:val="center"/>
                </w:tcPr>
                <w:p w14:paraId="170BC1D7">
                  <w:pPr>
                    <w:jc w:val="center"/>
                    <w:rPr>
                      <w:rFonts w:hint="eastAsia"/>
                      <w:sz w:val="18"/>
                      <w:szCs w:val="18"/>
                    </w:rPr>
                  </w:pPr>
                </w:p>
              </w:tc>
              <w:tc>
                <w:tcPr>
                  <w:tcW w:w="669" w:type="pct"/>
                  <w:shd w:val="clear" w:color="auto" w:fill="auto"/>
                  <w:vAlign w:val="center"/>
                </w:tcPr>
                <w:p w14:paraId="26F2C681">
                  <w:pPr>
                    <w:jc w:val="center"/>
                    <w:rPr>
                      <w:rFonts w:hint="eastAsia"/>
                      <w:color w:val="0000FF"/>
                      <w:sz w:val="18"/>
                      <w:szCs w:val="18"/>
                      <w:lang w:val="en-US" w:eastAsia="zh-CN"/>
                    </w:rPr>
                  </w:pPr>
                  <w:r>
                    <w:rPr>
                      <w:rFonts w:hint="eastAsia"/>
                      <w:color w:val="0000FF"/>
                      <w:sz w:val="18"/>
                      <w:szCs w:val="18"/>
                      <w:lang w:val="en-US" w:eastAsia="zh-CN"/>
                    </w:rPr>
                    <w:t>苯胺类</w:t>
                  </w:r>
                </w:p>
              </w:tc>
              <w:tc>
                <w:tcPr>
                  <w:tcW w:w="717" w:type="pct"/>
                  <w:shd w:val="clear" w:color="auto" w:fill="auto"/>
                  <w:vAlign w:val="center"/>
                </w:tcPr>
                <w:p w14:paraId="510C2356">
                  <w:pPr>
                    <w:jc w:val="center"/>
                    <w:rPr>
                      <w:rFonts w:hint="default" w:eastAsia="宋体"/>
                      <w:color w:val="0000FF"/>
                      <w:sz w:val="18"/>
                      <w:szCs w:val="18"/>
                      <w:lang w:val="en-US" w:eastAsia="zh-CN"/>
                    </w:rPr>
                  </w:pPr>
                  <w:r>
                    <w:rPr>
                      <w:rFonts w:hint="eastAsia"/>
                      <w:color w:val="0000FF"/>
                      <w:sz w:val="18"/>
                      <w:szCs w:val="18"/>
                      <w:lang w:val="en-US" w:eastAsia="zh-CN"/>
                    </w:rPr>
                    <w:t>20</w:t>
                  </w:r>
                </w:p>
              </w:tc>
              <w:tc>
                <w:tcPr>
                  <w:tcW w:w="683" w:type="pct"/>
                  <w:gridSpan w:val="2"/>
                  <w:shd w:val="clear" w:color="auto" w:fill="auto"/>
                  <w:vAlign w:val="center"/>
                </w:tcPr>
                <w:p w14:paraId="631A3E8F">
                  <w:pPr>
                    <w:jc w:val="center"/>
                    <w:rPr>
                      <w:rFonts w:hint="default" w:eastAsia="宋体"/>
                      <w:color w:val="0000FF"/>
                      <w:sz w:val="18"/>
                      <w:szCs w:val="18"/>
                      <w:lang w:val="en-US" w:eastAsia="zh-CN"/>
                    </w:rPr>
                  </w:pPr>
                  <w:r>
                    <w:rPr>
                      <w:rFonts w:hint="eastAsia"/>
                      <w:color w:val="0000FF"/>
                      <w:sz w:val="18"/>
                      <w:szCs w:val="18"/>
                      <w:lang w:val="en-US" w:eastAsia="zh-CN"/>
                    </w:rPr>
                    <w:t>0.36</w:t>
                  </w:r>
                </w:p>
              </w:tc>
              <w:tc>
                <w:tcPr>
                  <w:tcW w:w="674" w:type="pct"/>
                  <w:vMerge w:val="continue"/>
                  <w:vAlign w:val="center"/>
                </w:tcPr>
                <w:p w14:paraId="23FFF623">
                  <w:pPr>
                    <w:adjustRightInd w:val="0"/>
                    <w:snapToGrid w:val="0"/>
                    <w:jc w:val="center"/>
                    <w:rPr>
                      <w:sz w:val="18"/>
                      <w:szCs w:val="18"/>
                    </w:rPr>
                  </w:pPr>
                </w:p>
              </w:tc>
              <w:tc>
                <w:tcPr>
                  <w:tcW w:w="1049" w:type="pct"/>
                  <w:vMerge w:val="continue"/>
                  <w:vAlign w:val="center"/>
                </w:tcPr>
                <w:p w14:paraId="160469D8">
                  <w:pPr>
                    <w:adjustRightInd w:val="0"/>
                    <w:snapToGrid w:val="0"/>
                    <w:jc w:val="center"/>
                    <w:rPr>
                      <w:rFonts w:hint="eastAsia"/>
                      <w:sz w:val="18"/>
                      <w:szCs w:val="18"/>
                    </w:rPr>
                  </w:pPr>
                </w:p>
              </w:tc>
            </w:tr>
            <w:tr w14:paraId="05D40E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16" w:hRule="atLeast"/>
                <w:jc w:val="center"/>
              </w:trPr>
              <w:tc>
                <w:tcPr>
                  <w:tcW w:w="491" w:type="pct"/>
                  <w:vMerge w:val="continue"/>
                  <w:vAlign w:val="center"/>
                </w:tcPr>
                <w:p w14:paraId="7226325E">
                  <w:pPr>
                    <w:jc w:val="center"/>
                    <w:rPr>
                      <w:rFonts w:hint="eastAsia"/>
                      <w:sz w:val="18"/>
                      <w:szCs w:val="18"/>
                    </w:rPr>
                  </w:pPr>
                </w:p>
              </w:tc>
              <w:tc>
                <w:tcPr>
                  <w:tcW w:w="713" w:type="pct"/>
                  <w:vMerge w:val="continue"/>
                  <w:vAlign w:val="center"/>
                </w:tcPr>
                <w:p w14:paraId="5D1D51C4">
                  <w:pPr>
                    <w:jc w:val="center"/>
                    <w:rPr>
                      <w:rFonts w:hint="eastAsia"/>
                      <w:sz w:val="18"/>
                      <w:szCs w:val="18"/>
                    </w:rPr>
                  </w:pPr>
                </w:p>
              </w:tc>
              <w:tc>
                <w:tcPr>
                  <w:tcW w:w="669" w:type="pct"/>
                  <w:shd w:val="clear" w:color="auto" w:fill="auto"/>
                  <w:vAlign w:val="center"/>
                </w:tcPr>
                <w:p w14:paraId="6888C352">
                  <w:pPr>
                    <w:jc w:val="center"/>
                    <w:rPr>
                      <w:rFonts w:hint="eastAsia"/>
                      <w:color w:val="0000FF"/>
                      <w:sz w:val="18"/>
                      <w:szCs w:val="18"/>
                      <w:lang w:val="en-US" w:eastAsia="zh-CN"/>
                    </w:rPr>
                  </w:pPr>
                  <w:r>
                    <w:rPr>
                      <w:rFonts w:hint="eastAsia"/>
                      <w:color w:val="0000FF"/>
                      <w:sz w:val="18"/>
                      <w:szCs w:val="18"/>
                      <w:lang w:val="en-US" w:eastAsia="zh-CN"/>
                    </w:rPr>
                    <w:t>酚类</w:t>
                  </w:r>
                </w:p>
              </w:tc>
              <w:tc>
                <w:tcPr>
                  <w:tcW w:w="717" w:type="pct"/>
                  <w:shd w:val="clear" w:color="auto" w:fill="auto"/>
                  <w:vAlign w:val="center"/>
                </w:tcPr>
                <w:p w14:paraId="4961E3DB">
                  <w:pPr>
                    <w:jc w:val="center"/>
                    <w:rPr>
                      <w:rFonts w:hint="default" w:eastAsia="宋体"/>
                      <w:color w:val="0000FF"/>
                      <w:sz w:val="18"/>
                      <w:szCs w:val="18"/>
                      <w:lang w:val="en-US" w:eastAsia="zh-CN"/>
                    </w:rPr>
                  </w:pPr>
                  <w:r>
                    <w:rPr>
                      <w:rFonts w:hint="eastAsia"/>
                      <w:color w:val="0000FF"/>
                      <w:sz w:val="18"/>
                      <w:szCs w:val="18"/>
                      <w:lang w:val="en-US" w:eastAsia="zh-CN"/>
                    </w:rPr>
                    <w:t>20</w:t>
                  </w:r>
                </w:p>
              </w:tc>
              <w:tc>
                <w:tcPr>
                  <w:tcW w:w="683" w:type="pct"/>
                  <w:gridSpan w:val="2"/>
                  <w:shd w:val="clear" w:color="auto" w:fill="auto"/>
                  <w:vAlign w:val="center"/>
                </w:tcPr>
                <w:p w14:paraId="7EDF9581">
                  <w:pPr>
                    <w:jc w:val="center"/>
                    <w:rPr>
                      <w:rFonts w:hint="default" w:eastAsia="宋体"/>
                      <w:color w:val="0000FF"/>
                      <w:sz w:val="18"/>
                      <w:szCs w:val="18"/>
                      <w:lang w:val="en-US" w:eastAsia="zh-CN"/>
                    </w:rPr>
                  </w:pPr>
                  <w:r>
                    <w:rPr>
                      <w:rFonts w:hint="eastAsia"/>
                      <w:color w:val="0000FF"/>
                      <w:sz w:val="18"/>
                      <w:szCs w:val="18"/>
                      <w:lang w:val="en-US" w:eastAsia="zh-CN"/>
                    </w:rPr>
                    <w:t>0.072</w:t>
                  </w:r>
                </w:p>
              </w:tc>
              <w:tc>
                <w:tcPr>
                  <w:tcW w:w="674" w:type="pct"/>
                  <w:vMerge w:val="continue"/>
                  <w:vAlign w:val="center"/>
                </w:tcPr>
                <w:p w14:paraId="50116EE1">
                  <w:pPr>
                    <w:adjustRightInd w:val="0"/>
                    <w:snapToGrid w:val="0"/>
                    <w:jc w:val="center"/>
                    <w:rPr>
                      <w:sz w:val="18"/>
                      <w:szCs w:val="18"/>
                    </w:rPr>
                  </w:pPr>
                </w:p>
              </w:tc>
              <w:tc>
                <w:tcPr>
                  <w:tcW w:w="1049" w:type="pct"/>
                  <w:vMerge w:val="continue"/>
                  <w:vAlign w:val="center"/>
                </w:tcPr>
                <w:p w14:paraId="103686CD">
                  <w:pPr>
                    <w:adjustRightInd w:val="0"/>
                    <w:snapToGrid w:val="0"/>
                    <w:jc w:val="center"/>
                    <w:rPr>
                      <w:rFonts w:hint="eastAsia"/>
                      <w:sz w:val="18"/>
                      <w:szCs w:val="18"/>
                    </w:rPr>
                  </w:pPr>
                </w:p>
              </w:tc>
            </w:tr>
            <w:tr w14:paraId="451265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90" w:hRule="atLeast"/>
                <w:jc w:val="center"/>
              </w:trPr>
              <w:tc>
                <w:tcPr>
                  <w:tcW w:w="491" w:type="pct"/>
                  <w:vMerge w:val="continue"/>
                  <w:vAlign w:val="center"/>
                </w:tcPr>
                <w:p w14:paraId="7F677DD9">
                  <w:pPr>
                    <w:jc w:val="center"/>
                    <w:rPr>
                      <w:rFonts w:hint="eastAsia"/>
                      <w:sz w:val="18"/>
                      <w:szCs w:val="18"/>
                    </w:rPr>
                  </w:pPr>
                </w:p>
              </w:tc>
              <w:tc>
                <w:tcPr>
                  <w:tcW w:w="713" w:type="pct"/>
                  <w:vMerge w:val="continue"/>
                  <w:vAlign w:val="center"/>
                </w:tcPr>
                <w:p w14:paraId="6BD770D3">
                  <w:pPr>
                    <w:jc w:val="center"/>
                    <w:rPr>
                      <w:rFonts w:hint="eastAsia"/>
                      <w:sz w:val="18"/>
                      <w:szCs w:val="18"/>
                    </w:rPr>
                  </w:pPr>
                </w:p>
              </w:tc>
              <w:tc>
                <w:tcPr>
                  <w:tcW w:w="669" w:type="pct"/>
                  <w:vAlign w:val="center"/>
                </w:tcPr>
                <w:p w14:paraId="1F1311DB">
                  <w:pPr>
                    <w:jc w:val="center"/>
                    <w:rPr>
                      <w:rFonts w:hint="eastAsia"/>
                      <w:color w:val="auto"/>
                      <w:sz w:val="18"/>
                      <w:szCs w:val="18"/>
                    </w:rPr>
                  </w:pPr>
                  <w:r>
                    <w:rPr>
                      <w:rFonts w:hint="eastAsia"/>
                      <w:color w:val="auto"/>
                      <w:sz w:val="18"/>
                      <w:szCs w:val="18"/>
                    </w:rPr>
                    <w:t>甲醇</w:t>
                  </w:r>
                </w:p>
              </w:tc>
              <w:tc>
                <w:tcPr>
                  <w:tcW w:w="717" w:type="pct"/>
                  <w:shd w:val="clear" w:color="auto" w:fill="auto"/>
                  <w:vAlign w:val="center"/>
                </w:tcPr>
                <w:p w14:paraId="21B38AC1">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50</w:t>
                  </w:r>
                </w:p>
              </w:tc>
              <w:tc>
                <w:tcPr>
                  <w:tcW w:w="683" w:type="pct"/>
                  <w:gridSpan w:val="2"/>
                  <w:shd w:val="clear" w:color="auto" w:fill="auto"/>
                  <w:vAlign w:val="center"/>
                </w:tcPr>
                <w:p w14:paraId="511307D9">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1.8</w:t>
                  </w:r>
                </w:p>
              </w:tc>
              <w:tc>
                <w:tcPr>
                  <w:tcW w:w="674" w:type="pct"/>
                  <w:vMerge w:val="continue"/>
                  <w:vAlign w:val="center"/>
                </w:tcPr>
                <w:p w14:paraId="7327E548">
                  <w:pPr>
                    <w:adjustRightInd w:val="0"/>
                    <w:snapToGrid w:val="0"/>
                    <w:jc w:val="center"/>
                    <w:rPr>
                      <w:sz w:val="18"/>
                      <w:szCs w:val="18"/>
                    </w:rPr>
                  </w:pPr>
                </w:p>
              </w:tc>
              <w:tc>
                <w:tcPr>
                  <w:tcW w:w="1049" w:type="pct"/>
                  <w:vMerge w:val="continue"/>
                  <w:vAlign w:val="center"/>
                </w:tcPr>
                <w:p w14:paraId="6CF67CC5">
                  <w:pPr>
                    <w:adjustRightInd w:val="0"/>
                    <w:snapToGrid w:val="0"/>
                    <w:jc w:val="center"/>
                    <w:rPr>
                      <w:rFonts w:hint="eastAsia"/>
                      <w:sz w:val="18"/>
                      <w:szCs w:val="18"/>
                    </w:rPr>
                  </w:pPr>
                </w:p>
              </w:tc>
            </w:tr>
            <w:tr w14:paraId="2669E6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58" w:hRule="atLeast"/>
                <w:jc w:val="center"/>
              </w:trPr>
              <w:tc>
                <w:tcPr>
                  <w:tcW w:w="491" w:type="pct"/>
                  <w:vMerge w:val="continue"/>
                  <w:vAlign w:val="center"/>
                </w:tcPr>
                <w:p w14:paraId="59E48458">
                  <w:pPr>
                    <w:jc w:val="center"/>
                    <w:rPr>
                      <w:sz w:val="18"/>
                      <w:szCs w:val="18"/>
                    </w:rPr>
                  </w:pPr>
                </w:p>
              </w:tc>
              <w:tc>
                <w:tcPr>
                  <w:tcW w:w="713" w:type="pct"/>
                  <w:vMerge w:val="continue"/>
                  <w:vAlign w:val="center"/>
                </w:tcPr>
                <w:p w14:paraId="0DAAB72B">
                  <w:pPr>
                    <w:jc w:val="center"/>
                    <w:rPr>
                      <w:sz w:val="18"/>
                      <w:szCs w:val="18"/>
                    </w:rPr>
                  </w:pPr>
                </w:p>
              </w:tc>
              <w:tc>
                <w:tcPr>
                  <w:tcW w:w="669" w:type="pct"/>
                  <w:vAlign w:val="center"/>
                </w:tcPr>
                <w:p w14:paraId="088E6768">
                  <w:pPr>
                    <w:jc w:val="center"/>
                    <w:rPr>
                      <w:rFonts w:hint="eastAsia" w:eastAsia="宋体"/>
                      <w:color w:val="0000FF"/>
                      <w:sz w:val="18"/>
                      <w:szCs w:val="18"/>
                      <w:lang w:val="en-US" w:eastAsia="zh-CN"/>
                    </w:rPr>
                  </w:pPr>
                  <w:r>
                    <w:rPr>
                      <w:rFonts w:hint="eastAsia"/>
                      <w:color w:val="0000FF"/>
                      <w:sz w:val="18"/>
                      <w:szCs w:val="18"/>
                      <w:lang w:val="en-US" w:eastAsia="zh-CN"/>
                    </w:rPr>
                    <w:t>乙腈</w:t>
                  </w:r>
                </w:p>
              </w:tc>
              <w:tc>
                <w:tcPr>
                  <w:tcW w:w="717" w:type="pct"/>
                  <w:vAlign w:val="center"/>
                </w:tcPr>
                <w:p w14:paraId="3ED56D9E">
                  <w:pPr>
                    <w:jc w:val="center"/>
                    <w:rPr>
                      <w:rFonts w:hint="default" w:eastAsia="宋体"/>
                      <w:color w:val="0000FF"/>
                      <w:sz w:val="18"/>
                      <w:szCs w:val="18"/>
                      <w:lang w:val="en-US" w:eastAsia="zh-CN"/>
                    </w:rPr>
                  </w:pPr>
                  <w:r>
                    <w:rPr>
                      <w:rFonts w:hint="eastAsia"/>
                      <w:color w:val="0000FF"/>
                      <w:sz w:val="18"/>
                      <w:szCs w:val="18"/>
                      <w:lang w:val="en-US" w:eastAsia="zh-CN"/>
                    </w:rPr>
                    <w:t>30</w:t>
                  </w:r>
                </w:p>
              </w:tc>
              <w:tc>
                <w:tcPr>
                  <w:tcW w:w="683" w:type="pct"/>
                  <w:gridSpan w:val="2"/>
                  <w:vAlign w:val="center"/>
                </w:tcPr>
                <w:p w14:paraId="62095BF9">
                  <w:pPr>
                    <w:jc w:val="center"/>
                    <w:rPr>
                      <w:rFonts w:hint="default" w:eastAsia="宋体"/>
                      <w:color w:val="0000FF"/>
                      <w:sz w:val="18"/>
                      <w:szCs w:val="18"/>
                      <w:lang w:val="en-US" w:eastAsia="zh-CN"/>
                    </w:rPr>
                  </w:pPr>
                  <w:r>
                    <w:rPr>
                      <w:rFonts w:hint="eastAsia"/>
                      <w:color w:val="0000FF"/>
                      <w:sz w:val="18"/>
                      <w:szCs w:val="18"/>
                      <w:lang w:val="en-US" w:eastAsia="zh-CN"/>
                    </w:rPr>
                    <w:t>1.1</w:t>
                  </w:r>
                </w:p>
              </w:tc>
              <w:tc>
                <w:tcPr>
                  <w:tcW w:w="674" w:type="pct"/>
                  <w:vAlign w:val="center"/>
                </w:tcPr>
                <w:p w14:paraId="162221D7">
                  <w:pPr>
                    <w:adjustRightInd w:val="0"/>
                    <w:snapToGrid w:val="0"/>
                    <w:jc w:val="center"/>
                    <w:rPr>
                      <w:rFonts w:hint="default" w:eastAsia="宋体"/>
                      <w:sz w:val="18"/>
                      <w:szCs w:val="18"/>
                      <w:lang w:val="en-US" w:eastAsia="zh-CN"/>
                    </w:rPr>
                  </w:pPr>
                  <w:r>
                    <w:rPr>
                      <w:rFonts w:hint="eastAsia"/>
                      <w:sz w:val="18"/>
                      <w:szCs w:val="18"/>
                    </w:rPr>
                    <w:t>排气筒</w:t>
                  </w:r>
                </w:p>
              </w:tc>
              <w:tc>
                <w:tcPr>
                  <w:tcW w:w="1049" w:type="pct"/>
                  <w:vAlign w:val="center"/>
                </w:tcPr>
                <w:p w14:paraId="78B9C4EE">
                  <w:pPr>
                    <w:adjustRightInd w:val="0"/>
                    <w:snapToGrid w:val="0"/>
                    <w:jc w:val="center"/>
                    <w:rPr>
                      <w:rFonts w:hint="default" w:eastAsia="宋体"/>
                      <w:sz w:val="18"/>
                      <w:szCs w:val="18"/>
                      <w:lang w:val="en-US" w:eastAsia="zh-CN"/>
                    </w:rPr>
                  </w:pPr>
                  <w:r>
                    <w:rPr>
                      <w:rFonts w:hint="eastAsia"/>
                      <w:sz w:val="18"/>
                      <w:szCs w:val="18"/>
                      <w:lang w:val="en-US" w:eastAsia="zh-CN"/>
                    </w:rPr>
                    <w:t>《化学工业挥发性有机物排放标准》（DB32/3151-2016）</w:t>
                  </w:r>
                </w:p>
              </w:tc>
            </w:tr>
            <w:tr w14:paraId="5A7865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88" w:hRule="atLeast"/>
                <w:jc w:val="center"/>
              </w:trPr>
              <w:tc>
                <w:tcPr>
                  <w:tcW w:w="491" w:type="pct"/>
                  <w:vMerge w:val="continue"/>
                  <w:vAlign w:val="center"/>
                </w:tcPr>
                <w:p w14:paraId="577761F8">
                  <w:pPr>
                    <w:jc w:val="center"/>
                    <w:rPr>
                      <w:sz w:val="18"/>
                      <w:szCs w:val="18"/>
                    </w:rPr>
                  </w:pPr>
                </w:p>
              </w:tc>
              <w:tc>
                <w:tcPr>
                  <w:tcW w:w="713" w:type="pct"/>
                  <w:vMerge w:val="continue"/>
                  <w:vAlign w:val="center"/>
                </w:tcPr>
                <w:p w14:paraId="618BE448">
                  <w:pPr>
                    <w:jc w:val="center"/>
                    <w:rPr>
                      <w:sz w:val="18"/>
                      <w:szCs w:val="18"/>
                    </w:rPr>
                  </w:pPr>
                </w:p>
              </w:tc>
              <w:tc>
                <w:tcPr>
                  <w:tcW w:w="669" w:type="pct"/>
                  <w:vAlign w:val="center"/>
                </w:tcPr>
                <w:p w14:paraId="4EC19272">
                  <w:pPr>
                    <w:jc w:val="center"/>
                    <w:rPr>
                      <w:sz w:val="18"/>
                      <w:szCs w:val="18"/>
                    </w:rPr>
                  </w:pPr>
                  <w:r>
                    <w:rPr>
                      <w:rFonts w:hint="eastAsia"/>
                      <w:sz w:val="18"/>
                      <w:szCs w:val="18"/>
                    </w:rPr>
                    <w:t>臭气浓度</w:t>
                  </w:r>
                </w:p>
              </w:tc>
              <w:tc>
                <w:tcPr>
                  <w:tcW w:w="717" w:type="pct"/>
                  <w:vAlign w:val="center"/>
                </w:tcPr>
                <w:p w14:paraId="731BF5A7">
                  <w:pPr>
                    <w:jc w:val="center"/>
                    <w:rPr>
                      <w:sz w:val="18"/>
                      <w:szCs w:val="18"/>
                    </w:rPr>
                  </w:pPr>
                  <w:r>
                    <w:rPr>
                      <w:rFonts w:hint="eastAsia"/>
                      <w:sz w:val="18"/>
                      <w:szCs w:val="18"/>
                    </w:rPr>
                    <w:t>2000（无量纲）</w:t>
                  </w:r>
                </w:p>
              </w:tc>
              <w:tc>
                <w:tcPr>
                  <w:tcW w:w="683" w:type="pct"/>
                  <w:gridSpan w:val="2"/>
                  <w:vAlign w:val="center"/>
                </w:tcPr>
                <w:p w14:paraId="12AC0A7F">
                  <w:pPr>
                    <w:jc w:val="center"/>
                    <w:rPr>
                      <w:sz w:val="18"/>
                      <w:szCs w:val="18"/>
                    </w:rPr>
                  </w:pPr>
                  <w:r>
                    <w:rPr>
                      <w:rFonts w:hint="eastAsia"/>
                      <w:sz w:val="18"/>
                      <w:szCs w:val="18"/>
                    </w:rPr>
                    <w:t>/</w:t>
                  </w:r>
                </w:p>
              </w:tc>
              <w:tc>
                <w:tcPr>
                  <w:tcW w:w="674" w:type="pct"/>
                  <w:vMerge w:val="restart"/>
                  <w:tcBorders>
                    <w:top w:val="single" w:color="000000" w:sz="4" w:space="0"/>
                  </w:tcBorders>
                  <w:vAlign w:val="center"/>
                </w:tcPr>
                <w:p w14:paraId="6D1B634E">
                  <w:pPr>
                    <w:adjustRightInd w:val="0"/>
                    <w:snapToGrid w:val="0"/>
                    <w:jc w:val="center"/>
                    <w:rPr>
                      <w:sz w:val="18"/>
                      <w:szCs w:val="18"/>
                    </w:rPr>
                  </w:pPr>
                  <w:r>
                    <w:rPr>
                      <w:rFonts w:hint="eastAsia"/>
                      <w:sz w:val="18"/>
                      <w:szCs w:val="18"/>
                    </w:rPr>
                    <w:t>排气筒</w:t>
                  </w:r>
                </w:p>
              </w:tc>
              <w:tc>
                <w:tcPr>
                  <w:tcW w:w="1049" w:type="pct"/>
                  <w:vMerge w:val="restart"/>
                  <w:tcBorders>
                    <w:top w:val="single" w:color="000000" w:sz="4" w:space="0"/>
                  </w:tcBorders>
                  <w:vAlign w:val="center"/>
                </w:tcPr>
                <w:p w14:paraId="4EBD97E1">
                  <w:pPr>
                    <w:adjustRightInd w:val="0"/>
                    <w:snapToGrid w:val="0"/>
                    <w:jc w:val="center"/>
                    <w:rPr>
                      <w:sz w:val="18"/>
                      <w:szCs w:val="18"/>
                    </w:rPr>
                  </w:pPr>
                  <w:r>
                    <w:rPr>
                      <w:sz w:val="18"/>
                      <w:szCs w:val="18"/>
                    </w:rPr>
                    <w:t>《恶臭污染物排放标准》（GB</w:t>
                  </w:r>
                  <w:r>
                    <w:rPr>
                      <w:rFonts w:hint="eastAsia"/>
                      <w:sz w:val="18"/>
                      <w:szCs w:val="18"/>
                    </w:rPr>
                    <w:t>14554</w:t>
                  </w:r>
                  <w:r>
                    <w:rPr>
                      <w:sz w:val="18"/>
                      <w:szCs w:val="18"/>
                    </w:rPr>
                    <w:t>-93）</w:t>
                  </w:r>
                </w:p>
              </w:tc>
            </w:tr>
            <w:tr w14:paraId="4D8F20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58" w:hRule="atLeast"/>
                <w:jc w:val="center"/>
              </w:trPr>
              <w:tc>
                <w:tcPr>
                  <w:tcW w:w="491" w:type="pct"/>
                  <w:vMerge w:val="continue"/>
                  <w:vAlign w:val="center"/>
                </w:tcPr>
                <w:p w14:paraId="5A63CEDA">
                  <w:pPr>
                    <w:jc w:val="center"/>
                    <w:rPr>
                      <w:sz w:val="18"/>
                      <w:szCs w:val="18"/>
                    </w:rPr>
                  </w:pPr>
                </w:p>
              </w:tc>
              <w:tc>
                <w:tcPr>
                  <w:tcW w:w="713" w:type="pct"/>
                  <w:vMerge w:val="continue"/>
                  <w:vAlign w:val="center"/>
                </w:tcPr>
                <w:p w14:paraId="6366E929">
                  <w:pPr>
                    <w:jc w:val="center"/>
                    <w:rPr>
                      <w:sz w:val="18"/>
                      <w:szCs w:val="18"/>
                    </w:rPr>
                  </w:pPr>
                </w:p>
              </w:tc>
              <w:tc>
                <w:tcPr>
                  <w:tcW w:w="669" w:type="pct"/>
                  <w:shd w:val="clear" w:color="auto" w:fill="auto"/>
                  <w:vAlign w:val="center"/>
                </w:tcPr>
                <w:p w14:paraId="1D6150CD">
                  <w:pPr>
                    <w:jc w:val="center"/>
                    <w:rPr>
                      <w:rFonts w:hint="eastAsia" w:ascii="Times New Roman" w:hAnsi="Times New Roman" w:eastAsia="宋体" w:cs="Times New Roman"/>
                      <w:color w:val="0000FF"/>
                      <w:kern w:val="2"/>
                      <w:sz w:val="18"/>
                      <w:szCs w:val="18"/>
                      <w:lang w:val="en-US" w:eastAsia="zh-CN" w:bidi="ar-SA"/>
                    </w:rPr>
                  </w:pPr>
                  <w:r>
                    <w:rPr>
                      <w:rFonts w:hint="eastAsia"/>
                      <w:color w:val="0000FF"/>
                      <w:sz w:val="18"/>
                      <w:szCs w:val="18"/>
                      <w:lang w:val="en-US" w:eastAsia="zh-CN"/>
                    </w:rPr>
                    <w:t>苯乙烯</w:t>
                  </w:r>
                </w:p>
              </w:tc>
              <w:tc>
                <w:tcPr>
                  <w:tcW w:w="717" w:type="pct"/>
                  <w:shd w:val="clear" w:color="auto" w:fill="auto"/>
                  <w:vAlign w:val="center"/>
                </w:tcPr>
                <w:p w14:paraId="3AD7BE4F">
                  <w:pPr>
                    <w:jc w:val="center"/>
                    <w:rPr>
                      <w:rFonts w:hint="eastAsia" w:ascii="Times New Roman" w:hAnsi="Times New Roman" w:eastAsia="宋体" w:cs="Times New Roman"/>
                      <w:color w:val="0000FF"/>
                      <w:kern w:val="2"/>
                      <w:sz w:val="18"/>
                      <w:szCs w:val="18"/>
                      <w:lang w:val="en-US" w:eastAsia="zh-CN" w:bidi="ar-SA"/>
                    </w:rPr>
                  </w:pPr>
                  <w:r>
                    <w:rPr>
                      <w:rFonts w:hint="eastAsia"/>
                      <w:color w:val="0000FF"/>
                      <w:sz w:val="18"/>
                      <w:szCs w:val="18"/>
                      <w:lang w:val="en-US" w:eastAsia="zh-CN"/>
                    </w:rPr>
                    <w:t>/</w:t>
                  </w:r>
                </w:p>
              </w:tc>
              <w:tc>
                <w:tcPr>
                  <w:tcW w:w="683" w:type="pct"/>
                  <w:gridSpan w:val="2"/>
                  <w:shd w:val="clear" w:color="auto" w:fill="auto"/>
                  <w:vAlign w:val="center"/>
                </w:tcPr>
                <w:p w14:paraId="7243C827">
                  <w:pPr>
                    <w:jc w:val="center"/>
                    <w:rPr>
                      <w:rFonts w:hint="eastAsia" w:ascii="Times New Roman" w:hAnsi="Times New Roman" w:eastAsia="宋体" w:cs="Times New Roman"/>
                      <w:color w:val="0000FF"/>
                      <w:kern w:val="2"/>
                      <w:sz w:val="18"/>
                      <w:szCs w:val="18"/>
                      <w:lang w:val="en-US" w:eastAsia="zh-CN" w:bidi="ar-SA"/>
                    </w:rPr>
                  </w:pPr>
                  <w:r>
                    <w:rPr>
                      <w:rFonts w:hint="eastAsia"/>
                      <w:color w:val="0000FF"/>
                      <w:sz w:val="18"/>
                      <w:szCs w:val="18"/>
                      <w:lang w:val="en-US" w:eastAsia="zh-CN"/>
                    </w:rPr>
                    <w:t>6.5</w:t>
                  </w:r>
                </w:p>
              </w:tc>
              <w:tc>
                <w:tcPr>
                  <w:tcW w:w="674" w:type="pct"/>
                  <w:vMerge w:val="continue"/>
                  <w:vAlign w:val="center"/>
                </w:tcPr>
                <w:p w14:paraId="553BE62A">
                  <w:pPr>
                    <w:adjustRightInd w:val="0"/>
                    <w:snapToGrid w:val="0"/>
                    <w:jc w:val="center"/>
                    <w:rPr>
                      <w:rFonts w:hint="eastAsia"/>
                      <w:sz w:val="18"/>
                      <w:szCs w:val="18"/>
                    </w:rPr>
                  </w:pPr>
                </w:p>
              </w:tc>
              <w:tc>
                <w:tcPr>
                  <w:tcW w:w="1049" w:type="pct"/>
                  <w:vMerge w:val="continue"/>
                  <w:vAlign w:val="center"/>
                </w:tcPr>
                <w:p w14:paraId="1F783A17">
                  <w:pPr>
                    <w:adjustRightInd w:val="0"/>
                    <w:snapToGrid w:val="0"/>
                    <w:jc w:val="center"/>
                    <w:rPr>
                      <w:sz w:val="18"/>
                      <w:szCs w:val="18"/>
                    </w:rPr>
                  </w:pPr>
                </w:p>
              </w:tc>
            </w:tr>
            <w:tr w14:paraId="0098FA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58" w:hRule="atLeast"/>
                <w:jc w:val="center"/>
              </w:trPr>
              <w:tc>
                <w:tcPr>
                  <w:tcW w:w="491" w:type="pct"/>
                  <w:vMerge w:val="continue"/>
                  <w:vAlign w:val="center"/>
                </w:tcPr>
                <w:p w14:paraId="3E9810D3">
                  <w:pPr>
                    <w:jc w:val="center"/>
                    <w:rPr>
                      <w:sz w:val="18"/>
                      <w:szCs w:val="18"/>
                    </w:rPr>
                  </w:pPr>
                </w:p>
              </w:tc>
              <w:tc>
                <w:tcPr>
                  <w:tcW w:w="713" w:type="pct"/>
                  <w:vMerge w:val="continue"/>
                  <w:vAlign w:val="center"/>
                </w:tcPr>
                <w:p w14:paraId="59B7F9E8">
                  <w:pPr>
                    <w:jc w:val="center"/>
                    <w:rPr>
                      <w:sz w:val="18"/>
                      <w:szCs w:val="18"/>
                    </w:rPr>
                  </w:pPr>
                </w:p>
              </w:tc>
              <w:tc>
                <w:tcPr>
                  <w:tcW w:w="669" w:type="pct"/>
                  <w:vAlign w:val="center"/>
                </w:tcPr>
                <w:p w14:paraId="01FB0CFB">
                  <w:pPr>
                    <w:jc w:val="center"/>
                    <w:rPr>
                      <w:sz w:val="18"/>
                      <w:szCs w:val="18"/>
                    </w:rPr>
                  </w:pPr>
                  <w:r>
                    <w:rPr>
                      <w:rFonts w:hint="eastAsia"/>
                      <w:sz w:val="18"/>
                      <w:szCs w:val="18"/>
                    </w:rPr>
                    <w:t>氨</w:t>
                  </w:r>
                </w:p>
              </w:tc>
              <w:tc>
                <w:tcPr>
                  <w:tcW w:w="717" w:type="pct"/>
                  <w:vAlign w:val="center"/>
                </w:tcPr>
                <w:p w14:paraId="172DA88B">
                  <w:pPr>
                    <w:jc w:val="center"/>
                    <w:rPr>
                      <w:sz w:val="18"/>
                      <w:szCs w:val="18"/>
                    </w:rPr>
                  </w:pPr>
                  <w:r>
                    <w:rPr>
                      <w:rFonts w:hint="eastAsia"/>
                      <w:sz w:val="18"/>
                      <w:szCs w:val="18"/>
                    </w:rPr>
                    <w:t>/</w:t>
                  </w:r>
                </w:p>
              </w:tc>
              <w:tc>
                <w:tcPr>
                  <w:tcW w:w="683" w:type="pct"/>
                  <w:gridSpan w:val="2"/>
                  <w:vAlign w:val="center"/>
                </w:tcPr>
                <w:p w14:paraId="4DA7882E">
                  <w:pPr>
                    <w:jc w:val="center"/>
                    <w:rPr>
                      <w:sz w:val="18"/>
                      <w:szCs w:val="18"/>
                    </w:rPr>
                  </w:pPr>
                  <w:r>
                    <w:rPr>
                      <w:rFonts w:hint="eastAsia"/>
                      <w:sz w:val="18"/>
                      <w:szCs w:val="18"/>
                    </w:rPr>
                    <w:t>4.9</w:t>
                  </w:r>
                </w:p>
              </w:tc>
              <w:tc>
                <w:tcPr>
                  <w:tcW w:w="674" w:type="pct"/>
                  <w:vMerge w:val="continue"/>
                  <w:vAlign w:val="center"/>
                </w:tcPr>
                <w:p w14:paraId="2F203995">
                  <w:pPr>
                    <w:adjustRightInd w:val="0"/>
                    <w:snapToGrid w:val="0"/>
                    <w:jc w:val="center"/>
                    <w:rPr>
                      <w:sz w:val="18"/>
                      <w:szCs w:val="18"/>
                    </w:rPr>
                  </w:pPr>
                </w:p>
              </w:tc>
              <w:tc>
                <w:tcPr>
                  <w:tcW w:w="1049" w:type="pct"/>
                  <w:vMerge w:val="continue"/>
                  <w:vAlign w:val="center"/>
                </w:tcPr>
                <w:p w14:paraId="024DE00D">
                  <w:pPr>
                    <w:adjustRightInd w:val="0"/>
                    <w:snapToGrid w:val="0"/>
                    <w:jc w:val="center"/>
                    <w:rPr>
                      <w:sz w:val="18"/>
                      <w:szCs w:val="18"/>
                    </w:rPr>
                  </w:pPr>
                </w:p>
              </w:tc>
            </w:tr>
            <w:tr w14:paraId="1A1350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90" w:hRule="atLeast"/>
                <w:jc w:val="center"/>
              </w:trPr>
              <w:tc>
                <w:tcPr>
                  <w:tcW w:w="491" w:type="pct"/>
                  <w:vAlign w:val="center"/>
                </w:tcPr>
                <w:p w14:paraId="07DAB7DD">
                  <w:pPr>
                    <w:jc w:val="center"/>
                    <w:rPr>
                      <w:sz w:val="18"/>
                      <w:szCs w:val="18"/>
                    </w:rPr>
                  </w:pPr>
                  <w:r>
                    <w:rPr>
                      <w:rFonts w:hint="eastAsia"/>
                      <w:b/>
                      <w:bCs/>
                      <w:sz w:val="18"/>
                      <w:szCs w:val="18"/>
                    </w:rPr>
                    <w:t>排放源</w:t>
                  </w:r>
                </w:p>
              </w:tc>
              <w:tc>
                <w:tcPr>
                  <w:tcW w:w="713" w:type="pct"/>
                  <w:vAlign w:val="center"/>
                </w:tcPr>
                <w:p w14:paraId="6CCC4988">
                  <w:pPr>
                    <w:jc w:val="center"/>
                    <w:rPr>
                      <w:sz w:val="18"/>
                      <w:szCs w:val="18"/>
                    </w:rPr>
                  </w:pPr>
                  <w:r>
                    <w:rPr>
                      <w:rFonts w:hint="eastAsia"/>
                      <w:b/>
                      <w:bCs/>
                      <w:sz w:val="18"/>
                      <w:szCs w:val="18"/>
                    </w:rPr>
                    <w:t>产污工序</w:t>
                  </w:r>
                </w:p>
              </w:tc>
              <w:tc>
                <w:tcPr>
                  <w:tcW w:w="669" w:type="pct"/>
                  <w:vAlign w:val="center"/>
                </w:tcPr>
                <w:p w14:paraId="742DD295">
                  <w:pPr>
                    <w:jc w:val="center"/>
                    <w:rPr>
                      <w:sz w:val="18"/>
                      <w:szCs w:val="18"/>
                    </w:rPr>
                  </w:pPr>
                  <w:r>
                    <w:rPr>
                      <w:b/>
                      <w:bCs/>
                      <w:sz w:val="18"/>
                      <w:szCs w:val="18"/>
                    </w:rPr>
                    <w:t>污染物</w:t>
                  </w:r>
                </w:p>
              </w:tc>
              <w:tc>
                <w:tcPr>
                  <w:tcW w:w="1401" w:type="pct"/>
                  <w:gridSpan w:val="3"/>
                  <w:vAlign w:val="center"/>
                </w:tcPr>
                <w:p w14:paraId="1CF48B01">
                  <w:pPr>
                    <w:jc w:val="center"/>
                    <w:rPr>
                      <w:b/>
                      <w:bCs/>
                      <w:sz w:val="18"/>
                      <w:szCs w:val="18"/>
                    </w:rPr>
                  </w:pPr>
                  <w:r>
                    <w:rPr>
                      <w:rFonts w:hint="eastAsia"/>
                      <w:b/>
                      <w:bCs/>
                      <w:sz w:val="18"/>
                      <w:szCs w:val="18"/>
                    </w:rPr>
                    <w:t>浓度限值</w:t>
                  </w:r>
                  <w:r>
                    <w:rPr>
                      <w:b/>
                      <w:bCs/>
                      <w:sz w:val="18"/>
                      <w:szCs w:val="18"/>
                    </w:rPr>
                    <w:t>mg/m</w:t>
                  </w:r>
                  <w:r>
                    <w:rPr>
                      <w:b/>
                      <w:bCs/>
                      <w:sz w:val="18"/>
                      <w:szCs w:val="18"/>
                      <w:vertAlign w:val="superscript"/>
                    </w:rPr>
                    <w:t>3</w:t>
                  </w:r>
                </w:p>
              </w:tc>
              <w:tc>
                <w:tcPr>
                  <w:tcW w:w="674" w:type="pct"/>
                  <w:vAlign w:val="center"/>
                </w:tcPr>
                <w:p w14:paraId="6C8555FD">
                  <w:pPr>
                    <w:adjustRightInd w:val="0"/>
                    <w:snapToGrid w:val="0"/>
                    <w:jc w:val="center"/>
                    <w:rPr>
                      <w:sz w:val="18"/>
                      <w:szCs w:val="18"/>
                    </w:rPr>
                  </w:pPr>
                  <w:r>
                    <w:rPr>
                      <w:b/>
                      <w:bCs/>
                      <w:sz w:val="18"/>
                      <w:szCs w:val="18"/>
                    </w:rPr>
                    <w:t>污染物排放监控位置</w:t>
                  </w:r>
                </w:p>
              </w:tc>
              <w:tc>
                <w:tcPr>
                  <w:tcW w:w="1049" w:type="pct"/>
                  <w:vAlign w:val="center"/>
                </w:tcPr>
                <w:p w14:paraId="5240C6B1">
                  <w:pPr>
                    <w:adjustRightInd w:val="0"/>
                    <w:snapToGrid w:val="0"/>
                    <w:jc w:val="center"/>
                    <w:rPr>
                      <w:sz w:val="18"/>
                      <w:szCs w:val="18"/>
                    </w:rPr>
                  </w:pPr>
                  <w:r>
                    <w:rPr>
                      <w:b/>
                      <w:bCs/>
                      <w:sz w:val="18"/>
                      <w:szCs w:val="18"/>
                    </w:rPr>
                    <w:t>排放标准</w:t>
                  </w:r>
                </w:p>
              </w:tc>
            </w:tr>
            <w:tr w14:paraId="5D77DA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77" w:hRule="atLeast"/>
                <w:jc w:val="center"/>
              </w:trPr>
              <w:tc>
                <w:tcPr>
                  <w:tcW w:w="491" w:type="pct"/>
                  <w:vMerge w:val="restart"/>
                  <w:vAlign w:val="center"/>
                </w:tcPr>
                <w:p w14:paraId="72110817">
                  <w:pPr>
                    <w:jc w:val="center"/>
                    <w:rPr>
                      <w:sz w:val="18"/>
                      <w:szCs w:val="18"/>
                    </w:rPr>
                  </w:pPr>
                  <w:r>
                    <w:rPr>
                      <w:rFonts w:hint="eastAsia"/>
                      <w:sz w:val="18"/>
                      <w:szCs w:val="18"/>
                    </w:rPr>
                    <w:t>厂界</w:t>
                  </w:r>
                </w:p>
              </w:tc>
              <w:tc>
                <w:tcPr>
                  <w:tcW w:w="713" w:type="pct"/>
                  <w:vMerge w:val="restart"/>
                  <w:vAlign w:val="center"/>
                </w:tcPr>
                <w:p w14:paraId="12705F35">
                  <w:pPr>
                    <w:jc w:val="center"/>
                    <w:rPr>
                      <w:sz w:val="18"/>
                      <w:szCs w:val="18"/>
                    </w:rPr>
                  </w:pPr>
                  <w:r>
                    <w:rPr>
                      <w:rFonts w:hint="eastAsia"/>
                      <w:sz w:val="18"/>
                      <w:szCs w:val="18"/>
                    </w:rPr>
                    <w:t>均质、均匀性初检、稳定性评估、危废仓库</w:t>
                  </w:r>
                </w:p>
              </w:tc>
              <w:tc>
                <w:tcPr>
                  <w:tcW w:w="669" w:type="pct"/>
                  <w:shd w:val="clear" w:color="auto" w:fill="auto"/>
                  <w:vAlign w:val="center"/>
                </w:tcPr>
                <w:p w14:paraId="7C0129AD">
                  <w:pPr>
                    <w:jc w:val="center"/>
                    <w:rPr>
                      <w:rFonts w:hint="eastAsia" w:ascii="Times New Roman" w:hAnsi="Times New Roman" w:eastAsia="宋体" w:cs="Times New Roman"/>
                      <w:color w:val="0000FF"/>
                      <w:kern w:val="2"/>
                      <w:sz w:val="18"/>
                      <w:szCs w:val="18"/>
                      <w:lang w:val="en-US" w:eastAsia="zh-CN" w:bidi="ar-SA"/>
                    </w:rPr>
                  </w:pPr>
                  <w:r>
                    <w:rPr>
                      <w:rFonts w:hint="eastAsia"/>
                      <w:color w:val="0000FF"/>
                      <w:sz w:val="18"/>
                      <w:szCs w:val="18"/>
                      <w:lang w:val="en-US" w:eastAsia="zh-CN"/>
                    </w:rPr>
                    <w:t>苯系物</w:t>
                  </w:r>
                </w:p>
              </w:tc>
              <w:tc>
                <w:tcPr>
                  <w:tcW w:w="1401" w:type="pct"/>
                  <w:gridSpan w:val="3"/>
                  <w:shd w:val="clear" w:color="auto" w:fill="auto"/>
                  <w:vAlign w:val="center"/>
                </w:tcPr>
                <w:p w14:paraId="53A8BF3E">
                  <w:pPr>
                    <w:jc w:val="center"/>
                    <w:rPr>
                      <w:rFonts w:hint="default" w:ascii="Times New Roman" w:hAnsi="Times New Roman" w:eastAsia="宋体" w:cs="Times New Roman"/>
                      <w:color w:val="0000FF"/>
                      <w:kern w:val="2"/>
                      <w:sz w:val="18"/>
                      <w:szCs w:val="18"/>
                      <w:lang w:val="en-US" w:eastAsia="zh-CN" w:bidi="ar-SA"/>
                    </w:rPr>
                  </w:pPr>
                  <w:r>
                    <w:rPr>
                      <w:rFonts w:hint="eastAsia" w:eastAsia="宋体" w:cs="Times New Roman"/>
                      <w:color w:val="0000FF"/>
                      <w:kern w:val="2"/>
                      <w:sz w:val="18"/>
                      <w:szCs w:val="18"/>
                      <w:lang w:val="en-US" w:eastAsia="zh-CN" w:bidi="ar-SA"/>
                    </w:rPr>
                    <w:t>0.4</w:t>
                  </w:r>
                </w:p>
              </w:tc>
              <w:tc>
                <w:tcPr>
                  <w:tcW w:w="674" w:type="pct"/>
                  <w:vMerge w:val="restart"/>
                  <w:vAlign w:val="center"/>
                </w:tcPr>
                <w:p w14:paraId="0BBD8EDC">
                  <w:pPr>
                    <w:adjustRightInd w:val="0"/>
                    <w:snapToGrid w:val="0"/>
                    <w:jc w:val="center"/>
                    <w:rPr>
                      <w:sz w:val="18"/>
                      <w:szCs w:val="18"/>
                    </w:rPr>
                  </w:pPr>
                  <w:r>
                    <w:rPr>
                      <w:rFonts w:hint="eastAsia"/>
                      <w:sz w:val="18"/>
                      <w:szCs w:val="18"/>
                    </w:rPr>
                    <w:t>边界外浓度最高点</w:t>
                  </w:r>
                </w:p>
              </w:tc>
              <w:tc>
                <w:tcPr>
                  <w:tcW w:w="1049" w:type="pct"/>
                  <w:vMerge w:val="restart"/>
                  <w:vAlign w:val="center"/>
                </w:tcPr>
                <w:p w14:paraId="021E3F87">
                  <w:pPr>
                    <w:jc w:val="center"/>
                    <w:rPr>
                      <w:sz w:val="18"/>
                      <w:szCs w:val="18"/>
                    </w:rPr>
                  </w:pPr>
                  <w:r>
                    <w:rPr>
                      <w:rFonts w:hint="eastAsia"/>
                      <w:sz w:val="18"/>
                      <w:szCs w:val="18"/>
                    </w:rPr>
                    <w:t>《大气污染物综合排放标准》（</w:t>
                  </w:r>
                  <w:r>
                    <w:rPr>
                      <w:sz w:val="18"/>
                      <w:szCs w:val="18"/>
                    </w:rPr>
                    <w:t>DB32/4041-2021</w:t>
                  </w:r>
                  <w:r>
                    <w:rPr>
                      <w:rFonts w:hint="eastAsia"/>
                      <w:sz w:val="18"/>
                      <w:szCs w:val="18"/>
                    </w:rPr>
                    <w:t>）</w:t>
                  </w:r>
                </w:p>
              </w:tc>
            </w:tr>
            <w:tr w14:paraId="387D00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77" w:hRule="atLeast"/>
                <w:jc w:val="center"/>
              </w:trPr>
              <w:tc>
                <w:tcPr>
                  <w:tcW w:w="491" w:type="pct"/>
                  <w:vMerge w:val="continue"/>
                  <w:vAlign w:val="center"/>
                </w:tcPr>
                <w:p w14:paraId="051786D2">
                  <w:pPr>
                    <w:jc w:val="center"/>
                    <w:rPr>
                      <w:rFonts w:hint="eastAsia"/>
                      <w:sz w:val="18"/>
                      <w:szCs w:val="18"/>
                    </w:rPr>
                  </w:pPr>
                </w:p>
              </w:tc>
              <w:tc>
                <w:tcPr>
                  <w:tcW w:w="713" w:type="pct"/>
                  <w:vMerge w:val="continue"/>
                  <w:vAlign w:val="center"/>
                </w:tcPr>
                <w:p w14:paraId="1A891D3F">
                  <w:pPr>
                    <w:jc w:val="center"/>
                    <w:rPr>
                      <w:rFonts w:hint="eastAsia"/>
                      <w:sz w:val="18"/>
                      <w:szCs w:val="18"/>
                    </w:rPr>
                  </w:pPr>
                </w:p>
              </w:tc>
              <w:tc>
                <w:tcPr>
                  <w:tcW w:w="669" w:type="pct"/>
                  <w:shd w:val="clear" w:color="auto" w:fill="auto"/>
                  <w:vAlign w:val="center"/>
                </w:tcPr>
                <w:p w14:paraId="057EF462">
                  <w:pPr>
                    <w:jc w:val="center"/>
                    <w:rPr>
                      <w:rFonts w:hint="eastAsia" w:ascii="Times New Roman" w:hAnsi="Times New Roman" w:eastAsia="宋体" w:cs="Times New Roman"/>
                      <w:color w:val="0000FF"/>
                      <w:kern w:val="2"/>
                      <w:sz w:val="18"/>
                      <w:szCs w:val="18"/>
                      <w:lang w:val="en-US" w:eastAsia="zh-CN" w:bidi="ar-SA"/>
                    </w:rPr>
                  </w:pPr>
                  <w:r>
                    <w:rPr>
                      <w:rFonts w:hint="eastAsia"/>
                      <w:color w:val="0000FF"/>
                      <w:sz w:val="18"/>
                      <w:szCs w:val="18"/>
                      <w:lang w:val="en-US" w:eastAsia="zh-CN"/>
                    </w:rPr>
                    <w:t>氮氧化物</w:t>
                  </w:r>
                </w:p>
              </w:tc>
              <w:tc>
                <w:tcPr>
                  <w:tcW w:w="1401" w:type="pct"/>
                  <w:gridSpan w:val="3"/>
                  <w:shd w:val="clear" w:color="auto" w:fill="auto"/>
                  <w:vAlign w:val="center"/>
                </w:tcPr>
                <w:p w14:paraId="64B0D0E2">
                  <w:pPr>
                    <w:jc w:val="center"/>
                    <w:rPr>
                      <w:rFonts w:hint="eastAsia" w:ascii="Times New Roman" w:hAnsi="Times New Roman" w:eastAsia="宋体" w:cs="Times New Roman"/>
                      <w:color w:val="0000FF"/>
                      <w:kern w:val="2"/>
                      <w:sz w:val="18"/>
                      <w:szCs w:val="18"/>
                      <w:lang w:val="en-US" w:eastAsia="zh-CN" w:bidi="ar-SA"/>
                    </w:rPr>
                  </w:pPr>
                  <w:r>
                    <w:rPr>
                      <w:rFonts w:hint="eastAsia"/>
                      <w:color w:val="0000FF"/>
                      <w:sz w:val="18"/>
                      <w:szCs w:val="18"/>
                      <w:lang w:val="en-US" w:eastAsia="zh-CN"/>
                    </w:rPr>
                    <w:t>0.12</w:t>
                  </w:r>
                </w:p>
              </w:tc>
              <w:tc>
                <w:tcPr>
                  <w:tcW w:w="674" w:type="pct"/>
                  <w:vMerge w:val="continue"/>
                  <w:vAlign w:val="center"/>
                </w:tcPr>
                <w:p w14:paraId="721F8BB1">
                  <w:pPr>
                    <w:adjustRightInd w:val="0"/>
                    <w:snapToGrid w:val="0"/>
                    <w:jc w:val="center"/>
                    <w:rPr>
                      <w:rFonts w:hint="eastAsia"/>
                      <w:sz w:val="18"/>
                      <w:szCs w:val="18"/>
                    </w:rPr>
                  </w:pPr>
                </w:p>
              </w:tc>
              <w:tc>
                <w:tcPr>
                  <w:tcW w:w="1049" w:type="pct"/>
                  <w:vMerge w:val="continue"/>
                  <w:vAlign w:val="center"/>
                </w:tcPr>
                <w:p w14:paraId="42398D86">
                  <w:pPr>
                    <w:jc w:val="center"/>
                    <w:rPr>
                      <w:rFonts w:hint="eastAsia"/>
                      <w:sz w:val="18"/>
                      <w:szCs w:val="18"/>
                    </w:rPr>
                  </w:pPr>
                </w:p>
              </w:tc>
            </w:tr>
            <w:tr w14:paraId="12626B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77" w:hRule="atLeast"/>
                <w:jc w:val="center"/>
              </w:trPr>
              <w:tc>
                <w:tcPr>
                  <w:tcW w:w="491" w:type="pct"/>
                  <w:vMerge w:val="continue"/>
                  <w:vAlign w:val="center"/>
                </w:tcPr>
                <w:p w14:paraId="6781909D">
                  <w:pPr>
                    <w:jc w:val="center"/>
                    <w:rPr>
                      <w:rFonts w:hint="eastAsia"/>
                      <w:sz w:val="18"/>
                      <w:szCs w:val="18"/>
                    </w:rPr>
                  </w:pPr>
                </w:p>
              </w:tc>
              <w:tc>
                <w:tcPr>
                  <w:tcW w:w="713" w:type="pct"/>
                  <w:vMerge w:val="continue"/>
                  <w:vAlign w:val="center"/>
                </w:tcPr>
                <w:p w14:paraId="5B788956">
                  <w:pPr>
                    <w:jc w:val="center"/>
                    <w:rPr>
                      <w:rFonts w:hint="eastAsia"/>
                      <w:sz w:val="18"/>
                      <w:szCs w:val="18"/>
                    </w:rPr>
                  </w:pPr>
                </w:p>
              </w:tc>
              <w:tc>
                <w:tcPr>
                  <w:tcW w:w="669" w:type="pct"/>
                  <w:shd w:val="clear" w:color="auto" w:fill="auto"/>
                  <w:vAlign w:val="center"/>
                </w:tcPr>
                <w:p w14:paraId="198884F2">
                  <w:pPr>
                    <w:jc w:val="center"/>
                    <w:rPr>
                      <w:rFonts w:ascii="Times New Roman" w:hAnsi="Times New Roman" w:eastAsia="宋体" w:cs="Times New Roman"/>
                      <w:kern w:val="2"/>
                      <w:sz w:val="18"/>
                      <w:szCs w:val="18"/>
                      <w:lang w:val="en-US" w:eastAsia="zh-CN" w:bidi="ar-SA"/>
                    </w:rPr>
                  </w:pPr>
                  <w:r>
                    <w:rPr>
                      <w:sz w:val="18"/>
                      <w:szCs w:val="18"/>
                    </w:rPr>
                    <w:t>非甲烷总烃</w:t>
                  </w:r>
                </w:p>
              </w:tc>
              <w:tc>
                <w:tcPr>
                  <w:tcW w:w="1401" w:type="pct"/>
                  <w:gridSpan w:val="3"/>
                  <w:shd w:val="clear" w:color="auto" w:fill="auto"/>
                  <w:vAlign w:val="center"/>
                </w:tcPr>
                <w:p w14:paraId="599AAE87">
                  <w:pPr>
                    <w:jc w:val="center"/>
                    <w:rPr>
                      <w:rFonts w:hint="eastAsia" w:ascii="Times New Roman" w:hAnsi="Times New Roman" w:eastAsia="宋体" w:cs="Times New Roman"/>
                      <w:kern w:val="2"/>
                      <w:sz w:val="18"/>
                      <w:szCs w:val="18"/>
                      <w:lang w:val="en-US" w:eastAsia="zh-CN" w:bidi="ar-SA"/>
                    </w:rPr>
                  </w:pPr>
                  <w:r>
                    <w:rPr>
                      <w:rFonts w:hint="eastAsia"/>
                      <w:sz w:val="18"/>
                      <w:szCs w:val="18"/>
                    </w:rPr>
                    <w:t>4</w:t>
                  </w:r>
                  <w:r>
                    <w:rPr>
                      <w:sz w:val="18"/>
                      <w:szCs w:val="18"/>
                    </w:rPr>
                    <w:t>.0</w:t>
                  </w:r>
                </w:p>
              </w:tc>
              <w:tc>
                <w:tcPr>
                  <w:tcW w:w="674" w:type="pct"/>
                  <w:vMerge w:val="continue"/>
                  <w:vAlign w:val="center"/>
                </w:tcPr>
                <w:p w14:paraId="3205FE9D">
                  <w:pPr>
                    <w:adjustRightInd w:val="0"/>
                    <w:snapToGrid w:val="0"/>
                    <w:jc w:val="center"/>
                    <w:rPr>
                      <w:rFonts w:hint="eastAsia"/>
                      <w:sz w:val="18"/>
                      <w:szCs w:val="18"/>
                    </w:rPr>
                  </w:pPr>
                </w:p>
              </w:tc>
              <w:tc>
                <w:tcPr>
                  <w:tcW w:w="1049" w:type="pct"/>
                  <w:vMerge w:val="continue"/>
                  <w:vAlign w:val="center"/>
                </w:tcPr>
                <w:p w14:paraId="6E9D9AA1">
                  <w:pPr>
                    <w:jc w:val="center"/>
                    <w:rPr>
                      <w:rFonts w:hint="eastAsia"/>
                      <w:sz w:val="18"/>
                      <w:szCs w:val="18"/>
                    </w:rPr>
                  </w:pPr>
                </w:p>
              </w:tc>
            </w:tr>
            <w:tr w14:paraId="5245C0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77" w:hRule="atLeast"/>
                <w:jc w:val="center"/>
              </w:trPr>
              <w:tc>
                <w:tcPr>
                  <w:tcW w:w="491" w:type="pct"/>
                  <w:vMerge w:val="continue"/>
                  <w:vAlign w:val="center"/>
                </w:tcPr>
                <w:p w14:paraId="237314D0">
                  <w:pPr>
                    <w:jc w:val="center"/>
                    <w:rPr>
                      <w:sz w:val="18"/>
                      <w:szCs w:val="18"/>
                    </w:rPr>
                  </w:pPr>
                </w:p>
              </w:tc>
              <w:tc>
                <w:tcPr>
                  <w:tcW w:w="713" w:type="pct"/>
                  <w:vMerge w:val="continue"/>
                  <w:vAlign w:val="center"/>
                </w:tcPr>
                <w:p w14:paraId="607A7486">
                  <w:pPr>
                    <w:jc w:val="center"/>
                    <w:rPr>
                      <w:sz w:val="18"/>
                      <w:szCs w:val="18"/>
                    </w:rPr>
                  </w:pPr>
                </w:p>
              </w:tc>
              <w:tc>
                <w:tcPr>
                  <w:tcW w:w="669" w:type="pct"/>
                  <w:vAlign w:val="center"/>
                </w:tcPr>
                <w:p w14:paraId="54D52D0B">
                  <w:pPr>
                    <w:jc w:val="center"/>
                    <w:rPr>
                      <w:sz w:val="18"/>
                      <w:szCs w:val="18"/>
                    </w:rPr>
                  </w:pPr>
                  <w:r>
                    <w:rPr>
                      <w:rFonts w:hint="eastAsia"/>
                      <w:sz w:val="18"/>
                      <w:szCs w:val="18"/>
                    </w:rPr>
                    <w:t>二甲苯</w:t>
                  </w:r>
                </w:p>
              </w:tc>
              <w:tc>
                <w:tcPr>
                  <w:tcW w:w="1401" w:type="pct"/>
                  <w:gridSpan w:val="3"/>
                  <w:vAlign w:val="center"/>
                </w:tcPr>
                <w:p w14:paraId="112DDC36">
                  <w:pPr>
                    <w:jc w:val="center"/>
                    <w:rPr>
                      <w:sz w:val="18"/>
                      <w:szCs w:val="18"/>
                    </w:rPr>
                  </w:pPr>
                  <w:r>
                    <w:rPr>
                      <w:rFonts w:hint="eastAsia"/>
                      <w:sz w:val="18"/>
                      <w:szCs w:val="18"/>
                    </w:rPr>
                    <w:t>0.2</w:t>
                  </w:r>
                </w:p>
              </w:tc>
              <w:tc>
                <w:tcPr>
                  <w:tcW w:w="674" w:type="pct"/>
                  <w:vMerge w:val="continue"/>
                  <w:vAlign w:val="center"/>
                </w:tcPr>
                <w:p w14:paraId="2765B599">
                  <w:pPr>
                    <w:adjustRightInd w:val="0"/>
                    <w:snapToGrid w:val="0"/>
                    <w:jc w:val="center"/>
                    <w:rPr>
                      <w:sz w:val="18"/>
                      <w:szCs w:val="18"/>
                    </w:rPr>
                  </w:pPr>
                </w:p>
              </w:tc>
              <w:tc>
                <w:tcPr>
                  <w:tcW w:w="1049" w:type="pct"/>
                  <w:vMerge w:val="continue"/>
                  <w:vAlign w:val="center"/>
                </w:tcPr>
                <w:p w14:paraId="03F467FB">
                  <w:pPr>
                    <w:jc w:val="center"/>
                    <w:rPr>
                      <w:sz w:val="18"/>
                      <w:szCs w:val="18"/>
                    </w:rPr>
                  </w:pPr>
                </w:p>
              </w:tc>
            </w:tr>
            <w:tr w14:paraId="1D8529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77" w:hRule="atLeast"/>
                <w:jc w:val="center"/>
              </w:trPr>
              <w:tc>
                <w:tcPr>
                  <w:tcW w:w="491" w:type="pct"/>
                  <w:vMerge w:val="continue"/>
                  <w:vAlign w:val="center"/>
                </w:tcPr>
                <w:p w14:paraId="7DF7C4CB">
                  <w:pPr>
                    <w:jc w:val="center"/>
                    <w:rPr>
                      <w:sz w:val="18"/>
                      <w:szCs w:val="18"/>
                    </w:rPr>
                  </w:pPr>
                </w:p>
              </w:tc>
              <w:tc>
                <w:tcPr>
                  <w:tcW w:w="713" w:type="pct"/>
                  <w:vMerge w:val="continue"/>
                  <w:vAlign w:val="center"/>
                </w:tcPr>
                <w:p w14:paraId="2274B3F6">
                  <w:pPr>
                    <w:jc w:val="center"/>
                    <w:rPr>
                      <w:sz w:val="18"/>
                      <w:szCs w:val="18"/>
                    </w:rPr>
                  </w:pPr>
                </w:p>
              </w:tc>
              <w:tc>
                <w:tcPr>
                  <w:tcW w:w="669" w:type="pct"/>
                  <w:shd w:val="clear" w:color="auto" w:fill="auto"/>
                  <w:vAlign w:val="center"/>
                </w:tcPr>
                <w:p w14:paraId="692E05FA">
                  <w:pPr>
                    <w:jc w:val="center"/>
                    <w:rPr>
                      <w:rFonts w:hint="eastAsia" w:ascii="Times New Roman" w:hAnsi="Times New Roman" w:eastAsia="宋体" w:cs="Times New Roman"/>
                      <w:color w:val="0000FF"/>
                      <w:kern w:val="2"/>
                      <w:sz w:val="18"/>
                      <w:szCs w:val="18"/>
                      <w:lang w:val="en-US" w:eastAsia="zh-CN" w:bidi="ar-SA"/>
                    </w:rPr>
                  </w:pPr>
                  <w:r>
                    <w:rPr>
                      <w:rFonts w:hint="eastAsia"/>
                      <w:color w:val="0000FF"/>
                      <w:sz w:val="18"/>
                      <w:szCs w:val="18"/>
                      <w:lang w:val="en-US" w:eastAsia="zh-CN"/>
                    </w:rPr>
                    <w:t>氯化氢</w:t>
                  </w:r>
                </w:p>
              </w:tc>
              <w:tc>
                <w:tcPr>
                  <w:tcW w:w="1401" w:type="pct"/>
                  <w:gridSpan w:val="3"/>
                  <w:vAlign w:val="center"/>
                </w:tcPr>
                <w:p w14:paraId="7D1E0395">
                  <w:pPr>
                    <w:jc w:val="center"/>
                    <w:rPr>
                      <w:rFonts w:hint="default" w:eastAsia="宋体"/>
                      <w:color w:val="0000FF"/>
                      <w:sz w:val="18"/>
                      <w:szCs w:val="18"/>
                      <w:lang w:val="en-US" w:eastAsia="zh-CN"/>
                    </w:rPr>
                  </w:pPr>
                  <w:r>
                    <w:rPr>
                      <w:rFonts w:hint="eastAsia"/>
                      <w:color w:val="0000FF"/>
                      <w:sz w:val="18"/>
                      <w:szCs w:val="18"/>
                      <w:lang w:val="en-US" w:eastAsia="zh-CN"/>
                    </w:rPr>
                    <w:t>0.05</w:t>
                  </w:r>
                </w:p>
              </w:tc>
              <w:tc>
                <w:tcPr>
                  <w:tcW w:w="674" w:type="pct"/>
                  <w:vMerge w:val="continue"/>
                  <w:vAlign w:val="center"/>
                </w:tcPr>
                <w:p w14:paraId="632B5D47">
                  <w:pPr>
                    <w:adjustRightInd w:val="0"/>
                    <w:snapToGrid w:val="0"/>
                    <w:jc w:val="center"/>
                    <w:rPr>
                      <w:sz w:val="18"/>
                      <w:szCs w:val="18"/>
                    </w:rPr>
                  </w:pPr>
                </w:p>
              </w:tc>
              <w:tc>
                <w:tcPr>
                  <w:tcW w:w="1049" w:type="pct"/>
                  <w:vMerge w:val="continue"/>
                  <w:vAlign w:val="center"/>
                </w:tcPr>
                <w:p w14:paraId="5B29B866">
                  <w:pPr>
                    <w:jc w:val="center"/>
                    <w:rPr>
                      <w:sz w:val="18"/>
                      <w:szCs w:val="18"/>
                    </w:rPr>
                  </w:pPr>
                </w:p>
              </w:tc>
            </w:tr>
            <w:tr w14:paraId="17A807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77" w:hRule="atLeast"/>
                <w:jc w:val="center"/>
              </w:trPr>
              <w:tc>
                <w:tcPr>
                  <w:tcW w:w="491" w:type="pct"/>
                  <w:vMerge w:val="continue"/>
                  <w:vAlign w:val="center"/>
                </w:tcPr>
                <w:p w14:paraId="109B5362">
                  <w:pPr>
                    <w:jc w:val="center"/>
                    <w:rPr>
                      <w:sz w:val="18"/>
                      <w:szCs w:val="18"/>
                    </w:rPr>
                  </w:pPr>
                </w:p>
              </w:tc>
              <w:tc>
                <w:tcPr>
                  <w:tcW w:w="713" w:type="pct"/>
                  <w:vMerge w:val="continue"/>
                  <w:vAlign w:val="center"/>
                </w:tcPr>
                <w:p w14:paraId="588345A1">
                  <w:pPr>
                    <w:jc w:val="center"/>
                    <w:rPr>
                      <w:sz w:val="18"/>
                      <w:szCs w:val="18"/>
                    </w:rPr>
                  </w:pPr>
                </w:p>
              </w:tc>
              <w:tc>
                <w:tcPr>
                  <w:tcW w:w="669" w:type="pct"/>
                  <w:shd w:val="clear" w:color="auto" w:fill="auto"/>
                  <w:vAlign w:val="center"/>
                </w:tcPr>
                <w:p w14:paraId="280D888C">
                  <w:pPr>
                    <w:jc w:val="center"/>
                    <w:rPr>
                      <w:rFonts w:hint="eastAsia" w:ascii="Times New Roman" w:hAnsi="Times New Roman" w:eastAsia="宋体" w:cs="Times New Roman"/>
                      <w:color w:val="0000FF"/>
                      <w:kern w:val="2"/>
                      <w:sz w:val="18"/>
                      <w:szCs w:val="18"/>
                      <w:lang w:val="en-US" w:eastAsia="zh-CN" w:bidi="ar-SA"/>
                    </w:rPr>
                  </w:pPr>
                  <w:r>
                    <w:rPr>
                      <w:rFonts w:hint="eastAsia"/>
                      <w:color w:val="0000FF"/>
                      <w:sz w:val="18"/>
                      <w:szCs w:val="18"/>
                      <w:lang w:val="en-US" w:eastAsia="zh-CN"/>
                    </w:rPr>
                    <w:t>硫酸雾</w:t>
                  </w:r>
                </w:p>
              </w:tc>
              <w:tc>
                <w:tcPr>
                  <w:tcW w:w="1401" w:type="pct"/>
                  <w:gridSpan w:val="3"/>
                  <w:vAlign w:val="center"/>
                </w:tcPr>
                <w:p w14:paraId="30FF5013">
                  <w:pPr>
                    <w:jc w:val="center"/>
                    <w:rPr>
                      <w:rFonts w:hint="default" w:eastAsia="宋体"/>
                      <w:color w:val="0000FF"/>
                      <w:sz w:val="18"/>
                      <w:szCs w:val="18"/>
                      <w:lang w:val="en-US" w:eastAsia="zh-CN"/>
                    </w:rPr>
                  </w:pPr>
                  <w:r>
                    <w:rPr>
                      <w:rFonts w:hint="eastAsia"/>
                      <w:color w:val="0000FF"/>
                      <w:sz w:val="18"/>
                      <w:szCs w:val="18"/>
                      <w:lang w:val="en-US" w:eastAsia="zh-CN"/>
                    </w:rPr>
                    <w:t>0.3</w:t>
                  </w:r>
                </w:p>
              </w:tc>
              <w:tc>
                <w:tcPr>
                  <w:tcW w:w="674" w:type="pct"/>
                  <w:vMerge w:val="continue"/>
                  <w:vAlign w:val="center"/>
                </w:tcPr>
                <w:p w14:paraId="5C8692DA">
                  <w:pPr>
                    <w:adjustRightInd w:val="0"/>
                    <w:snapToGrid w:val="0"/>
                    <w:jc w:val="center"/>
                    <w:rPr>
                      <w:sz w:val="18"/>
                      <w:szCs w:val="18"/>
                    </w:rPr>
                  </w:pPr>
                </w:p>
              </w:tc>
              <w:tc>
                <w:tcPr>
                  <w:tcW w:w="1049" w:type="pct"/>
                  <w:vMerge w:val="continue"/>
                  <w:vAlign w:val="center"/>
                </w:tcPr>
                <w:p w14:paraId="26394195">
                  <w:pPr>
                    <w:jc w:val="center"/>
                    <w:rPr>
                      <w:sz w:val="18"/>
                      <w:szCs w:val="18"/>
                    </w:rPr>
                  </w:pPr>
                </w:p>
              </w:tc>
            </w:tr>
            <w:tr w14:paraId="121D63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77" w:hRule="atLeast"/>
                <w:jc w:val="center"/>
              </w:trPr>
              <w:tc>
                <w:tcPr>
                  <w:tcW w:w="491" w:type="pct"/>
                  <w:vMerge w:val="continue"/>
                  <w:vAlign w:val="center"/>
                </w:tcPr>
                <w:p w14:paraId="4CA52DC2">
                  <w:pPr>
                    <w:jc w:val="center"/>
                    <w:rPr>
                      <w:sz w:val="18"/>
                      <w:szCs w:val="18"/>
                    </w:rPr>
                  </w:pPr>
                </w:p>
              </w:tc>
              <w:tc>
                <w:tcPr>
                  <w:tcW w:w="713" w:type="pct"/>
                  <w:vMerge w:val="continue"/>
                  <w:vAlign w:val="center"/>
                </w:tcPr>
                <w:p w14:paraId="008956B8">
                  <w:pPr>
                    <w:jc w:val="center"/>
                    <w:rPr>
                      <w:sz w:val="18"/>
                      <w:szCs w:val="18"/>
                    </w:rPr>
                  </w:pPr>
                </w:p>
              </w:tc>
              <w:tc>
                <w:tcPr>
                  <w:tcW w:w="669" w:type="pct"/>
                  <w:shd w:val="clear" w:color="auto" w:fill="auto"/>
                  <w:vAlign w:val="center"/>
                </w:tcPr>
                <w:p w14:paraId="2F021FCB">
                  <w:pPr>
                    <w:jc w:val="center"/>
                    <w:rPr>
                      <w:rFonts w:hint="eastAsia" w:ascii="Times New Roman" w:hAnsi="Times New Roman" w:eastAsia="宋体" w:cs="Times New Roman"/>
                      <w:color w:val="0000FF"/>
                      <w:kern w:val="2"/>
                      <w:sz w:val="18"/>
                      <w:szCs w:val="18"/>
                      <w:lang w:val="en-US" w:eastAsia="zh-CN" w:bidi="ar-SA"/>
                    </w:rPr>
                  </w:pPr>
                  <w:r>
                    <w:rPr>
                      <w:rFonts w:hint="eastAsia"/>
                      <w:color w:val="0000FF"/>
                      <w:sz w:val="18"/>
                      <w:szCs w:val="18"/>
                      <w:lang w:val="en-US" w:eastAsia="zh-CN"/>
                    </w:rPr>
                    <w:t>氯苯类</w:t>
                  </w:r>
                </w:p>
              </w:tc>
              <w:tc>
                <w:tcPr>
                  <w:tcW w:w="1401" w:type="pct"/>
                  <w:gridSpan w:val="3"/>
                  <w:vAlign w:val="center"/>
                </w:tcPr>
                <w:p w14:paraId="2318EEA2">
                  <w:pPr>
                    <w:jc w:val="center"/>
                    <w:rPr>
                      <w:rFonts w:hint="default" w:eastAsia="宋体"/>
                      <w:color w:val="0000FF"/>
                      <w:sz w:val="18"/>
                      <w:szCs w:val="18"/>
                      <w:lang w:val="en-US" w:eastAsia="zh-CN"/>
                    </w:rPr>
                  </w:pPr>
                  <w:r>
                    <w:rPr>
                      <w:rFonts w:hint="eastAsia"/>
                      <w:color w:val="0000FF"/>
                      <w:sz w:val="18"/>
                      <w:szCs w:val="18"/>
                      <w:lang w:val="en-US" w:eastAsia="zh-CN"/>
                    </w:rPr>
                    <w:t>0.1</w:t>
                  </w:r>
                </w:p>
              </w:tc>
              <w:tc>
                <w:tcPr>
                  <w:tcW w:w="674" w:type="pct"/>
                  <w:vMerge w:val="continue"/>
                  <w:vAlign w:val="center"/>
                </w:tcPr>
                <w:p w14:paraId="38EAFA08">
                  <w:pPr>
                    <w:adjustRightInd w:val="0"/>
                    <w:snapToGrid w:val="0"/>
                    <w:jc w:val="center"/>
                    <w:rPr>
                      <w:sz w:val="18"/>
                      <w:szCs w:val="18"/>
                    </w:rPr>
                  </w:pPr>
                </w:p>
              </w:tc>
              <w:tc>
                <w:tcPr>
                  <w:tcW w:w="1049" w:type="pct"/>
                  <w:vMerge w:val="continue"/>
                  <w:vAlign w:val="center"/>
                </w:tcPr>
                <w:p w14:paraId="51A42E32">
                  <w:pPr>
                    <w:jc w:val="center"/>
                    <w:rPr>
                      <w:sz w:val="18"/>
                      <w:szCs w:val="18"/>
                    </w:rPr>
                  </w:pPr>
                </w:p>
              </w:tc>
            </w:tr>
            <w:tr w14:paraId="374D4D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77" w:hRule="atLeast"/>
                <w:jc w:val="center"/>
              </w:trPr>
              <w:tc>
                <w:tcPr>
                  <w:tcW w:w="491" w:type="pct"/>
                  <w:vMerge w:val="continue"/>
                  <w:vAlign w:val="center"/>
                </w:tcPr>
                <w:p w14:paraId="1A3916C1">
                  <w:pPr>
                    <w:jc w:val="center"/>
                    <w:rPr>
                      <w:sz w:val="18"/>
                      <w:szCs w:val="18"/>
                    </w:rPr>
                  </w:pPr>
                </w:p>
              </w:tc>
              <w:tc>
                <w:tcPr>
                  <w:tcW w:w="713" w:type="pct"/>
                  <w:vMerge w:val="continue"/>
                  <w:vAlign w:val="center"/>
                </w:tcPr>
                <w:p w14:paraId="185CC65E">
                  <w:pPr>
                    <w:jc w:val="center"/>
                    <w:rPr>
                      <w:sz w:val="18"/>
                      <w:szCs w:val="18"/>
                    </w:rPr>
                  </w:pPr>
                </w:p>
              </w:tc>
              <w:tc>
                <w:tcPr>
                  <w:tcW w:w="669" w:type="pct"/>
                  <w:shd w:val="clear" w:color="auto" w:fill="auto"/>
                  <w:vAlign w:val="center"/>
                </w:tcPr>
                <w:p w14:paraId="4746C188">
                  <w:pPr>
                    <w:jc w:val="center"/>
                    <w:rPr>
                      <w:rFonts w:hint="eastAsia" w:ascii="Times New Roman" w:hAnsi="Times New Roman" w:eastAsia="宋体" w:cs="Times New Roman"/>
                      <w:color w:val="0000FF"/>
                      <w:kern w:val="2"/>
                      <w:sz w:val="18"/>
                      <w:szCs w:val="18"/>
                      <w:lang w:val="en-US" w:eastAsia="zh-CN" w:bidi="ar-SA"/>
                    </w:rPr>
                  </w:pPr>
                  <w:r>
                    <w:rPr>
                      <w:rFonts w:hint="eastAsia"/>
                      <w:color w:val="0000FF"/>
                      <w:sz w:val="18"/>
                      <w:szCs w:val="18"/>
                      <w:lang w:val="en-US" w:eastAsia="zh-CN"/>
                    </w:rPr>
                    <w:t>苯胺类</w:t>
                  </w:r>
                </w:p>
              </w:tc>
              <w:tc>
                <w:tcPr>
                  <w:tcW w:w="1401" w:type="pct"/>
                  <w:gridSpan w:val="3"/>
                  <w:vAlign w:val="center"/>
                </w:tcPr>
                <w:p w14:paraId="50BB7CB9">
                  <w:pPr>
                    <w:jc w:val="center"/>
                    <w:rPr>
                      <w:rFonts w:hint="default" w:eastAsia="宋体"/>
                      <w:color w:val="0000FF"/>
                      <w:sz w:val="18"/>
                      <w:szCs w:val="18"/>
                      <w:lang w:val="en-US" w:eastAsia="zh-CN"/>
                    </w:rPr>
                  </w:pPr>
                  <w:r>
                    <w:rPr>
                      <w:rFonts w:hint="eastAsia"/>
                      <w:color w:val="0000FF"/>
                      <w:sz w:val="18"/>
                      <w:szCs w:val="18"/>
                      <w:lang w:val="en-US" w:eastAsia="zh-CN"/>
                    </w:rPr>
                    <w:t>0.1</w:t>
                  </w:r>
                </w:p>
              </w:tc>
              <w:tc>
                <w:tcPr>
                  <w:tcW w:w="674" w:type="pct"/>
                  <w:vMerge w:val="continue"/>
                  <w:vAlign w:val="center"/>
                </w:tcPr>
                <w:p w14:paraId="5474F8CD">
                  <w:pPr>
                    <w:adjustRightInd w:val="0"/>
                    <w:snapToGrid w:val="0"/>
                    <w:jc w:val="center"/>
                    <w:rPr>
                      <w:sz w:val="18"/>
                      <w:szCs w:val="18"/>
                    </w:rPr>
                  </w:pPr>
                </w:p>
              </w:tc>
              <w:tc>
                <w:tcPr>
                  <w:tcW w:w="1049" w:type="pct"/>
                  <w:vMerge w:val="continue"/>
                  <w:vAlign w:val="center"/>
                </w:tcPr>
                <w:p w14:paraId="76C7DA81">
                  <w:pPr>
                    <w:jc w:val="center"/>
                    <w:rPr>
                      <w:sz w:val="18"/>
                      <w:szCs w:val="18"/>
                    </w:rPr>
                  </w:pPr>
                </w:p>
              </w:tc>
            </w:tr>
            <w:tr w14:paraId="669AB7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77" w:hRule="atLeast"/>
                <w:jc w:val="center"/>
              </w:trPr>
              <w:tc>
                <w:tcPr>
                  <w:tcW w:w="491" w:type="pct"/>
                  <w:vMerge w:val="continue"/>
                  <w:vAlign w:val="center"/>
                </w:tcPr>
                <w:p w14:paraId="7CFD3510">
                  <w:pPr>
                    <w:jc w:val="center"/>
                    <w:rPr>
                      <w:sz w:val="18"/>
                      <w:szCs w:val="18"/>
                    </w:rPr>
                  </w:pPr>
                </w:p>
              </w:tc>
              <w:tc>
                <w:tcPr>
                  <w:tcW w:w="713" w:type="pct"/>
                  <w:vMerge w:val="continue"/>
                  <w:vAlign w:val="center"/>
                </w:tcPr>
                <w:p w14:paraId="6A6A31EE">
                  <w:pPr>
                    <w:jc w:val="center"/>
                    <w:rPr>
                      <w:sz w:val="18"/>
                      <w:szCs w:val="18"/>
                    </w:rPr>
                  </w:pPr>
                </w:p>
              </w:tc>
              <w:tc>
                <w:tcPr>
                  <w:tcW w:w="669" w:type="pct"/>
                  <w:shd w:val="clear" w:color="auto" w:fill="auto"/>
                  <w:vAlign w:val="center"/>
                </w:tcPr>
                <w:p w14:paraId="43F77F41">
                  <w:pPr>
                    <w:jc w:val="center"/>
                    <w:rPr>
                      <w:rFonts w:hint="eastAsia" w:ascii="Times New Roman" w:hAnsi="Times New Roman" w:eastAsia="宋体" w:cs="Times New Roman"/>
                      <w:color w:val="0000FF"/>
                      <w:kern w:val="2"/>
                      <w:sz w:val="18"/>
                      <w:szCs w:val="18"/>
                      <w:lang w:val="en-US" w:eastAsia="zh-CN" w:bidi="ar-SA"/>
                    </w:rPr>
                  </w:pPr>
                  <w:r>
                    <w:rPr>
                      <w:rFonts w:hint="eastAsia"/>
                      <w:color w:val="0000FF"/>
                      <w:sz w:val="18"/>
                      <w:szCs w:val="18"/>
                      <w:lang w:val="en-US" w:eastAsia="zh-CN"/>
                    </w:rPr>
                    <w:t>酚类</w:t>
                  </w:r>
                </w:p>
              </w:tc>
              <w:tc>
                <w:tcPr>
                  <w:tcW w:w="1401" w:type="pct"/>
                  <w:gridSpan w:val="3"/>
                  <w:vAlign w:val="center"/>
                </w:tcPr>
                <w:p w14:paraId="352B6A65">
                  <w:pPr>
                    <w:jc w:val="center"/>
                    <w:rPr>
                      <w:rFonts w:hint="default" w:eastAsia="宋体"/>
                      <w:color w:val="0000FF"/>
                      <w:sz w:val="18"/>
                      <w:szCs w:val="18"/>
                      <w:lang w:val="en-US" w:eastAsia="zh-CN"/>
                    </w:rPr>
                  </w:pPr>
                  <w:r>
                    <w:rPr>
                      <w:rFonts w:hint="eastAsia"/>
                      <w:color w:val="0000FF"/>
                      <w:sz w:val="18"/>
                      <w:szCs w:val="18"/>
                      <w:lang w:val="en-US" w:eastAsia="zh-CN"/>
                    </w:rPr>
                    <w:t>0.02</w:t>
                  </w:r>
                </w:p>
              </w:tc>
              <w:tc>
                <w:tcPr>
                  <w:tcW w:w="674" w:type="pct"/>
                  <w:vMerge w:val="continue"/>
                  <w:vAlign w:val="center"/>
                </w:tcPr>
                <w:p w14:paraId="03C14068">
                  <w:pPr>
                    <w:adjustRightInd w:val="0"/>
                    <w:snapToGrid w:val="0"/>
                    <w:jc w:val="center"/>
                    <w:rPr>
                      <w:sz w:val="18"/>
                      <w:szCs w:val="18"/>
                    </w:rPr>
                  </w:pPr>
                </w:p>
              </w:tc>
              <w:tc>
                <w:tcPr>
                  <w:tcW w:w="1049" w:type="pct"/>
                  <w:vMerge w:val="continue"/>
                  <w:vAlign w:val="center"/>
                </w:tcPr>
                <w:p w14:paraId="60053C0D">
                  <w:pPr>
                    <w:jc w:val="center"/>
                    <w:rPr>
                      <w:sz w:val="18"/>
                      <w:szCs w:val="18"/>
                    </w:rPr>
                  </w:pPr>
                </w:p>
              </w:tc>
            </w:tr>
            <w:tr w14:paraId="6886AA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77" w:hRule="atLeast"/>
                <w:jc w:val="center"/>
              </w:trPr>
              <w:tc>
                <w:tcPr>
                  <w:tcW w:w="491" w:type="pct"/>
                  <w:vMerge w:val="continue"/>
                  <w:vAlign w:val="center"/>
                </w:tcPr>
                <w:p w14:paraId="13E958C8">
                  <w:pPr>
                    <w:jc w:val="center"/>
                    <w:rPr>
                      <w:sz w:val="18"/>
                      <w:szCs w:val="18"/>
                    </w:rPr>
                  </w:pPr>
                </w:p>
              </w:tc>
              <w:tc>
                <w:tcPr>
                  <w:tcW w:w="713" w:type="pct"/>
                  <w:vMerge w:val="continue"/>
                  <w:vAlign w:val="center"/>
                </w:tcPr>
                <w:p w14:paraId="6FEBCC12">
                  <w:pPr>
                    <w:jc w:val="center"/>
                    <w:rPr>
                      <w:sz w:val="18"/>
                      <w:szCs w:val="18"/>
                    </w:rPr>
                  </w:pPr>
                </w:p>
              </w:tc>
              <w:tc>
                <w:tcPr>
                  <w:tcW w:w="669" w:type="pct"/>
                  <w:shd w:val="clear" w:color="auto" w:fill="auto"/>
                  <w:vAlign w:val="center"/>
                </w:tcPr>
                <w:p w14:paraId="1504C65C">
                  <w:pPr>
                    <w:jc w:val="center"/>
                    <w:rPr>
                      <w:rFonts w:hint="eastAsia"/>
                      <w:sz w:val="18"/>
                      <w:szCs w:val="18"/>
                      <w:lang w:val="en-US" w:eastAsia="zh-CN"/>
                    </w:rPr>
                  </w:pPr>
                  <w:r>
                    <w:rPr>
                      <w:rFonts w:hint="eastAsia"/>
                      <w:color w:val="0000FF"/>
                      <w:sz w:val="18"/>
                      <w:szCs w:val="18"/>
                      <w:lang w:val="en-US" w:eastAsia="zh-CN"/>
                    </w:rPr>
                    <w:t>乙腈</w:t>
                  </w:r>
                </w:p>
              </w:tc>
              <w:tc>
                <w:tcPr>
                  <w:tcW w:w="1401" w:type="pct"/>
                  <w:gridSpan w:val="3"/>
                  <w:vAlign w:val="center"/>
                </w:tcPr>
                <w:p w14:paraId="224C36A4">
                  <w:pPr>
                    <w:jc w:val="center"/>
                    <w:rPr>
                      <w:rFonts w:hint="default"/>
                      <w:sz w:val="18"/>
                      <w:szCs w:val="18"/>
                      <w:lang w:val="en-US" w:eastAsia="zh-CN"/>
                    </w:rPr>
                  </w:pPr>
                  <w:r>
                    <w:rPr>
                      <w:rFonts w:hint="eastAsia"/>
                      <w:color w:val="0000FF"/>
                      <w:sz w:val="18"/>
                      <w:szCs w:val="18"/>
                      <w:lang w:val="en-US" w:eastAsia="zh-CN"/>
                    </w:rPr>
                    <w:t>0.60</w:t>
                  </w:r>
                </w:p>
              </w:tc>
              <w:tc>
                <w:tcPr>
                  <w:tcW w:w="674" w:type="pct"/>
                  <w:vAlign w:val="center"/>
                </w:tcPr>
                <w:p w14:paraId="357B360D">
                  <w:pPr>
                    <w:adjustRightInd w:val="0"/>
                    <w:snapToGrid w:val="0"/>
                    <w:jc w:val="center"/>
                    <w:rPr>
                      <w:sz w:val="18"/>
                      <w:szCs w:val="18"/>
                    </w:rPr>
                  </w:pPr>
                  <w:r>
                    <w:rPr>
                      <w:rFonts w:hint="eastAsia"/>
                      <w:sz w:val="18"/>
                      <w:szCs w:val="18"/>
                    </w:rPr>
                    <w:t>边界外浓度最高点</w:t>
                  </w:r>
                </w:p>
              </w:tc>
              <w:tc>
                <w:tcPr>
                  <w:tcW w:w="1049" w:type="pct"/>
                  <w:vAlign w:val="center"/>
                </w:tcPr>
                <w:p w14:paraId="6D5374E1">
                  <w:pPr>
                    <w:jc w:val="center"/>
                    <w:rPr>
                      <w:sz w:val="18"/>
                      <w:szCs w:val="18"/>
                    </w:rPr>
                  </w:pPr>
                  <w:r>
                    <w:rPr>
                      <w:rFonts w:hint="eastAsia"/>
                      <w:sz w:val="18"/>
                      <w:szCs w:val="18"/>
                      <w:lang w:val="en-US" w:eastAsia="zh-CN"/>
                    </w:rPr>
                    <w:t>《化学工业挥发性有机物排放标准》（DB32/3151-2016）</w:t>
                  </w:r>
                </w:p>
              </w:tc>
            </w:tr>
            <w:tr w14:paraId="30D9FE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16" w:hRule="atLeast"/>
                <w:jc w:val="center"/>
              </w:trPr>
              <w:tc>
                <w:tcPr>
                  <w:tcW w:w="491" w:type="pct"/>
                  <w:vMerge w:val="continue"/>
                  <w:vAlign w:val="center"/>
                </w:tcPr>
                <w:p w14:paraId="5613F959">
                  <w:pPr>
                    <w:jc w:val="center"/>
                    <w:rPr>
                      <w:sz w:val="18"/>
                      <w:szCs w:val="18"/>
                    </w:rPr>
                  </w:pPr>
                </w:p>
              </w:tc>
              <w:tc>
                <w:tcPr>
                  <w:tcW w:w="713" w:type="pct"/>
                  <w:vMerge w:val="continue"/>
                  <w:vAlign w:val="center"/>
                </w:tcPr>
                <w:p w14:paraId="12DEF96E">
                  <w:pPr>
                    <w:jc w:val="center"/>
                    <w:rPr>
                      <w:sz w:val="18"/>
                      <w:szCs w:val="18"/>
                    </w:rPr>
                  </w:pPr>
                </w:p>
              </w:tc>
              <w:tc>
                <w:tcPr>
                  <w:tcW w:w="669" w:type="pct"/>
                  <w:vAlign w:val="center"/>
                </w:tcPr>
                <w:p w14:paraId="0F13A903">
                  <w:pPr>
                    <w:jc w:val="center"/>
                    <w:rPr>
                      <w:sz w:val="18"/>
                      <w:szCs w:val="18"/>
                    </w:rPr>
                  </w:pPr>
                  <w:r>
                    <w:rPr>
                      <w:rFonts w:hint="eastAsia"/>
                      <w:sz w:val="18"/>
                      <w:szCs w:val="18"/>
                    </w:rPr>
                    <w:t>臭气浓度</w:t>
                  </w:r>
                </w:p>
              </w:tc>
              <w:tc>
                <w:tcPr>
                  <w:tcW w:w="1401" w:type="pct"/>
                  <w:gridSpan w:val="3"/>
                  <w:vAlign w:val="center"/>
                </w:tcPr>
                <w:p w14:paraId="0047867A">
                  <w:pPr>
                    <w:jc w:val="center"/>
                    <w:rPr>
                      <w:sz w:val="18"/>
                      <w:szCs w:val="18"/>
                    </w:rPr>
                  </w:pPr>
                  <w:r>
                    <w:rPr>
                      <w:rFonts w:hint="eastAsia"/>
                      <w:sz w:val="18"/>
                      <w:szCs w:val="18"/>
                    </w:rPr>
                    <w:t>2</w:t>
                  </w:r>
                  <w:r>
                    <w:rPr>
                      <w:sz w:val="18"/>
                      <w:szCs w:val="18"/>
                    </w:rPr>
                    <w:t>0</w:t>
                  </w:r>
                  <w:r>
                    <w:rPr>
                      <w:rFonts w:hint="eastAsia"/>
                      <w:sz w:val="18"/>
                      <w:szCs w:val="18"/>
                    </w:rPr>
                    <w:t>（无量纲）</w:t>
                  </w:r>
                </w:p>
              </w:tc>
              <w:tc>
                <w:tcPr>
                  <w:tcW w:w="674" w:type="pct"/>
                  <w:vMerge w:val="restart"/>
                  <w:vAlign w:val="center"/>
                </w:tcPr>
                <w:p w14:paraId="52FE9424">
                  <w:pPr>
                    <w:adjustRightInd w:val="0"/>
                    <w:snapToGrid w:val="0"/>
                    <w:jc w:val="center"/>
                    <w:rPr>
                      <w:sz w:val="18"/>
                      <w:szCs w:val="18"/>
                    </w:rPr>
                  </w:pPr>
                  <w:r>
                    <w:rPr>
                      <w:rFonts w:hint="eastAsia"/>
                      <w:sz w:val="18"/>
                      <w:szCs w:val="18"/>
                    </w:rPr>
                    <w:t>边界外浓度最高点</w:t>
                  </w:r>
                </w:p>
              </w:tc>
              <w:tc>
                <w:tcPr>
                  <w:tcW w:w="1049" w:type="pct"/>
                  <w:vMerge w:val="restart"/>
                  <w:vAlign w:val="center"/>
                </w:tcPr>
                <w:p w14:paraId="0B860E29">
                  <w:pPr>
                    <w:jc w:val="center"/>
                    <w:rPr>
                      <w:sz w:val="18"/>
                      <w:szCs w:val="18"/>
                    </w:rPr>
                  </w:pPr>
                  <w:r>
                    <w:rPr>
                      <w:sz w:val="18"/>
                      <w:szCs w:val="18"/>
                    </w:rPr>
                    <w:t>《恶臭污染物排放标准》（GB</w:t>
                  </w:r>
                  <w:r>
                    <w:rPr>
                      <w:rFonts w:hint="eastAsia"/>
                      <w:sz w:val="18"/>
                      <w:szCs w:val="18"/>
                    </w:rPr>
                    <w:t>14554</w:t>
                  </w:r>
                  <w:r>
                    <w:rPr>
                      <w:sz w:val="18"/>
                      <w:szCs w:val="18"/>
                    </w:rPr>
                    <w:t>-93）</w:t>
                  </w:r>
                </w:p>
              </w:tc>
            </w:tr>
            <w:tr w14:paraId="1C2FB4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16" w:hRule="atLeast"/>
                <w:jc w:val="center"/>
              </w:trPr>
              <w:tc>
                <w:tcPr>
                  <w:tcW w:w="491" w:type="pct"/>
                  <w:vMerge w:val="continue"/>
                  <w:vAlign w:val="center"/>
                </w:tcPr>
                <w:p w14:paraId="63B6AF34">
                  <w:pPr>
                    <w:jc w:val="center"/>
                    <w:rPr>
                      <w:sz w:val="18"/>
                      <w:szCs w:val="18"/>
                    </w:rPr>
                  </w:pPr>
                </w:p>
              </w:tc>
              <w:tc>
                <w:tcPr>
                  <w:tcW w:w="713" w:type="pct"/>
                  <w:vMerge w:val="continue"/>
                  <w:vAlign w:val="center"/>
                </w:tcPr>
                <w:p w14:paraId="321AC010">
                  <w:pPr>
                    <w:jc w:val="center"/>
                    <w:rPr>
                      <w:sz w:val="18"/>
                      <w:szCs w:val="18"/>
                    </w:rPr>
                  </w:pPr>
                </w:p>
              </w:tc>
              <w:tc>
                <w:tcPr>
                  <w:tcW w:w="669" w:type="pct"/>
                  <w:shd w:val="clear" w:color="auto" w:fill="auto"/>
                  <w:vAlign w:val="center"/>
                </w:tcPr>
                <w:p w14:paraId="0FBA0F7B">
                  <w:pPr>
                    <w:jc w:val="center"/>
                    <w:rPr>
                      <w:rFonts w:hint="eastAsia" w:ascii="Times New Roman" w:hAnsi="Times New Roman" w:eastAsia="宋体" w:cs="Times New Roman"/>
                      <w:color w:val="0000FF"/>
                      <w:kern w:val="2"/>
                      <w:sz w:val="18"/>
                      <w:szCs w:val="18"/>
                      <w:lang w:val="en-US" w:eastAsia="zh-CN" w:bidi="ar-SA"/>
                    </w:rPr>
                  </w:pPr>
                  <w:r>
                    <w:rPr>
                      <w:rFonts w:hint="eastAsia"/>
                      <w:color w:val="0000FF"/>
                      <w:sz w:val="18"/>
                      <w:szCs w:val="18"/>
                      <w:lang w:val="en-US" w:eastAsia="zh-CN"/>
                    </w:rPr>
                    <w:t>苯乙烯</w:t>
                  </w:r>
                </w:p>
              </w:tc>
              <w:tc>
                <w:tcPr>
                  <w:tcW w:w="1401" w:type="pct"/>
                  <w:gridSpan w:val="3"/>
                  <w:shd w:val="clear" w:color="auto" w:fill="auto"/>
                  <w:vAlign w:val="center"/>
                </w:tcPr>
                <w:p w14:paraId="454019A9">
                  <w:pPr>
                    <w:jc w:val="center"/>
                    <w:rPr>
                      <w:rFonts w:hint="eastAsia" w:ascii="Times New Roman" w:hAnsi="Times New Roman" w:eastAsia="宋体" w:cs="Times New Roman"/>
                      <w:color w:val="0000FF"/>
                      <w:kern w:val="2"/>
                      <w:sz w:val="18"/>
                      <w:szCs w:val="18"/>
                      <w:lang w:val="en-US" w:eastAsia="zh-CN" w:bidi="ar-SA"/>
                    </w:rPr>
                  </w:pPr>
                  <w:r>
                    <w:rPr>
                      <w:rFonts w:hint="eastAsia"/>
                      <w:color w:val="0000FF"/>
                      <w:sz w:val="18"/>
                      <w:szCs w:val="18"/>
                      <w:lang w:val="en-US" w:eastAsia="zh-CN"/>
                    </w:rPr>
                    <w:t>5.0</w:t>
                  </w:r>
                </w:p>
              </w:tc>
              <w:tc>
                <w:tcPr>
                  <w:tcW w:w="674" w:type="pct"/>
                  <w:vMerge w:val="continue"/>
                  <w:vAlign w:val="center"/>
                </w:tcPr>
                <w:p w14:paraId="7A8FEEB3">
                  <w:pPr>
                    <w:adjustRightInd w:val="0"/>
                    <w:snapToGrid w:val="0"/>
                    <w:jc w:val="center"/>
                    <w:rPr>
                      <w:rFonts w:hint="eastAsia"/>
                      <w:sz w:val="18"/>
                      <w:szCs w:val="18"/>
                    </w:rPr>
                  </w:pPr>
                </w:p>
              </w:tc>
              <w:tc>
                <w:tcPr>
                  <w:tcW w:w="1049" w:type="pct"/>
                  <w:vMerge w:val="continue"/>
                  <w:vAlign w:val="center"/>
                </w:tcPr>
                <w:p w14:paraId="397AF491">
                  <w:pPr>
                    <w:jc w:val="center"/>
                    <w:rPr>
                      <w:sz w:val="18"/>
                      <w:szCs w:val="18"/>
                    </w:rPr>
                  </w:pPr>
                </w:p>
              </w:tc>
            </w:tr>
            <w:tr w14:paraId="4C4364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91" w:hRule="atLeast"/>
                <w:jc w:val="center"/>
              </w:trPr>
              <w:tc>
                <w:tcPr>
                  <w:tcW w:w="491" w:type="pct"/>
                  <w:vMerge w:val="continue"/>
                  <w:vAlign w:val="center"/>
                </w:tcPr>
                <w:p w14:paraId="7ED1DA33">
                  <w:pPr>
                    <w:jc w:val="center"/>
                    <w:rPr>
                      <w:sz w:val="18"/>
                      <w:szCs w:val="18"/>
                    </w:rPr>
                  </w:pPr>
                </w:p>
              </w:tc>
              <w:tc>
                <w:tcPr>
                  <w:tcW w:w="713" w:type="pct"/>
                  <w:vMerge w:val="continue"/>
                  <w:vAlign w:val="center"/>
                </w:tcPr>
                <w:p w14:paraId="642360A0">
                  <w:pPr>
                    <w:jc w:val="center"/>
                    <w:rPr>
                      <w:sz w:val="18"/>
                      <w:szCs w:val="18"/>
                    </w:rPr>
                  </w:pPr>
                </w:p>
              </w:tc>
              <w:tc>
                <w:tcPr>
                  <w:tcW w:w="669" w:type="pct"/>
                  <w:vAlign w:val="center"/>
                </w:tcPr>
                <w:p w14:paraId="3C3EBE74">
                  <w:pPr>
                    <w:jc w:val="center"/>
                    <w:rPr>
                      <w:sz w:val="18"/>
                      <w:szCs w:val="18"/>
                    </w:rPr>
                  </w:pPr>
                  <w:r>
                    <w:rPr>
                      <w:rFonts w:hint="eastAsia"/>
                      <w:sz w:val="18"/>
                      <w:szCs w:val="18"/>
                    </w:rPr>
                    <w:t>氨</w:t>
                  </w:r>
                </w:p>
              </w:tc>
              <w:tc>
                <w:tcPr>
                  <w:tcW w:w="1401" w:type="pct"/>
                  <w:gridSpan w:val="3"/>
                  <w:vAlign w:val="center"/>
                </w:tcPr>
                <w:p w14:paraId="4E1D4A4C">
                  <w:pPr>
                    <w:jc w:val="center"/>
                    <w:rPr>
                      <w:sz w:val="18"/>
                      <w:szCs w:val="18"/>
                    </w:rPr>
                  </w:pPr>
                  <w:r>
                    <w:rPr>
                      <w:rFonts w:hint="eastAsia"/>
                      <w:sz w:val="18"/>
                      <w:szCs w:val="18"/>
                    </w:rPr>
                    <w:t>1.5</w:t>
                  </w:r>
                </w:p>
              </w:tc>
              <w:tc>
                <w:tcPr>
                  <w:tcW w:w="674" w:type="pct"/>
                  <w:vMerge w:val="continue"/>
                  <w:vAlign w:val="center"/>
                </w:tcPr>
                <w:p w14:paraId="54B81D80">
                  <w:pPr>
                    <w:adjustRightInd w:val="0"/>
                    <w:snapToGrid w:val="0"/>
                    <w:jc w:val="center"/>
                    <w:rPr>
                      <w:sz w:val="18"/>
                      <w:szCs w:val="18"/>
                    </w:rPr>
                  </w:pPr>
                </w:p>
              </w:tc>
              <w:tc>
                <w:tcPr>
                  <w:tcW w:w="1049" w:type="pct"/>
                  <w:vMerge w:val="continue"/>
                  <w:vAlign w:val="center"/>
                </w:tcPr>
                <w:p w14:paraId="365093D0">
                  <w:pPr>
                    <w:jc w:val="center"/>
                    <w:rPr>
                      <w:sz w:val="18"/>
                      <w:szCs w:val="18"/>
                    </w:rPr>
                  </w:pPr>
                </w:p>
              </w:tc>
            </w:tr>
            <w:tr w14:paraId="48134F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284" w:hRule="atLeast"/>
                <w:jc w:val="center"/>
              </w:trPr>
              <w:tc>
                <w:tcPr>
                  <w:tcW w:w="491" w:type="pct"/>
                  <w:vMerge w:val="restart"/>
                  <w:vAlign w:val="center"/>
                </w:tcPr>
                <w:p w14:paraId="50608B93">
                  <w:pPr>
                    <w:adjustRightInd w:val="0"/>
                    <w:snapToGrid w:val="0"/>
                    <w:jc w:val="center"/>
                    <w:rPr>
                      <w:sz w:val="18"/>
                      <w:szCs w:val="18"/>
                    </w:rPr>
                  </w:pPr>
                  <w:r>
                    <w:rPr>
                      <w:rFonts w:hint="eastAsia"/>
                      <w:sz w:val="18"/>
                      <w:szCs w:val="18"/>
                    </w:rPr>
                    <w:t>厂区内</w:t>
                  </w:r>
                </w:p>
              </w:tc>
              <w:tc>
                <w:tcPr>
                  <w:tcW w:w="713" w:type="pct"/>
                  <w:vMerge w:val="restart"/>
                  <w:vAlign w:val="center"/>
                </w:tcPr>
                <w:p w14:paraId="22D760FE">
                  <w:pPr>
                    <w:adjustRightInd w:val="0"/>
                    <w:snapToGrid w:val="0"/>
                    <w:jc w:val="center"/>
                    <w:rPr>
                      <w:sz w:val="18"/>
                      <w:szCs w:val="18"/>
                    </w:rPr>
                  </w:pPr>
                  <w:r>
                    <w:rPr>
                      <w:rFonts w:hint="eastAsia"/>
                      <w:sz w:val="18"/>
                      <w:szCs w:val="18"/>
                    </w:rPr>
                    <w:t>均质、均匀性初检、稳定性评估、危废仓库</w:t>
                  </w:r>
                </w:p>
              </w:tc>
              <w:tc>
                <w:tcPr>
                  <w:tcW w:w="669" w:type="pct"/>
                  <w:vMerge w:val="restart"/>
                  <w:vAlign w:val="center"/>
                </w:tcPr>
                <w:p w14:paraId="3BB0BAE7">
                  <w:pPr>
                    <w:adjustRightInd w:val="0"/>
                    <w:snapToGrid w:val="0"/>
                    <w:jc w:val="center"/>
                    <w:rPr>
                      <w:sz w:val="18"/>
                      <w:szCs w:val="18"/>
                    </w:rPr>
                  </w:pPr>
                  <w:r>
                    <w:rPr>
                      <w:rFonts w:hint="eastAsia"/>
                      <w:sz w:val="18"/>
                      <w:szCs w:val="18"/>
                    </w:rPr>
                    <w:t>非甲烷总烃</w:t>
                  </w:r>
                </w:p>
              </w:tc>
              <w:tc>
                <w:tcPr>
                  <w:tcW w:w="1220" w:type="pct"/>
                  <w:gridSpan w:val="2"/>
                  <w:vAlign w:val="center"/>
                </w:tcPr>
                <w:p w14:paraId="05FF0677">
                  <w:pPr>
                    <w:adjustRightInd w:val="0"/>
                    <w:snapToGrid w:val="0"/>
                    <w:jc w:val="center"/>
                    <w:rPr>
                      <w:sz w:val="18"/>
                      <w:szCs w:val="18"/>
                    </w:rPr>
                  </w:pPr>
                  <w:r>
                    <w:rPr>
                      <w:rFonts w:hint="eastAsia"/>
                      <w:sz w:val="18"/>
                      <w:szCs w:val="18"/>
                    </w:rPr>
                    <w:t>监控点处1h平均浓度值</w:t>
                  </w:r>
                </w:p>
              </w:tc>
              <w:tc>
                <w:tcPr>
                  <w:tcW w:w="181" w:type="pct"/>
                  <w:vAlign w:val="center"/>
                </w:tcPr>
                <w:p w14:paraId="23A7AED7">
                  <w:pPr>
                    <w:adjustRightInd w:val="0"/>
                    <w:snapToGrid w:val="0"/>
                    <w:jc w:val="center"/>
                    <w:rPr>
                      <w:sz w:val="18"/>
                      <w:szCs w:val="18"/>
                    </w:rPr>
                  </w:pPr>
                  <w:r>
                    <w:rPr>
                      <w:sz w:val="18"/>
                      <w:szCs w:val="18"/>
                    </w:rPr>
                    <w:t>6</w:t>
                  </w:r>
                </w:p>
              </w:tc>
              <w:tc>
                <w:tcPr>
                  <w:tcW w:w="674" w:type="pct"/>
                  <w:vMerge w:val="restart"/>
                  <w:vAlign w:val="center"/>
                </w:tcPr>
                <w:p w14:paraId="72EB3D01">
                  <w:pPr>
                    <w:adjustRightInd w:val="0"/>
                    <w:snapToGrid w:val="0"/>
                    <w:jc w:val="center"/>
                    <w:rPr>
                      <w:sz w:val="18"/>
                      <w:szCs w:val="18"/>
                    </w:rPr>
                  </w:pPr>
                  <w:r>
                    <w:rPr>
                      <w:rFonts w:hint="eastAsia"/>
                      <w:sz w:val="18"/>
                      <w:szCs w:val="18"/>
                    </w:rPr>
                    <w:t>在</w:t>
                  </w:r>
                  <w:r>
                    <w:rPr>
                      <w:sz w:val="18"/>
                      <w:szCs w:val="18"/>
                    </w:rPr>
                    <w:t>厂房外设置监控点</w:t>
                  </w:r>
                </w:p>
              </w:tc>
              <w:tc>
                <w:tcPr>
                  <w:tcW w:w="1049" w:type="pct"/>
                  <w:vMerge w:val="restart"/>
                  <w:vAlign w:val="center"/>
                </w:tcPr>
                <w:p w14:paraId="45903378">
                  <w:pPr>
                    <w:adjustRightInd w:val="0"/>
                    <w:snapToGrid w:val="0"/>
                    <w:jc w:val="center"/>
                    <w:rPr>
                      <w:sz w:val="18"/>
                      <w:szCs w:val="18"/>
                    </w:rPr>
                  </w:pPr>
                  <w:r>
                    <w:rPr>
                      <w:rFonts w:hint="eastAsia"/>
                      <w:sz w:val="18"/>
                      <w:szCs w:val="18"/>
                    </w:rPr>
                    <w:t>《大气污染物综合排放标准》（D</w:t>
                  </w:r>
                  <w:r>
                    <w:rPr>
                      <w:sz w:val="18"/>
                      <w:szCs w:val="18"/>
                    </w:rPr>
                    <w:t>B32/4041</w:t>
                  </w:r>
                  <w:r>
                    <w:rPr>
                      <w:rFonts w:hint="eastAsia"/>
                      <w:sz w:val="18"/>
                      <w:szCs w:val="18"/>
                    </w:rPr>
                    <w:t>-</w:t>
                  </w:r>
                  <w:r>
                    <w:rPr>
                      <w:sz w:val="18"/>
                      <w:szCs w:val="18"/>
                    </w:rPr>
                    <w:t>2021</w:t>
                  </w:r>
                  <w:r>
                    <w:rPr>
                      <w:rFonts w:hint="eastAsia"/>
                      <w:sz w:val="18"/>
                      <w:szCs w:val="18"/>
                    </w:rPr>
                    <w:t>）</w:t>
                  </w:r>
                </w:p>
              </w:tc>
            </w:tr>
            <w:tr w14:paraId="2ED5C0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90" w:hRule="atLeast"/>
                <w:jc w:val="center"/>
              </w:trPr>
              <w:tc>
                <w:tcPr>
                  <w:tcW w:w="491" w:type="pct"/>
                  <w:vMerge w:val="continue"/>
                  <w:vAlign w:val="center"/>
                </w:tcPr>
                <w:p w14:paraId="27EAF5B9">
                  <w:pPr>
                    <w:adjustRightInd w:val="0"/>
                    <w:snapToGrid w:val="0"/>
                    <w:jc w:val="center"/>
                    <w:rPr>
                      <w:sz w:val="18"/>
                      <w:szCs w:val="18"/>
                    </w:rPr>
                  </w:pPr>
                </w:p>
              </w:tc>
              <w:tc>
                <w:tcPr>
                  <w:tcW w:w="713" w:type="pct"/>
                  <w:vMerge w:val="continue"/>
                  <w:vAlign w:val="center"/>
                </w:tcPr>
                <w:p w14:paraId="7BE19564">
                  <w:pPr>
                    <w:adjustRightInd w:val="0"/>
                    <w:snapToGrid w:val="0"/>
                    <w:jc w:val="center"/>
                    <w:rPr>
                      <w:sz w:val="18"/>
                      <w:szCs w:val="18"/>
                    </w:rPr>
                  </w:pPr>
                </w:p>
              </w:tc>
              <w:tc>
                <w:tcPr>
                  <w:tcW w:w="669" w:type="pct"/>
                  <w:vMerge w:val="continue"/>
                  <w:vAlign w:val="center"/>
                </w:tcPr>
                <w:p w14:paraId="182D1FB5">
                  <w:pPr>
                    <w:adjustRightInd w:val="0"/>
                    <w:snapToGrid w:val="0"/>
                    <w:jc w:val="center"/>
                    <w:rPr>
                      <w:sz w:val="18"/>
                      <w:szCs w:val="18"/>
                    </w:rPr>
                  </w:pPr>
                </w:p>
              </w:tc>
              <w:tc>
                <w:tcPr>
                  <w:tcW w:w="1220" w:type="pct"/>
                  <w:gridSpan w:val="2"/>
                  <w:vAlign w:val="center"/>
                </w:tcPr>
                <w:p w14:paraId="16261855">
                  <w:pPr>
                    <w:adjustRightInd w:val="0"/>
                    <w:snapToGrid w:val="0"/>
                    <w:jc w:val="center"/>
                    <w:rPr>
                      <w:sz w:val="18"/>
                      <w:szCs w:val="18"/>
                    </w:rPr>
                  </w:pPr>
                  <w:r>
                    <w:rPr>
                      <w:rFonts w:hint="eastAsia"/>
                      <w:sz w:val="18"/>
                      <w:szCs w:val="18"/>
                    </w:rPr>
                    <w:t>监控点处任意一处浓度值</w:t>
                  </w:r>
                </w:p>
              </w:tc>
              <w:tc>
                <w:tcPr>
                  <w:tcW w:w="181" w:type="pct"/>
                  <w:vAlign w:val="center"/>
                </w:tcPr>
                <w:p w14:paraId="4E80237C">
                  <w:pPr>
                    <w:adjustRightInd w:val="0"/>
                    <w:snapToGrid w:val="0"/>
                    <w:jc w:val="center"/>
                    <w:rPr>
                      <w:sz w:val="18"/>
                      <w:szCs w:val="18"/>
                    </w:rPr>
                  </w:pPr>
                  <w:r>
                    <w:rPr>
                      <w:sz w:val="18"/>
                      <w:szCs w:val="18"/>
                    </w:rPr>
                    <w:t>20</w:t>
                  </w:r>
                </w:p>
              </w:tc>
              <w:tc>
                <w:tcPr>
                  <w:tcW w:w="674" w:type="pct"/>
                  <w:vMerge w:val="continue"/>
                  <w:vAlign w:val="center"/>
                </w:tcPr>
                <w:p w14:paraId="24DE2523">
                  <w:pPr>
                    <w:adjustRightInd w:val="0"/>
                    <w:snapToGrid w:val="0"/>
                    <w:jc w:val="center"/>
                    <w:rPr>
                      <w:sz w:val="18"/>
                      <w:szCs w:val="18"/>
                    </w:rPr>
                  </w:pPr>
                </w:p>
              </w:tc>
              <w:tc>
                <w:tcPr>
                  <w:tcW w:w="1049" w:type="pct"/>
                  <w:vMerge w:val="continue"/>
                  <w:vAlign w:val="center"/>
                </w:tcPr>
                <w:p w14:paraId="7943886D">
                  <w:pPr>
                    <w:adjustRightInd w:val="0"/>
                    <w:snapToGrid w:val="0"/>
                    <w:jc w:val="center"/>
                    <w:rPr>
                      <w:sz w:val="18"/>
                      <w:szCs w:val="18"/>
                    </w:rPr>
                  </w:pPr>
                </w:p>
              </w:tc>
            </w:tr>
          </w:tbl>
          <w:p w14:paraId="593B2F14">
            <w:pPr>
              <w:widowControl/>
              <w:shd w:val="clear" w:color="auto" w:fill="FFFFFF"/>
              <w:spacing w:before="120" w:line="360" w:lineRule="auto"/>
              <w:ind w:firstLine="454" w:firstLineChars="200"/>
              <w:jc w:val="left"/>
              <w:rPr>
                <w:b/>
                <w:spacing w:val="8"/>
                <w:kern w:val="0"/>
                <w:szCs w:val="21"/>
              </w:rPr>
            </w:pPr>
            <w:r>
              <w:rPr>
                <w:rFonts w:hint="eastAsia"/>
                <w:b/>
                <w:spacing w:val="8"/>
                <w:kern w:val="0"/>
                <w:szCs w:val="21"/>
              </w:rPr>
              <w:t>2</w:t>
            </w:r>
            <w:r>
              <w:rPr>
                <w:b/>
                <w:spacing w:val="8"/>
                <w:kern w:val="0"/>
                <w:szCs w:val="21"/>
              </w:rPr>
              <w:t>.</w:t>
            </w:r>
            <w:r>
              <w:rPr>
                <w:rFonts w:hint="eastAsia"/>
                <w:b/>
                <w:spacing w:val="8"/>
                <w:kern w:val="0"/>
                <w:szCs w:val="21"/>
              </w:rPr>
              <w:t>水</w:t>
            </w:r>
            <w:r>
              <w:rPr>
                <w:b/>
                <w:spacing w:val="8"/>
                <w:kern w:val="0"/>
                <w:szCs w:val="21"/>
              </w:rPr>
              <w:t>污染物排放标准</w:t>
            </w:r>
          </w:p>
          <w:p w14:paraId="4E8A0834">
            <w:pPr>
              <w:snapToGrid w:val="0"/>
              <w:spacing w:line="360" w:lineRule="auto"/>
              <w:ind w:firstLine="420" w:firstLineChars="200"/>
            </w:pPr>
            <w:r>
              <w:rPr>
                <w:rFonts w:hint="eastAsia"/>
                <w:szCs w:val="21"/>
              </w:rPr>
              <w:t>本</w:t>
            </w:r>
            <w:r>
              <w:rPr>
                <w:szCs w:val="21"/>
              </w:rPr>
              <w:t>项目</w:t>
            </w:r>
            <w:r>
              <w:rPr>
                <w:rFonts w:hint="eastAsia"/>
                <w:szCs w:val="21"/>
              </w:rPr>
              <w:t>实行“雨污分流”，后期</w:t>
            </w:r>
            <w:r>
              <w:rPr>
                <w:szCs w:val="21"/>
              </w:rPr>
              <w:t>雨水经雨水管</w:t>
            </w:r>
            <w:r>
              <w:rPr>
                <w:rFonts w:hint="eastAsia"/>
                <w:szCs w:val="21"/>
              </w:rPr>
              <w:t>道</w:t>
            </w:r>
            <w:r>
              <w:rPr>
                <w:szCs w:val="21"/>
              </w:rPr>
              <w:t>收集后排入</w:t>
            </w:r>
            <w:r>
              <w:rPr>
                <w:rFonts w:hint="eastAsia"/>
                <w:szCs w:val="21"/>
              </w:rPr>
              <w:t>北侧小河，雨水排放标准参照执行《地表水环境质量标准》（GB3838-2002）</w:t>
            </w:r>
            <w:r>
              <w:rPr>
                <w:rFonts w:hint="eastAsia" w:ascii="宋体" w:hAnsi="宋体" w:cs="宋体"/>
              </w:rPr>
              <w:t>Ⅲ</w:t>
            </w:r>
            <w:r>
              <w:rPr>
                <w:rFonts w:hint="eastAsia"/>
              </w:rPr>
              <w:t>类标准</w:t>
            </w:r>
            <w:r>
              <w:rPr>
                <w:rFonts w:hint="eastAsia"/>
                <w:szCs w:val="21"/>
              </w:rPr>
              <w:t>；</w:t>
            </w:r>
            <w:r>
              <w:t>建设项目生活污水</w:t>
            </w:r>
            <w:r>
              <w:rPr>
                <w:rFonts w:hint="eastAsia"/>
              </w:rPr>
              <w:t>经化粪池处理后</w:t>
            </w:r>
            <w:r>
              <w:rPr>
                <w:rFonts w:hint="eastAsia"/>
                <w:lang w:eastAsia="zh-CN"/>
              </w:rPr>
              <w:t>、</w:t>
            </w:r>
            <w:r>
              <w:rPr>
                <w:rFonts w:hint="eastAsia"/>
                <w:lang w:val="en-US" w:eastAsia="zh-CN"/>
              </w:rPr>
              <w:t>后道清洗废水经厂区污水处理设施处理后</w:t>
            </w:r>
            <w:r>
              <w:t>接管</w:t>
            </w:r>
            <w:r>
              <w:rPr>
                <w:rFonts w:hint="eastAsia"/>
              </w:rPr>
              <w:t>海安李堡滇池水务有限公司</w:t>
            </w:r>
            <w:r>
              <w:t>集中处理，接管标准执行《污水综合排放标准》（GB8978-1996）表4中三级标准，其中氨氮、总氮、总磷执行《污水排入城镇下水道水质标准》（GB/T31962-2015）表1中</w:t>
            </w:r>
            <w:r>
              <w:rPr>
                <w:rFonts w:hint="eastAsia"/>
              </w:rPr>
              <w:t>B等</w:t>
            </w:r>
            <w:r>
              <w:t>级标准，同时达到</w:t>
            </w:r>
            <w:r>
              <w:rPr>
                <w:rFonts w:hint="eastAsia"/>
              </w:rPr>
              <w:t>海安李堡滇池水务有限公司</w:t>
            </w:r>
            <w:r>
              <w:t>设计进水标准。污水处理厂尾水排放执行《城镇污水处理厂污染物排放标准》（GB18918-2002）及其修改单中的一级A标准。</w:t>
            </w:r>
            <w:r>
              <w:rPr>
                <w:rFonts w:hint="eastAsia"/>
                <w:color w:val="0000FF"/>
                <w:lang w:val="en-US" w:eastAsia="zh-CN"/>
              </w:rPr>
              <w:t>自2026年3月28日起</w:t>
            </w:r>
            <w:r>
              <w:rPr>
                <w:color w:val="0000FF"/>
              </w:rPr>
              <w:t>污水处理厂尾水排放执行《城镇污水处理厂污染物排放标准》（</w:t>
            </w:r>
            <w:r>
              <w:rPr>
                <w:rFonts w:hint="eastAsia"/>
                <w:color w:val="0000FF"/>
                <w:lang w:val="en-US" w:eastAsia="zh-CN"/>
              </w:rPr>
              <w:t>DB32/4440-2022</w:t>
            </w:r>
            <w:r>
              <w:rPr>
                <w:color w:val="0000FF"/>
              </w:rPr>
              <w:t>）中的</w:t>
            </w:r>
            <w:r>
              <w:rPr>
                <w:rFonts w:hint="eastAsia"/>
                <w:color w:val="0000FF"/>
                <w:lang w:val="en-US" w:eastAsia="zh-CN"/>
              </w:rPr>
              <w:t>C</w:t>
            </w:r>
            <w:r>
              <w:rPr>
                <w:color w:val="0000FF"/>
              </w:rPr>
              <w:t>标准</w:t>
            </w:r>
            <w:r>
              <w:t>。具体见下表。</w:t>
            </w:r>
          </w:p>
          <w:p w14:paraId="206988FC">
            <w:pPr>
              <w:tabs>
                <w:tab w:val="left" w:pos="5142"/>
              </w:tabs>
              <w:adjustRightInd w:val="0"/>
              <w:snapToGrid w:val="0"/>
              <w:jc w:val="center"/>
              <w:rPr>
                <w:b/>
                <w:bCs/>
              </w:rPr>
            </w:pPr>
            <w:r>
              <w:rPr>
                <w:b/>
                <w:bCs/>
              </w:rPr>
              <w:t>表3-</w:t>
            </w:r>
            <w:r>
              <w:rPr>
                <w:rFonts w:hint="eastAsia"/>
                <w:b/>
                <w:bCs/>
              </w:rPr>
              <w:t>6</w:t>
            </w:r>
            <w:r>
              <w:rPr>
                <w:b/>
                <w:bCs/>
              </w:rPr>
              <w:t xml:space="preserve"> 建设项目污水</w:t>
            </w:r>
            <w:r>
              <w:rPr>
                <w:rFonts w:hint="eastAsia"/>
                <w:b/>
                <w:bCs/>
              </w:rPr>
              <w:t>排放标准</w:t>
            </w:r>
            <w:r>
              <w:rPr>
                <w:b/>
                <w:bCs/>
              </w:rPr>
              <w:t xml:space="preserve"> </w:t>
            </w:r>
            <w:r>
              <w:rPr>
                <w:rFonts w:hint="eastAsia"/>
                <w:b/>
                <w:bCs/>
              </w:rPr>
              <w:t xml:space="preserve">   </w:t>
            </w:r>
            <w:r>
              <w:rPr>
                <w:b/>
                <w:bCs/>
              </w:rPr>
              <w:t>单位：mg/L</w:t>
            </w:r>
            <w:r>
              <w:rPr>
                <w:rFonts w:hint="eastAsia"/>
                <w:b/>
                <w:bCs/>
              </w:rPr>
              <w:t>(</w:t>
            </w:r>
            <w:r>
              <w:rPr>
                <w:b/>
                <w:bCs/>
              </w:rPr>
              <w:t>pH为无量纲）</w:t>
            </w:r>
          </w:p>
          <w:tbl>
            <w:tblPr>
              <w:tblStyle w:val="23"/>
              <w:tblW w:w="82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320"/>
              <w:gridCol w:w="1230"/>
              <w:gridCol w:w="2730"/>
              <w:gridCol w:w="2365"/>
            </w:tblGrid>
            <w:tr w14:paraId="5EABB6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342" w:type="pct"/>
                  <w:vAlign w:val="center"/>
                </w:tcPr>
                <w:p w14:paraId="0BB8FA13">
                  <w:pPr>
                    <w:spacing w:line="240" w:lineRule="atLeast"/>
                    <w:jc w:val="center"/>
                    <w:rPr>
                      <w:b/>
                      <w:bCs/>
                      <w:sz w:val="18"/>
                      <w:szCs w:val="18"/>
                    </w:rPr>
                  </w:pPr>
                  <w:r>
                    <w:rPr>
                      <w:b/>
                      <w:bCs/>
                      <w:sz w:val="18"/>
                      <w:szCs w:val="18"/>
                      <w:lang w:val="zh-CN"/>
                    </w:rPr>
                    <w:t>序号</w:t>
                  </w:r>
                </w:p>
              </w:tc>
              <w:tc>
                <w:tcPr>
                  <w:tcW w:w="804" w:type="pct"/>
                  <w:vAlign w:val="center"/>
                </w:tcPr>
                <w:p w14:paraId="525E6C2A">
                  <w:pPr>
                    <w:spacing w:line="240" w:lineRule="atLeast"/>
                    <w:jc w:val="center"/>
                    <w:rPr>
                      <w:b/>
                      <w:bCs/>
                      <w:sz w:val="18"/>
                      <w:szCs w:val="18"/>
                    </w:rPr>
                  </w:pPr>
                  <w:r>
                    <w:rPr>
                      <w:b/>
                      <w:bCs/>
                      <w:sz w:val="18"/>
                      <w:szCs w:val="18"/>
                      <w:lang w:val="zh-CN"/>
                    </w:rPr>
                    <w:t>污染物种类</w:t>
                  </w:r>
                </w:p>
              </w:tc>
              <w:tc>
                <w:tcPr>
                  <w:tcW w:w="749" w:type="pct"/>
                  <w:vAlign w:val="center"/>
                </w:tcPr>
                <w:p w14:paraId="0B68691E">
                  <w:pPr>
                    <w:spacing w:line="240" w:lineRule="atLeast"/>
                    <w:jc w:val="center"/>
                    <w:rPr>
                      <w:b/>
                      <w:bCs/>
                      <w:sz w:val="18"/>
                      <w:szCs w:val="18"/>
                    </w:rPr>
                  </w:pPr>
                  <w:r>
                    <w:rPr>
                      <w:rFonts w:hint="eastAsia"/>
                      <w:b/>
                      <w:bCs/>
                      <w:sz w:val="18"/>
                      <w:szCs w:val="18"/>
                      <w:lang w:val="zh-CN"/>
                    </w:rPr>
                    <w:t>污水接管标准</w:t>
                  </w:r>
                </w:p>
              </w:tc>
              <w:tc>
                <w:tcPr>
                  <w:tcW w:w="1663" w:type="pct"/>
                  <w:vAlign w:val="center"/>
                </w:tcPr>
                <w:p w14:paraId="3F955FEB">
                  <w:pPr>
                    <w:spacing w:line="240" w:lineRule="atLeast"/>
                    <w:jc w:val="center"/>
                    <w:rPr>
                      <w:b/>
                      <w:bCs/>
                      <w:sz w:val="18"/>
                      <w:szCs w:val="18"/>
                      <w:lang w:val="zh-CN"/>
                    </w:rPr>
                  </w:pPr>
                  <w:r>
                    <w:rPr>
                      <w:rFonts w:hint="eastAsia"/>
                      <w:b/>
                      <w:bCs/>
                      <w:sz w:val="18"/>
                      <w:szCs w:val="18"/>
                      <w:lang w:val="zh-CN"/>
                    </w:rPr>
                    <w:t>污水处理厂尾水排放标准</w:t>
                  </w:r>
                </w:p>
              </w:tc>
              <w:tc>
                <w:tcPr>
                  <w:tcW w:w="1440" w:type="pct"/>
                </w:tcPr>
                <w:p w14:paraId="3ECE0BFA">
                  <w:pPr>
                    <w:spacing w:line="240" w:lineRule="atLeast"/>
                    <w:jc w:val="center"/>
                    <w:rPr>
                      <w:rFonts w:hint="eastAsia"/>
                      <w:b/>
                      <w:bCs/>
                      <w:color w:val="0000FF"/>
                      <w:sz w:val="18"/>
                      <w:szCs w:val="18"/>
                      <w:lang w:val="zh-CN"/>
                    </w:rPr>
                  </w:pPr>
                  <w:r>
                    <w:rPr>
                      <w:rFonts w:hint="eastAsia"/>
                      <w:b/>
                      <w:bCs/>
                      <w:color w:val="0000FF"/>
                      <w:sz w:val="18"/>
                      <w:szCs w:val="18"/>
                      <w:lang w:val="zh-CN"/>
                    </w:rPr>
                    <w:t>《城镇污水处理厂污染物排放标准》（</w:t>
                  </w:r>
                  <w:r>
                    <w:rPr>
                      <w:rFonts w:hint="eastAsia"/>
                      <w:b/>
                      <w:bCs/>
                      <w:color w:val="0000FF"/>
                      <w:sz w:val="18"/>
                      <w:szCs w:val="18"/>
                      <w:lang w:val="en-US" w:eastAsia="zh-CN"/>
                    </w:rPr>
                    <w:t>DB32/4440-2022</w:t>
                  </w:r>
                  <w:r>
                    <w:rPr>
                      <w:rFonts w:hint="eastAsia"/>
                      <w:b/>
                      <w:bCs/>
                      <w:color w:val="0000FF"/>
                      <w:sz w:val="18"/>
                      <w:szCs w:val="18"/>
                      <w:lang w:val="zh-CN"/>
                    </w:rPr>
                    <w:t>）</w:t>
                  </w:r>
                </w:p>
              </w:tc>
            </w:tr>
            <w:tr w14:paraId="4143CC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42" w:type="pct"/>
                  <w:vAlign w:val="center"/>
                </w:tcPr>
                <w:p w14:paraId="2F932EC9">
                  <w:pPr>
                    <w:widowControl/>
                    <w:snapToGrid w:val="0"/>
                    <w:jc w:val="center"/>
                    <w:rPr>
                      <w:sz w:val="18"/>
                      <w:szCs w:val="18"/>
                    </w:rPr>
                  </w:pPr>
                  <w:r>
                    <w:rPr>
                      <w:sz w:val="18"/>
                      <w:szCs w:val="18"/>
                    </w:rPr>
                    <w:t>1</w:t>
                  </w:r>
                </w:p>
              </w:tc>
              <w:tc>
                <w:tcPr>
                  <w:tcW w:w="804" w:type="pct"/>
                  <w:vAlign w:val="center"/>
                </w:tcPr>
                <w:p w14:paraId="3C76A797">
                  <w:pPr>
                    <w:widowControl/>
                    <w:snapToGrid w:val="0"/>
                    <w:jc w:val="center"/>
                    <w:rPr>
                      <w:sz w:val="18"/>
                      <w:szCs w:val="18"/>
                    </w:rPr>
                  </w:pPr>
                  <w:r>
                    <w:rPr>
                      <w:sz w:val="18"/>
                      <w:szCs w:val="18"/>
                    </w:rPr>
                    <w:t>pH</w:t>
                  </w:r>
                </w:p>
              </w:tc>
              <w:tc>
                <w:tcPr>
                  <w:tcW w:w="749" w:type="pct"/>
                  <w:vAlign w:val="center"/>
                </w:tcPr>
                <w:p w14:paraId="2F082C24">
                  <w:pPr>
                    <w:pStyle w:val="55"/>
                    <w:spacing w:before="24" w:after="24"/>
                    <w:rPr>
                      <w:rFonts w:ascii="Times New Roman"/>
                      <w:sz w:val="18"/>
                      <w:szCs w:val="18"/>
                    </w:rPr>
                  </w:pPr>
                  <w:r>
                    <w:rPr>
                      <w:rFonts w:ascii="Times New Roman"/>
                      <w:sz w:val="18"/>
                      <w:szCs w:val="18"/>
                    </w:rPr>
                    <w:t>6-9</w:t>
                  </w:r>
                </w:p>
              </w:tc>
              <w:tc>
                <w:tcPr>
                  <w:tcW w:w="1663" w:type="pct"/>
                  <w:vAlign w:val="center"/>
                </w:tcPr>
                <w:p w14:paraId="67922436">
                  <w:pPr>
                    <w:pStyle w:val="55"/>
                    <w:spacing w:before="24" w:after="24"/>
                    <w:rPr>
                      <w:rFonts w:ascii="Times New Roman"/>
                      <w:sz w:val="18"/>
                      <w:szCs w:val="18"/>
                    </w:rPr>
                  </w:pPr>
                  <w:r>
                    <w:rPr>
                      <w:rFonts w:ascii="Times New Roman"/>
                      <w:sz w:val="18"/>
                      <w:szCs w:val="18"/>
                    </w:rPr>
                    <w:t>6-9</w:t>
                  </w:r>
                </w:p>
              </w:tc>
              <w:tc>
                <w:tcPr>
                  <w:tcW w:w="1440" w:type="pct"/>
                  <w:vAlign w:val="center"/>
                </w:tcPr>
                <w:p w14:paraId="1CBEDB40">
                  <w:pPr>
                    <w:pStyle w:val="55"/>
                    <w:spacing w:before="24" w:after="24"/>
                    <w:rPr>
                      <w:rFonts w:hint="default" w:ascii="Times New Roman" w:eastAsia="宋体"/>
                      <w:color w:val="0000FF"/>
                      <w:sz w:val="18"/>
                      <w:szCs w:val="18"/>
                      <w:lang w:val="en-US" w:eastAsia="zh-CN"/>
                    </w:rPr>
                  </w:pPr>
                  <w:r>
                    <w:rPr>
                      <w:rFonts w:ascii="Times New Roman"/>
                      <w:color w:val="0000FF"/>
                      <w:sz w:val="18"/>
                      <w:szCs w:val="18"/>
                    </w:rPr>
                    <w:t>6-9</w:t>
                  </w:r>
                </w:p>
              </w:tc>
            </w:tr>
            <w:tr w14:paraId="0D4F5E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42" w:type="pct"/>
                  <w:vAlign w:val="center"/>
                </w:tcPr>
                <w:p w14:paraId="2421F984">
                  <w:pPr>
                    <w:widowControl/>
                    <w:snapToGrid w:val="0"/>
                    <w:jc w:val="center"/>
                    <w:rPr>
                      <w:sz w:val="18"/>
                      <w:szCs w:val="18"/>
                    </w:rPr>
                  </w:pPr>
                  <w:r>
                    <w:rPr>
                      <w:rFonts w:hint="eastAsia"/>
                      <w:sz w:val="18"/>
                      <w:szCs w:val="18"/>
                    </w:rPr>
                    <w:t>2</w:t>
                  </w:r>
                </w:p>
              </w:tc>
              <w:tc>
                <w:tcPr>
                  <w:tcW w:w="804" w:type="pct"/>
                  <w:vAlign w:val="center"/>
                </w:tcPr>
                <w:p w14:paraId="466E0CE7">
                  <w:pPr>
                    <w:widowControl/>
                    <w:snapToGrid w:val="0"/>
                    <w:jc w:val="center"/>
                    <w:rPr>
                      <w:sz w:val="18"/>
                      <w:szCs w:val="18"/>
                    </w:rPr>
                  </w:pPr>
                  <w:r>
                    <w:rPr>
                      <w:sz w:val="18"/>
                      <w:szCs w:val="18"/>
                    </w:rPr>
                    <w:t>COD</w:t>
                  </w:r>
                </w:p>
              </w:tc>
              <w:tc>
                <w:tcPr>
                  <w:tcW w:w="749" w:type="pct"/>
                  <w:vAlign w:val="center"/>
                </w:tcPr>
                <w:p w14:paraId="06F1CC7E">
                  <w:pPr>
                    <w:pStyle w:val="55"/>
                    <w:spacing w:before="24" w:after="24"/>
                    <w:rPr>
                      <w:rFonts w:ascii="Times New Roman"/>
                      <w:sz w:val="18"/>
                      <w:szCs w:val="18"/>
                    </w:rPr>
                  </w:pPr>
                  <w:r>
                    <w:rPr>
                      <w:rFonts w:hint="eastAsia" w:ascii="Times New Roman"/>
                      <w:sz w:val="18"/>
                      <w:szCs w:val="18"/>
                    </w:rPr>
                    <w:t>500</w:t>
                  </w:r>
                </w:p>
              </w:tc>
              <w:tc>
                <w:tcPr>
                  <w:tcW w:w="1663" w:type="pct"/>
                  <w:vAlign w:val="center"/>
                </w:tcPr>
                <w:p w14:paraId="053EB7B2">
                  <w:pPr>
                    <w:pStyle w:val="55"/>
                    <w:spacing w:before="24" w:after="24"/>
                    <w:rPr>
                      <w:rFonts w:ascii="Times New Roman"/>
                      <w:sz w:val="18"/>
                      <w:szCs w:val="18"/>
                    </w:rPr>
                  </w:pPr>
                  <w:r>
                    <w:rPr>
                      <w:rFonts w:ascii="Times New Roman"/>
                      <w:sz w:val="18"/>
                      <w:szCs w:val="18"/>
                    </w:rPr>
                    <w:t>50</w:t>
                  </w:r>
                </w:p>
              </w:tc>
              <w:tc>
                <w:tcPr>
                  <w:tcW w:w="1440" w:type="pct"/>
                  <w:vAlign w:val="center"/>
                </w:tcPr>
                <w:p w14:paraId="2BA52BDE">
                  <w:pPr>
                    <w:pStyle w:val="55"/>
                    <w:spacing w:before="24" w:after="24"/>
                    <w:rPr>
                      <w:rFonts w:ascii="Times New Roman"/>
                      <w:color w:val="0000FF"/>
                      <w:sz w:val="18"/>
                      <w:szCs w:val="18"/>
                    </w:rPr>
                  </w:pPr>
                  <w:r>
                    <w:rPr>
                      <w:rFonts w:hint="eastAsia" w:ascii="Times New Roman"/>
                      <w:color w:val="0000FF"/>
                      <w:sz w:val="18"/>
                      <w:szCs w:val="18"/>
                      <w:lang w:val="en-US" w:eastAsia="zh-CN"/>
                    </w:rPr>
                    <w:t>50</w:t>
                  </w:r>
                </w:p>
              </w:tc>
            </w:tr>
            <w:tr w14:paraId="136B41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42" w:type="pct"/>
                  <w:vAlign w:val="center"/>
                </w:tcPr>
                <w:p w14:paraId="47518AB9">
                  <w:pPr>
                    <w:widowControl/>
                    <w:snapToGrid w:val="0"/>
                    <w:jc w:val="center"/>
                    <w:rPr>
                      <w:sz w:val="18"/>
                      <w:szCs w:val="18"/>
                    </w:rPr>
                  </w:pPr>
                  <w:r>
                    <w:rPr>
                      <w:rFonts w:hint="eastAsia"/>
                      <w:sz w:val="18"/>
                      <w:szCs w:val="18"/>
                    </w:rPr>
                    <w:t>3</w:t>
                  </w:r>
                </w:p>
              </w:tc>
              <w:tc>
                <w:tcPr>
                  <w:tcW w:w="804" w:type="pct"/>
                  <w:vAlign w:val="center"/>
                </w:tcPr>
                <w:p w14:paraId="1E43A34A">
                  <w:pPr>
                    <w:widowControl/>
                    <w:snapToGrid w:val="0"/>
                    <w:jc w:val="center"/>
                    <w:rPr>
                      <w:sz w:val="18"/>
                      <w:szCs w:val="18"/>
                    </w:rPr>
                  </w:pPr>
                  <w:r>
                    <w:rPr>
                      <w:sz w:val="18"/>
                      <w:szCs w:val="18"/>
                    </w:rPr>
                    <w:t>SS</w:t>
                  </w:r>
                </w:p>
              </w:tc>
              <w:tc>
                <w:tcPr>
                  <w:tcW w:w="749" w:type="pct"/>
                  <w:vAlign w:val="center"/>
                </w:tcPr>
                <w:p w14:paraId="23DC1DAF">
                  <w:pPr>
                    <w:pStyle w:val="55"/>
                    <w:spacing w:before="24" w:after="24"/>
                    <w:rPr>
                      <w:rFonts w:ascii="Times New Roman"/>
                      <w:sz w:val="18"/>
                      <w:szCs w:val="18"/>
                    </w:rPr>
                  </w:pPr>
                  <w:r>
                    <w:rPr>
                      <w:rFonts w:hint="eastAsia" w:ascii="Times New Roman"/>
                      <w:sz w:val="18"/>
                      <w:szCs w:val="18"/>
                    </w:rPr>
                    <w:t>400</w:t>
                  </w:r>
                </w:p>
              </w:tc>
              <w:tc>
                <w:tcPr>
                  <w:tcW w:w="1663" w:type="pct"/>
                  <w:vAlign w:val="center"/>
                </w:tcPr>
                <w:p w14:paraId="4E6B8735">
                  <w:pPr>
                    <w:pStyle w:val="55"/>
                    <w:spacing w:before="24" w:after="24"/>
                    <w:rPr>
                      <w:rFonts w:ascii="Times New Roman"/>
                      <w:sz w:val="18"/>
                      <w:szCs w:val="18"/>
                    </w:rPr>
                  </w:pPr>
                  <w:r>
                    <w:rPr>
                      <w:rFonts w:hint="eastAsia" w:ascii="Times New Roman"/>
                      <w:sz w:val="18"/>
                      <w:szCs w:val="18"/>
                    </w:rPr>
                    <w:t>1</w:t>
                  </w:r>
                  <w:r>
                    <w:rPr>
                      <w:rFonts w:ascii="Times New Roman"/>
                      <w:sz w:val="18"/>
                      <w:szCs w:val="18"/>
                    </w:rPr>
                    <w:t>0</w:t>
                  </w:r>
                </w:p>
              </w:tc>
              <w:tc>
                <w:tcPr>
                  <w:tcW w:w="1440" w:type="pct"/>
                  <w:vAlign w:val="center"/>
                </w:tcPr>
                <w:p w14:paraId="1131C98C">
                  <w:pPr>
                    <w:pStyle w:val="55"/>
                    <w:spacing w:before="24" w:after="24"/>
                    <w:rPr>
                      <w:rFonts w:hint="default" w:ascii="Times New Roman" w:eastAsia="宋体"/>
                      <w:color w:val="0000FF"/>
                      <w:sz w:val="18"/>
                      <w:szCs w:val="18"/>
                      <w:lang w:val="en-US" w:eastAsia="zh-CN"/>
                    </w:rPr>
                  </w:pPr>
                  <w:r>
                    <w:rPr>
                      <w:rFonts w:hint="eastAsia" w:ascii="Times New Roman"/>
                      <w:color w:val="0000FF"/>
                      <w:sz w:val="18"/>
                      <w:szCs w:val="18"/>
                      <w:lang w:val="en-US" w:eastAsia="zh-CN"/>
                    </w:rPr>
                    <w:t>10</w:t>
                  </w:r>
                </w:p>
              </w:tc>
            </w:tr>
            <w:tr w14:paraId="4080CD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42" w:type="pct"/>
                  <w:vAlign w:val="center"/>
                </w:tcPr>
                <w:p w14:paraId="380B8F0B">
                  <w:pPr>
                    <w:widowControl/>
                    <w:snapToGrid w:val="0"/>
                    <w:jc w:val="center"/>
                    <w:rPr>
                      <w:sz w:val="18"/>
                      <w:szCs w:val="18"/>
                    </w:rPr>
                  </w:pPr>
                  <w:r>
                    <w:rPr>
                      <w:rFonts w:hint="eastAsia"/>
                      <w:sz w:val="18"/>
                      <w:szCs w:val="18"/>
                    </w:rPr>
                    <w:t>4</w:t>
                  </w:r>
                </w:p>
              </w:tc>
              <w:tc>
                <w:tcPr>
                  <w:tcW w:w="804" w:type="pct"/>
                  <w:vAlign w:val="center"/>
                </w:tcPr>
                <w:p w14:paraId="2E7B704A">
                  <w:pPr>
                    <w:widowControl/>
                    <w:snapToGrid w:val="0"/>
                    <w:jc w:val="center"/>
                    <w:rPr>
                      <w:sz w:val="18"/>
                      <w:szCs w:val="18"/>
                    </w:rPr>
                  </w:pPr>
                  <w:r>
                    <w:rPr>
                      <w:sz w:val="18"/>
                      <w:szCs w:val="18"/>
                    </w:rPr>
                    <w:t>NH</w:t>
                  </w:r>
                  <w:r>
                    <w:rPr>
                      <w:sz w:val="18"/>
                      <w:szCs w:val="18"/>
                      <w:vertAlign w:val="subscript"/>
                    </w:rPr>
                    <w:t>3</w:t>
                  </w:r>
                  <w:r>
                    <w:rPr>
                      <w:sz w:val="18"/>
                      <w:szCs w:val="18"/>
                    </w:rPr>
                    <w:t>-N</w:t>
                  </w:r>
                </w:p>
              </w:tc>
              <w:tc>
                <w:tcPr>
                  <w:tcW w:w="749" w:type="pct"/>
                  <w:vAlign w:val="center"/>
                </w:tcPr>
                <w:p w14:paraId="508F91CF">
                  <w:pPr>
                    <w:pStyle w:val="55"/>
                    <w:spacing w:before="24" w:after="24"/>
                    <w:rPr>
                      <w:rFonts w:ascii="Times New Roman"/>
                      <w:sz w:val="18"/>
                      <w:szCs w:val="18"/>
                    </w:rPr>
                  </w:pPr>
                  <w:r>
                    <w:rPr>
                      <w:rFonts w:ascii="Times New Roman"/>
                      <w:sz w:val="18"/>
                      <w:szCs w:val="18"/>
                    </w:rPr>
                    <w:t>45</w:t>
                  </w:r>
                </w:p>
              </w:tc>
              <w:tc>
                <w:tcPr>
                  <w:tcW w:w="1663" w:type="pct"/>
                  <w:vAlign w:val="center"/>
                </w:tcPr>
                <w:p w14:paraId="27EC0F29">
                  <w:pPr>
                    <w:pStyle w:val="55"/>
                    <w:spacing w:before="24" w:after="24"/>
                    <w:rPr>
                      <w:rFonts w:hint="eastAsia" w:ascii="Times New Roman"/>
                      <w:sz w:val="18"/>
                      <w:szCs w:val="18"/>
                    </w:rPr>
                  </w:pPr>
                  <w:r>
                    <w:rPr>
                      <w:rFonts w:ascii="Times New Roman"/>
                      <w:sz w:val="18"/>
                      <w:szCs w:val="18"/>
                    </w:rPr>
                    <w:t>5（8）</w:t>
                  </w:r>
                </w:p>
                <w:p w14:paraId="2ED9A49E">
                  <w:pPr>
                    <w:pStyle w:val="55"/>
                    <w:spacing w:before="24" w:after="24"/>
                    <w:rPr>
                      <w:rFonts w:ascii="Times New Roman"/>
                      <w:sz w:val="18"/>
                      <w:szCs w:val="18"/>
                    </w:rPr>
                  </w:pPr>
                  <w:r>
                    <w:rPr>
                      <w:sz w:val="18"/>
                      <w:szCs w:val="18"/>
                    </w:rPr>
                    <w:t>括号外数值为水温＞12℃时的控制指标，括号内数值为水温≤12℃时的控制指标</w:t>
                  </w:r>
                </w:p>
              </w:tc>
              <w:tc>
                <w:tcPr>
                  <w:tcW w:w="1440" w:type="pct"/>
                  <w:vAlign w:val="center"/>
                </w:tcPr>
                <w:p w14:paraId="004D7786">
                  <w:pPr>
                    <w:pStyle w:val="55"/>
                    <w:spacing w:before="24" w:after="24"/>
                    <w:rPr>
                      <w:rFonts w:ascii="Times New Roman"/>
                      <w:color w:val="0000FF"/>
                      <w:sz w:val="18"/>
                      <w:szCs w:val="18"/>
                    </w:rPr>
                  </w:pPr>
                  <w:r>
                    <w:rPr>
                      <w:rFonts w:hint="eastAsia" w:ascii="Times New Roman"/>
                      <w:color w:val="0000FF"/>
                      <w:sz w:val="18"/>
                      <w:szCs w:val="18"/>
                      <w:lang w:val="en-US" w:eastAsia="zh-CN"/>
                    </w:rPr>
                    <w:t>4</w:t>
                  </w:r>
                  <w:r>
                    <w:rPr>
                      <w:rFonts w:ascii="Times New Roman"/>
                      <w:color w:val="0000FF"/>
                      <w:sz w:val="18"/>
                      <w:szCs w:val="18"/>
                    </w:rPr>
                    <w:t>（</w:t>
                  </w:r>
                  <w:r>
                    <w:rPr>
                      <w:rFonts w:hint="eastAsia" w:ascii="Times New Roman"/>
                      <w:color w:val="0000FF"/>
                      <w:sz w:val="18"/>
                      <w:szCs w:val="18"/>
                      <w:lang w:val="en-US" w:eastAsia="zh-CN"/>
                    </w:rPr>
                    <w:t>6</w:t>
                  </w:r>
                  <w:r>
                    <w:rPr>
                      <w:rFonts w:ascii="Times New Roman"/>
                      <w:color w:val="0000FF"/>
                      <w:sz w:val="18"/>
                      <w:szCs w:val="18"/>
                    </w:rPr>
                    <w:t>）</w:t>
                  </w:r>
                </w:p>
                <w:p w14:paraId="09FF18FC">
                  <w:pPr>
                    <w:pStyle w:val="55"/>
                    <w:spacing w:before="24" w:after="24"/>
                    <w:rPr>
                      <w:rFonts w:hint="default" w:ascii="Times New Roman" w:eastAsia="宋体"/>
                      <w:color w:val="0000FF"/>
                      <w:sz w:val="18"/>
                      <w:szCs w:val="18"/>
                      <w:lang w:val="en-US" w:eastAsia="zh-CN"/>
                    </w:rPr>
                  </w:pPr>
                  <w:r>
                    <w:rPr>
                      <w:rFonts w:hint="eastAsia" w:ascii="Times New Roman"/>
                      <w:color w:val="0000FF"/>
                      <w:sz w:val="18"/>
                      <w:szCs w:val="18"/>
                      <w:lang w:val="en-US" w:eastAsia="zh-CN"/>
                    </w:rPr>
                    <w:t>每年11月1日至次年3月31日执行括号内排放限值</w:t>
                  </w:r>
                </w:p>
              </w:tc>
            </w:tr>
            <w:tr w14:paraId="7F7FD5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42" w:type="pct"/>
                  <w:vAlign w:val="center"/>
                </w:tcPr>
                <w:p w14:paraId="32B48EDD">
                  <w:pPr>
                    <w:widowControl/>
                    <w:snapToGrid w:val="0"/>
                    <w:jc w:val="center"/>
                    <w:rPr>
                      <w:sz w:val="18"/>
                      <w:szCs w:val="18"/>
                    </w:rPr>
                  </w:pPr>
                  <w:r>
                    <w:rPr>
                      <w:rFonts w:hint="eastAsia"/>
                      <w:sz w:val="18"/>
                      <w:szCs w:val="18"/>
                    </w:rPr>
                    <w:t>5</w:t>
                  </w:r>
                </w:p>
              </w:tc>
              <w:tc>
                <w:tcPr>
                  <w:tcW w:w="804" w:type="pct"/>
                  <w:vAlign w:val="center"/>
                </w:tcPr>
                <w:p w14:paraId="53D98A60">
                  <w:pPr>
                    <w:widowControl/>
                    <w:snapToGrid w:val="0"/>
                    <w:jc w:val="center"/>
                    <w:rPr>
                      <w:sz w:val="18"/>
                      <w:szCs w:val="18"/>
                    </w:rPr>
                  </w:pPr>
                  <w:r>
                    <w:rPr>
                      <w:sz w:val="18"/>
                      <w:szCs w:val="18"/>
                    </w:rPr>
                    <w:t>TP</w:t>
                  </w:r>
                </w:p>
              </w:tc>
              <w:tc>
                <w:tcPr>
                  <w:tcW w:w="749" w:type="pct"/>
                  <w:vAlign w:val="center"/>
                </w:tcPr>
                <w:p w14:paraId="5B9E79C3">
                  <w:pPr>
                    <w:pStyle w:val="55"/>
                    <w:spacing w:before="24" w:after="24"/>
                    <w:rPr>
                      <w:rFonts w:ascii="Times New Roman"/>
                      <w:sz w:val="18"/>
                      <w:szCs w:val="18"/>
                    </w:rPr>
                  </w:pPr>
                  <w:r>
                    <w:rPr>
                      <w:rFonts w:hint="eastAsia" w:ascii="Times New Roman"/>
                      <w:sz w:val="18"/>
                      <w:szCs w:val="18"/>
                    </w:rPr>
                    <w:t>8</w:t>
                  </w:r>
                </w:p>
              </w:tc>
              <w:tc>
                <w:tcPr>
                  <w:tcW w:w="1663" w:type="pct"/>
                  <w:vAlign w:val="center"/>
                </w:tcPr>
                <w:p w14:paraId="69B21577">
                  <w:pPr>
                    <w:pStyle w:val="55"/>
                    <w:spacing w:before="24" w:after="24"/>
                    <w:rPr>
                      <w:rFonts w:ascii="Times New Roman"/>
                      <w:sz w:val="18"/>
                      <w:szCs w:val="18"/>
                    </w:rPr>
                  </w:pPr>
                  <w:r>
                    <w:rPr>
                      <w:rFonts w:ascii="Times New Roman"/>
                      <w:sz w:val="18"/>
                      <w:szCs w:val="18"/>
                    </w:rPr>
                    <w:t>0.5</w:t>
                  </w:r>
                </w:p>
              </w:tc>
              <w:tc>
                <w:tcPr>
                  <w:tcW w:w="1440" w:type="pct"/>
                  <w:vAlign w:val="center"/>
                </w:tcPr>
                <w:p w14:paraId="2B9DABE1">
                  <w:pPr>
                    <w:pStyle w:val="55"/>
                    <w:spacing w:before="24" w:after="24"/>
                    <w:rPr>
                      <w:rFonts w:hint="default" w:ascii="Times New Roman" w:eastAsia="宋体"/>
                      <w:color w:val="0000FF"/>
                      <w:sz w:val="18"/>
                      <w:szCs w:val="18"/>
                      <w:lang w:val="en-US" w:eastAsia="zh-CN"/>
                    </w:rPr>
                  </w:pPr>
                  <w:r>
                    <w:rPr>
                      <w:rFonts w:hint="eastAsia" w:ascii="Times New Roman"/>
                      <w:color w:val="0000FF"/>
                      <w:sz w:val="18"/>
                      <w:szCs w:val="18"/>
                      <w:lang w:val="en-US" w:eastAsia="zh-CN"/>
                    </w:rPr>
                    <w:t>0.5</w:t>
                  </w:r>
                </w:p>
              </w:tc>
            </w:tr>
            <w:tr w14:paraId="56104D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42" w:type="pct"/>
                  <w:vAlign w:val="center"/>
                </w:tcPr>
                <w:p w14:paraId="25B62660">
                  <w:pPr>
                    <w:widowControl/>
                    <w:snapToGrid w:val="0"/>
                    <w:jc w:val="center"/>
                    <w:rPr>
                      <w:sz w:val="18"/>
                      <w:szCs w:val="18"/>
                    </w:rPr>
                  </w:pPr>
                  <w:r>
                    <w:rPr>
                      <w:rFonts w:hint="eastAsia"/>
                      <w:sz w:val="18"/>
                      <w:szCs w:val="18"/>
                    </w:rPr>
                    <w:t>6</w:t>
                  </w:r>
                </w:p>
              </w:tc>
              <w:tc>
                <w:tcPr>
                  <w:tcW w:w="804" w:type="pct"/>
                  <w:vAlign w:val="center"/>
                </w:tcPr>
                <w:p w14:paraId="57EAF762">
                  <w:pPr>
                    <w:widowControl/>
                    <w:snapToGrid w:val="0"/>
                    <w:jc w:val="center"/>
                    <w:rPr>
                      <w:sz w:val="18"/>
                      <w:szCs w:val="18"/>
                    </w:rPr>
                  </w:pPr>
                  <w:r>
                    <w:rPr>
                      <w:sz w:val="18"/>
                      <w:szCs w:val="18"/>
                    </w:rPr>
                    <w:t>TN</w:t>
                  </w:r>
                </w:p>
              </w:tc>
              <w:tc>
                <w:tcPr>
                  <w:tcW w:w="749" w:type="pct"/>
                  <w:vAlign w:val="center"/>
                </w:tcPr>
                <w:p w14:paraId="6C214184">
                  <w:pPr>
                    <w:pStyle w:val="55"/>
                    <w:spacing w:before="24" w:after="24"/>
                    <w:rPr>
                      <w:rFonts w:ascii="Times New Roman"/>
                      <w:sz w:val="18"/>
                      <w:szCs w:val="18"/>
                    </w:rPr>
                  </w:pPr>
                  <w:r>
                    <w:rPr>
                      <w:rFonts w:hint="eastAsia" w:ascii="Times New Roman"/>
                      <w:sz w:val="18"/>
                      <w:szCs w:val="18"/>
                    </w:rPr>
                    <w:t>70</w:t>
                  </w:r>
                </w:p>
              </w:tc>
              <w:tc>
                <w:tcPr>
                  <w:tcW w:w="1663" w:type="pct"/>
                  <w:vAlign w:val="center"/>
                </w:tcPr>
                <w:p w14:paraId="52DB59C4">
                  <w:pPr>
                    <w:pStyle w:val="55"/>
                    <w:spacing w:before="24" w:after="24"/>
                    <w:rPr>
                      <w:rFonts w:ascii="Times New Roman"/>
                      <w:sz w:val="18"/>
                      <w:szCs w:val="18"/>
                    </w:rPr>
                  </w:pPr>
                  <w:r>
                    <w:rPr>
                      <w:rFonts w:hint="eastAsia" w:ascii="Times New Roman"/>
                      <w:sz w:val="18"/>
                      <w:szCs w:val="18"/>
                    </w:rPr>
                    <w:t>15</w:t>
                  </w:r>
                </w:p>
              </w:tc>
              <w:tc>
                <w:tcPr>
                  <w:tcW w:w="1440" w:type="pct"/>
                  <w:vAlign w:val="center"/>
                </w:tcPr>
                <w:p w14:paraId="402C7E62">
                  <w:pPr>
                    <w:pStyle w:val="55"/>
                    <w:spacing w:before="24" w:after="24"/>
                    <w:rPr>
                      <w:rFonts w:hint="eastAsia" w:ascii="Times New Roman"/>
                      <w:color w:val="0000FF"/>
                      <w:sz w:val="18"/>
                      <w:szCs w:val="18"/>
                      <w:lang w:val="en-US" w:eastAsia="zh-CN"/>
                    </w:rPr>
                  </w:pPr>
                  <w:r>
                    <w:rPr>
                      <w:rFonts w:hint="eastAsia" w:ascii="Times New Roman"/>
                      <w:color w:val="0000FF"/>
                      <w:sz w:val="18"/>
                      <w:szCs w:val="18"/>
                      <w:lang w:val="en-US" w:eastAsia="zh-CN"/>
                    </w:rPr>
                    <w:t>12（15）</w:t>
                  </w:r>
                </w:p>
                <w:p w14:paraId="08886320">
                  <w:pPr>
                    <w:pStyle w:val="55"/>
                    <w:spacing w:before="24" w:after="24"/>
                    <w:rPr>
                      <w:rFonts w:hint="default" w:ascii="Times New Roman" w:eastAsia="宋体"/>
                      <w:color w:val="0000FF"/>
                      <w:sz w:val="18"/>
                      <w:szCs w:val="18"/>
                      <w:lang w:val="en-US" w:eastAsia="zh-CN"/>
                    </w:rPr>
                  </w:pPr>
                  <w:r>
                    <w:rPr>
                      <w:rFonts w:hint="eastAsia" w:ascii="Times New Roman"/>
                      <w:color w:val="0000FF"/>
                      <w:sz w:val="18"/>
                      <w:szCs w:val="18"/>
                      <w:lang w:val="en-US" w:eastAsia="zh-CN"/>
                    </w:rPr>
                    <w:t>每年11月1日至次年3月31日执行括号内排放限值</w:t>
                  </w:r>
                </w:p>
              </w:tc>
            </w:tr>
            <w:tr w14:paraId="0B70D4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42" w:type="pct"/>
                  <w:vAlign w:val="center"/>
                </w:tcPr>
                <w:p w14:paraId="0B71D820">
                  <w:pPr>
                    <w:widowControl/>
                    <w:snapToGrid w:val="0"/>
                    <w:jc w:val="center"/>
                    <w:rPr>
                      <w:rFonts w:hint="eastAsia" w:eastAsia="宋体"/>
                      <w:sz w:val="18"/>
                      <w:szCs w:val="18"/>
                      <w:lang w:val="en-US" w:eastAsia="zh-CN"/>
                    </w:rPr>
                  </w:pPr>
                  <w:r>
                    <w:rPr>
                      <w:rFonts w:hint="eastAsia"/>
                      <w:sz w:val="18"/>
                      <w:szCs w:val="18"/>
                      <w:lang w:val="en-US" w:eastAsia="zh-CN"/>
                    </w:rPr>
                    <w:t>7</w:t>
                  </w:r>
                </w:p>
              </w:tc>
              <w:tc>
                <w:tcPr>
                  <w:tcW w:w="804" w:type="pct"/>
                  <w:vAlign w:val="center"/>
                </w:tcPr>
                <w:p w14:paraId="3CEE4D09">
                  <w:pPr>
                    <w:widowControl/>
                    <w:snapToGrid w:val="0"/>
                    <w:jc w:val="center"/>
                    <w:rPr>
                      <w:rFonts w:hint="default" w:eastAsia="宋体"/>
                      <w:sz w:val="18"/>
                      <w:szCs w:val="18"/>
                      <w:lang w:val="en-US" w:eastAsia="zh-CN"/>
                    </w:rPr>
                  </w:pPr>
                  <w:r>
                    <w:rPr>
                      <w:rFonts w:hint="eastAsia"/>
                      <w:sz w:val="18"/>
                      <w:szCs w:val="18"/>
                      <w:lang w:val="en-US" w:eastAsia="zh-CN"/>
                    </w:rPr>
                    <w:t>LAS</w:t>
                  </w:r>
                </w:p>
              </w:tc>
              <w:tc>
                <w:tcPr>
                  <w:tcW w:w="749" w:type="pct"/>
                  <w:vAlign w:val="center"/>
                </w:tcPr>
                <w:p w14:paraId="27AE6D8C">
                  <w:pPr>
                    <w:pStyle w:val="55"/>
                    <w:spacing w:before="24" w:after="24"/>
                    <w:rPr>
                      <w:rFonts w:hint="default" w:ascii="Times New Roman" w:eastAsia="宋体"/>
                      <w:sz w:val="18"/>
                      <w:szCs w:val="18"/>
                      <w:lang w:val="en-US" w:eastAsia="zh-CN"/>
                    </w:rPr>
                  </w:pPr>
                  <w:r>
                    <w:rPr>
                      <w:rFonts w:hint="eastAsia" w:ascii="Times New Roman"/>
                      <w:sz w:val="18"/>
                      <w:szCs w:val="18"/>
                      <w:lang w:val="en-US" w:eastAsia="zh-CN"/>
                    </w:rPr>
                    <w:t>20</w:t>
                  </w:r>
                </w:p>
              </w:tc>
              <w:tc>
                <w:tcPr>
                  <w:tcW w:w="1663" w:type="pct"/>
                  <w:vAlign w:val="center"/>
                </w:tcPr>
                <w:p w14:paraId="2DFEB457">
                  <w:pPr>
                    <w:pStyle w:val="55"/>
                    <w:spacing w:before="24" w:after="24"/>
                    <w:rPr>
                      <w:rFonts w:hint="default" w:ascii="Times New Roman" w:eastAsia="宋体"/>
                      <w:sz w:val="18"/>
                      <w:szCs w:val="18"/>
                      <w:lang w:val="en-US" w:eastAsia="zh-CN"/>
                    </w:rPr>
                  </w:pPr>
                  <w:r>
                    <w:rPr>
                      <w:rFonts w:hint="eastAsia" w:ascii="Times New Roman"/>
                      <w:sz w:val="18"/>
                      <w:szCs w:val="18"/>
                      <w:lang w:val="en-US" w:eastAsia="zh-CN"/>
                    </w:rPr>
                    <w:t>0.5</w:t>
                  </w:r>
                </w:p>
              </w:tc>
              <w:tc>
                <w:tcPr>
                  <w:tcW w:w="1440" w:type="pct"/>
                  <w:vAlign w:val="center"/>
                </w:tcPr>
                <w:p w14:paraId="36837BA2">
                  <w:pPr>
                    <w:pStyle w:val="55"/>
                    <w:spacing w:before="24" w:after="24"/>
                    <w:rPr>
                      <w:rFonts w:hint="default" w:ascii="Times New Roman" w:eastAsia="宋体"/>
                      <w:color w:val="0000FF"/>
                      <w:sz w:val="18"/>
                      <w:szCs w:val="18"/>
                      <w:lang w:val="en-US" w:eastAsia="zh-CN"/>
                    </w:rPr>
                  </w:pPr>
                  <w:r>
                    <w:rPr>
                      <w:rFonts w:hint="eastAsia" w:ascii="Times New Roman"/>
                      <w:color w:val="0000FF"/>
                      <w:sz w:val="18"/>
                      <w:szCs w:val="18"/>
                      <w:lang w:val="en-US" w:eastAsia="zh-CN"/>
                    </w:rPr>
                    <w:t>0.5</w:t>
                  </w:r>
                </w:p>
              </w:tc>
            </w:tr>
          </w:tbl>
          <w:p w14:paraId="146C4074">
            <w:pPr>
              <w:tabs>
                <w:tab w:val="left" w:pos="5142"/>
              </w:tabs>
              <w:adjustRightInd w:val="0"/>
              <w:snapToGrid w:val="0"/>
              <w:jc w:val="center"/>
              <w:rPr>
                <w:b/>
                <w:bCs/>
              </w:rPr>
            </w:pPr>
            <w:r>
              <w:rPr>
                <w:rFonts w:hint="eastAsia"/>
                <w:b/>
                <w:bCs/>
              </w:rPr>
              <w:t>表3-7</w:t>
            </w:r>
            <w:r>
              <w:rPr>
                <w:b/>
                <w:bCs/>
              </w:rPr>
              <w:t xml:space="preserve"> </w:t>
            </w:r>
            <w:r>
              <w:rPr>
                <w:rFonts w:hint="eastAsia"/>
                <w:b/>
                <w:bCs/>
              </w:rPr>
              <w:t>后期雨水排放管理要求</w:t>
            </w:r>
          </w:p>
          <w:tbl>
            <w:tblPr>
              <w:tblStyle w:val="23"/>
              <w:tblW w:w="473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84"/>
              <w:gridCol w:w="2513"/>
              <w:gridCol w:w="1578"/>
              <w:gridCol w:w="2478"/>
            </w:tblGrid>
            <w:tr w14:paraId="7E2E5E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0" w:type="pct"/>
                  <w:tcBorders>
                    <w:tl2br w:val="nil"/>
                    <w:tr2bl w:val="nil"/>
                  </w:tcBorders>
                  <w:vAlign w:val="center"/>
                </w:tcPr>
                <w:p w14:paraId="17F16C79">
                  <w:pPr>
                    <w:adjustRightInd w:val="0"/>
                    <w:snapToGrid w:val="0"/>
                    <w:jc w:val="center"/>
                    <w:rPr>
                      <w:b/>
                      <w:bCs/>
                      <w:sz w:val="18"/>
                      <w:szCs w:val="18"/>
                    </w:rPr>
                  </w:pPr>
                  <w:r>
                    <w:rPr>
                      <w:rFonts w:hint="eastAsia"/>
                      <w:b/>
                      <w:bCs/>
                      <w:sz w:val="18"/>
                      <w:szCs w:val="18"/>
                    </w:rPr>
                    <w:t>序号</w:t>
                  </w:r>
                </w:p>
              </w:tc>
              <w:tc>
                <w:tcPr>
                  <w:tcW w:w="1522" w:type="pct"/>
                  <w:tcBorders>
                    <w:tl2br w:val="nil"/>
                    <w:tr2bl w:val="nil"/>
                  </w:tcBorders>
                  <w:vAlign w:val="center"/>
                </w:tcPr>
                <w:p w14:paraId="23DB18A1">
                  <w:pPr>
                    <w:adjustRightInd w:val="0"/>
                    <w:snapToGrid w:val="0"/>
                    <w:jc w:val="center"/>
                    <w:rPr>
                      <w:b/>
                      <w:bCs/>
                      <w:sz w:val="18"/>
                      <w:szCs w:val="18"/>
                    </w:rPr>
                  </w:pPr>
                  <w:r>
                    <w:rPr>
                      <w:rFonts w:hint="eastAsia"/>
                      <w:b/>
                      <w:bCs/>
                      <w:sz w:val="18"/>
                      <w:szCs w:val="18"/>
                    </w:rPr>
                    <w:t>污染物项目</w:t>
                  </w:r>
                </w:p>
              </w:tc>
              <w:tc>
                <w:tcPr>
                  <w:tcW w:w="956" w:type="pct"/>
                  <w:tcBorders>
                    <w:tl2br w:val="nil"/>
                    <w:tr2bl w:val="nil"/>
                  </w:tcBorders>
                  <w:vAlign w:val="center"/>
                </w:tcPr>
                <w:p w14:paraId="274C9495">
                  <w:pPr>
                    <w:adjustRightInd w:val="0"/>
                    <w:snapToGrid w:val="0"/>
                    <w:jc w:val="center"/>
                    <w:rPr>
                      <w:b/>
                      <w:bCs/>
                      <w:sz w:val="18"/>
                      <w:szCs w:val="18"/>
                    </w:rPr>
                  </w:pPr>
                  <w:r>
                    <w:rPr>
                      <w:rFonts w:hint="eastAsia"/>
                      <w:b/>
                      <w:bCs/>
                      <w:sz w:val="18"/>
                      <w:szCs w:val="18"/>
                    </w:rPr>
                    <w:t>排放浓度</w:t>
                  </w:r>
                </w:p>
              </w:tc>
              <w:tc>
                <w:tcPr>
                  <w:tcW w:w="1501" w:type="pct"/>
                  <w:tcBorders>
                    <w:tl2br w:val="nil"/>
                    <w:tr2bl w:val="nil"/>
                  </w:tcBorders>
                  <w:vAlign w:val="center"/>
                </w:tcPr>
                <w:p w14:paraId="3FECE588">
                  <w:pPr>
                    <w:adjustRightInd w:val="0"/>
                    <w:snapToGrid w:val="0"/>
                    <w:jc w:val="center"/>
                    <w:rPr>
                      <w:b/>
                      <w:bCs/>
                      <w:sz w:val="18"/>
                      <w:szCs w:val="18"/>
                    </w:rPr>
                  </w:pPr>
                  <w:r>
                    <w:rPr>
                      <w:rFonts w:hint="eastAsia"/>
                      <w:b/>
                      <w:bCs/>
                      <w:sz w:val="18"/>
                      <w:szCs w:val="18"/>
                    </w:rPr>
                    <w:t>限值来源</w:t>
                  </w:r>
                </w:p>
              </w:tc>
            </w:tr>
            <w:tr w14:paraId="783FE0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0" w:type="pct"/>
                  <w:tcBorders>
                    <w:tl2br w:val="nil"/>
                    <w:tr2bl w:val="nil"/>
                  </w:tcBorders>
                  <w:vAlign w:val="center"/>
                </w:tcPr>
                <w:p w14:paraId="53E1F6BE">
                  <w:pPr>
                    <w:adjustRightInd w:val="0"/>
                    <w:snapToGrid w:val="0"/>
                    <w:jc w:val="center"/>
                    <w:rPr>
                      <w:sz w:val="18"/>
                      <w:szCs w:val="18"/>
                    </w:rPr>
                  </w:pPr>
                  <w:r>
                    <w:rPr>
                      <w:rFonts w:hint="eastAsia"/>
                      <w:sz w:val="18"/>
                      <w:szCs w:val="18"/>
                    </w:rPr>
                    <w:t>1</w:t>
                  </w:r>
                </w:p>
              </w:tc>
              <w:tc>
                <w:tcPr>
                  <w:tcW w:w="1522" w:type="pct"/>
                  <w:tcBorders>
                    <w:tl2br w:val="nil"/>
                    <w:tr2bl w:val="nil"/>
                  </w:tcBorders>
                  <w:vAlign w:val="center"/>
                </w:tcPr>
                <w:p w14:paraId="1EC3B3DD">
                  <w:pPr>
                    <w:adjustRightInd w:val="0"/>
                    <w:snapToGrid w:val="0"/>
                    <w:jc w:val="center"/>
                    <w:rPr>
                      <w:sz w:val="18"/>
                      <w:szCs w:val="18"/>
                    </w:rPr>
                  </w:pPr>
                  <w:r>
                    <w:rPr>
                      <w:rFonts w:hint="eastAsia"/>
                      <w:sz w:val="18"/>
                      <w:szCs w:val="18"/>
                    </w:rPr>
                    <w:t>COD（mg/L）</w:t>
                  </w:r>
                </w:p>
              </w:tc>
              <w:tc>
                <w:tcPr>
                  <w:tcW w:w="956" w:type="pct"/>
                  <w:tcBorders>
                    <w:tl2br w:val="nil"/>
                    <w:tr2bl w:val="nil"/>
                  </w:tcBorders>
                  <w:vAlign w:val="center"/>
                </w:tcPr>
                <w:p w14:paraId="54D7DAC8">
                  <w:pPr>
                    <w:adjustRightInd w:val="0"/>
                    <w:snapToGrid w:val="0"/>
                    <w:jc w:val="center"/>
                    <w:rPr>
                      <w:sz w:val="18"/>
                      <w:szCs w:val="18"/>
                    </w:rPr>
                  </w:pPr>
                  <w:r>
                    <w:rPr>
                      <w:rFonts w:hint="eastAsia"/>
                      <w:sz w:val="18"/>
                      <w:szCs w:val="18"/>
                    </w:rPr>
                    <w:t>20</w:t>
                  </w:r>
                </w:p>
              </w:tc>
              <w:tc>
                <w:tcPr>
                  <w:tcW w:w="1501" w:type="pct"/>
                  <w:tcBorders>
                    <w:tl2br w:val="nil"/>
                    <w:tr2bl w:val="nil"/>
                  </w:tcBorders>
                  <w:vAlign w:val="center"/>
                </w:tcPr>
                <w:p w14:paraId="77F11F04">
                  <w:pPr>
                    <w:adjustRightInd w:val="0"/>
                    <w:snapToGrid w:val="0"/>
                    <w:jc w:val="center"/>
                    <w:rPr>
                      <w:sz w:val="18"/>
                      <w:szCs w:val="18"/>
                    </w:rPr>
                  </w:pPr>
                  <w:r>
                    <w:rPr>
                      <w:rFonts w:hint="eastAsia"/>
                      <w:sz w:val="18"/>
                      <w:szCs w:val="18"/>
                    </w:rPr>
                    <w:t>《地表水环境质量标准》（GB3838-2002）</w:t>
                  </w:r>
                  <w:r>
                    <w:rPr>
                      <w:rFonts w:hint="eastAsia" w:ascii="宋体" w:hAnsi="宋体" w:cs="宋体"/>
                      <w:sz w:val="18"/>
                      <w:szCs w:val="18"/>
                    </w:rPr>
                    <w:t>Ⅲ</w:t>
                  </w:r>
                  <w:r>
                    <w:rPr>
                      <w:rFonts w:hint="eastAsia"/>
                      <w:sz w:val="18"/>
                      <w:szCs w:val="18"/>
                    </w:rPr>
                    <w:t>类</w:t>
                  </w:r>
                </w:p>
              </w:tc>
            </w:tr>
          </w:tbl>
          <w:p w14:paraId="458244E2">
            <w:pPr>
              <w:widowControl/>
              <w:shd w:val="clear" w:color="auto" w:fill="FFFFFF"/>
              <w:spacing w:before="120" w:line="360" w:lineRule="auto"/>
              <w:ind w:firstLine="454" w:firstLineChars="200"/>
              <w:jc w:val="left"/>
              <w:rPr>
                <w:b/>
                <w:spacing w:val="8"/>
                <w:kern w:val="0"/>
                <w:szCs w:val="21"/>
              </w:rPr>
            </w:pPr>
            <w:r>
              <w:rPr>
                <w:b/>
                <w:spacing w:val="8"/>
                <w:kern w:val="0"/>
                <w:szCs w:val="21"/>
              </w:rPr>
              <w:t>3.厂界噪声排放标准</w:t>
            </w:r>
          </w:p>
          <w:p w14:paraId="319971F0">
            <w:pPr>
              <w:spacing w:line="360" w:lineRule="auto"/>
              <w:ind w:firstLine="434" w:firstLineChars="207"/>
            </w:pPr>
            <w:r>
              <w:rPr>
                <w:rFonts w:hint="eastAsia"/>
              </w:rPr>
              <w:t>根据《海安市中心城区声环境功能区划分调整方案（2020-2025年）》，本项目区域为3类声环境功能区，运营期厂界噪声排放执行《工业企业厂界环境噪声排放标准》（GB12348-2008）中3类标准</w:t>
            </w:r>
            <w:r>
              <w:t>。</w:t>
            </w:r>
          </w:p>
          <w:p w14:paraId="66B4C3E0">
            <w:pPr>
              <w:adjustRightInd w:val="0"/>
              <w:snapToGrid w:val="0"/>
              <w:jc w:val="center"/>
              <w:rPr>
                <w:b/>
                <w:bCs/>
              </w:rPr>
            </w:pPr>
            <w:r>
              <w:rPr>
                <w:b/>
                <w:bCs/>
              </w:rPr>
              <w:t>表3-</w:t>
            </w:r>
            <w:r>
              <w:rPr>
                <w:rFonts w:hint="eastAsia"/>
                <w:b/>
                <w:bCs/>
              </w:rPr>
              <w:t xml:space="preserve">8 </w:t>
            </w:r>
            <w:r>
              <w:rPr>
                <w:b/>
                <w:bCs/>
              </w:rPr>
              <w:t>工业企业厂界环境噪声排放标准  单位：dB（A）</w:t>
            </w:r>
          </w:p>
          <w:tbl>
            <w:tblPr>
              <w:tblStyle w:val="23"/>
              <w:tblW w:w="4998"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947"/>
              <w:gridCol w:w="1635"/>
              <w:gridCol w:w="1526"/>
              <w:gridCol w:w="4610"/>
            </w:tblGrid>
            <w:tr w14:paraId="42364F1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8" w:hRule="atLeast"/>
              </w:trPr>
              <w:tc>
                <w:tcPr>
                  <w:tcW w:w="543" w:type="pct"/>
                  <w:vAlign w:val="center"/>
                </w:tcPr>
                <w:p w14:paraId="3FCB515A">
                  <w:pPr>
                    <w:adjustRightInd w:val="0"/>
                    <w:snapToGrid w:val="0"/>
                    <w:jc w:val="center"/>
                    <w:rPr>
                      <w:b/>
                      <w:bCs/>
                      <w:sz w:val="18"/>
                      <w:szCs w:val="18"/>
                    </w:rPr>
                  </w:pPr>
                  <w:r>
                    <w:rPr>
                      <w:b/>
                      <w:bCs/>
                      <w:sz w:val="18"/>
                      <w:szCs w:val="18"/>
                    </w:rPr>
                    <w:t>类别</w:t>
                  </w:r>
                </w:p>
              </w:tc>
              <w:tc>
                <w:tcPr>
                  <w:tcW w:w="938" w:type="pct"/>
                  <w:vAlign w:val="center"/>
                </w:tcPr>
                <w:p w14:paraId="75FCAF87">
                  <w:pPr>
                    <w:adjustRightInd w:val="0"/>
                    <w:snapToGrid w:val="0"/>
                    <w:jc w:val="center"/>
                    <w:rPr>
                      <w:b/>
                      <w:bCs/>
                      <w:sz w:val="18"/>
                      <w:szCs w:val="18"/>
                    </w:rPr>
                  </w:pPr>
                  <w:r>
                    <w:rPr>
                      <w:b/>
                      <w:bCs/>
                      <w:sz w:val="18"/>
                      <w:szCs w:val="18"/>
                    </w:rPr>
                    <w:t>昼间</w:t>
                  </w:r>
                </w:p>
              </w:tc>
              <w:tc>
                <w:tcPr>
                  <w:tcW w:w="875" w:type="pct"/>
                  <w:vAlign w:val="center"/>
                </w:tcPr>
                <w:p w14:paraId="79E6B2F8">
                  <w:pPr>
                    <w:adjustRightInd w:val="0"/>
                    <w:snapToGrid w:val="0"/>
                    <w:jc w:val="center"/>
                    <w:rPr>
                      <w:b/>
                      <w:bCs/>
                      <w:sz w:val="18"/>
                      <w:szCs w:val="18"/>
                    </w:rPr>
                  </w:pPr>
                  <w:r>
                    <w:rPr>
                      <w:b/>
                      <w:bCs/>
                      <w:sz w:val="18"/>
                      <w:szCs w:val="18"/>
                    </w:rPr>
                    <w:t>夜间</w:t>
                  </w:r>
                </w:p>
              </w:tc>
              <w:tc>
                <w:tcPr>
                  <w:tcW w:w="2644" w:type="pct"/>
                  <w:vAlign w:val="center"/>
                </w:tcPr>
                <w:p w14:paraId="226CC7B6">
                  <w:pPr>
                    <w:adjustRightInd w:val="0"/>
                    <w:snapToGrid w:val="0"/>
                    <w:jc w:val="center"/>
                    <w:rPr>
                      <w:b/>
                      <w:bCs/>
                      <w:sz w:val="18"/>
                      <w:szCs w:val="18"/>
                    </w:rPr>
                  </w:pPr>
                  <w:r>
                    <w:rPr>
                      <w:b/>
                      <w:bCs/>
                      <w:sz w:val="18"/>
                      <w:szCs w:val="18"/>
                    </w:rPr>
                    <w:t>标准来源</w:t>
                  </w:r>
                </w:p>
              </w:tc>
            </w:tr>
            <w:tr w14:paraId="5335ACB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3" w:hRule="atLeast"/>
              </w:trPr>
              <w:tc>
                <w:tcPr>
                  <w:tcW w:w="543" w:type="pct"/>
                  <w:vAlign w:val="center"/>
                </w:tcPr>
                <w:p w14:paraId="3884BAC9">
                  <w:pPr>
                    <w:widowControl/>
                    <w:snapToGrid w:val="0"/>
                    <w:jc w:val="center"/>
                    <w:rPr>
                      <w:sz w:val="18"/>
                      <w:szCs w:val="18"/>
                    </w:rPr>
                  </w:pPr>
                  <w:r>
                    <w:rPr>
                      <w:rFonts w:hint="eastAsia"/>
                      <w:sz w:val="18"/>
                      <w:szCs w:val="18"/>
                    </w:rPr>
                    <w:t>3</w:t>
                  </w:r>
                </w:p>
              </w:tc>
              <w:tc>
                <w:tcPr>
                  <w:tcW w:w="938" w:type="pct"/>
                  <w:vAlign w:val="center"/>
                </w:tcPr>
                <w:p w14:paraId="56FE88E9">
                  <w:pPr>
                    <w:widowControl/>
                    <w:snapToGrid w:val="0"/>
                    <w:jc w:val="center"/>
                    <w:rPr>
                      <w:sz w:val="18"/>
                      <w:szCs w:val="18"/>
                    </w:rPr>
                  </w:pPr>
                  <w:r>
                    <w:rPr>
                      <w:rFonts w:hint="eastAsia"/>
                      <w:sz w:val="18"/>
                      <w:szCs w:val="18"/>
                    </w:rPr>
                    <w:t>65</w:t>
                  </w:r>
                </w:p>
              </w:tc>
              <w:tc>
                <w:tcPr>
                  <w:tcW w:w="875" w:type="pct"/>
                  <w:vAlign w:val="center"/>
                </w:tcPr>
                <w:p w14:paraId="7DD72EF4">
                  <w:pPr>
                    <w:widowControl/>
                    <w:snapToGrid w:val="0"/>
                    <w:jc w:val="center"/>
                    <w:rPr>
                      <w:sz w:val="18"/>
                      <w:szCs w:val="18"/>
                    </w:rPr>
                  </w:pPr>
                  <w:r>
                    <w:rPr>
                      <w:rFonts w:hint="eastAsia"/>
                      <w:sz w:val="18"/>
                      <w:szCs w:val="18"/>
                    </w:rPr>
                    <w:t>55</w:t>
                  </w:r>
                </w:p>
              </w:tc>
              <w:tc>
                <w:tcPr>
                  <w:tcW w:w="2644" w:type="pct"/>
                  <w:vAlign w:val="center"/>
                </w:tcPr>
                <w:p w14:paraId="43313E73">
                  <w:pPr>
                    <w:adjustRightInd w:val="0"/>
                    <w:snapToGrid w:val="0"/>
                    <w:jc w:val="center"/>
                    <w:rPr>
                      <w:sz w:val="18"/>
                      <w:szCs w:val="18"/>
                    </w:rPr>
                  </w:pPr>
                  <w:r>
                    <w:rPr>
                      <w:sz w:val="18"/>
                      <w:szCs w:val="18"/>
                    </w:rPr>
                    <w:t>《工业企业厂界环境噪声排放标准》（GB12348-2008）</w:t>
                  </w:r>
                </w:p>
              </w:tc>
            </w:tr>
          </w:tbl>
          <w:p w14:paraId="4D2F3095">
            <w:pPr>
              <w:adjustRightInd w:val="0"/>
              <w:snapToGrid w:val="0"/>
              <w:spacing w:before="120" w:beforeLines="50" w:line="360" w:lineRule="auto"/>
              <w:ind w:firstLine="422" w:firstLineChars="200"/>
              <w:rPr>
                <w:b/>
                <w:bCs/>
              </w:rPr>
            </w:pPr>
            <w:r>
              <w:rPr>
                <w:b/>
                <w:bCs/>
              </w:rPr>
              <w:t>4.固废控制标准</w:t>
            </w:r>
          </w:p>
          <w:p w14:paraId="7005ECE6">
            <w:pPr>
              <w:adjustRightInd w:val="0"/>
              <w:snapToGrid w:val="0"/>
              <w:spacing w:line="360" w:lineRule="auto"/>
              <w:ind w:firstLine="420" w:firstLineChars="200"/>
            </w:pPr>
            <w:r>
              <w:rPr>
                <w:kern w:val="0"/>
                <w:szCs w:val="21"/>
              </w:rPr>
              <w:t>建设</w:t>
            </w:r>
            <w:r>
              <w:rPr>
                <w:rFonts w:hint="eastAsia"/>
                <w:kern w:val="0"/>
                <w:szCs w:val="21"/>
              </w:rPr>
              <w:t>项目</w:t>
            </w:r>
            <w:r>
              <w:rPr>
                <w:kern w:val="0"/>
                <w:szCs w:val="21"/>
              </w:rPr>
              <w:t>产生的危险废物的暂存执行《危险废物贮存污染控制标准》（GB18597-2023）。</w:t>
            </w:r>
          </w:p>
        </w:tc>
      </w:tr>
      <w:tr w14:paraId="65B6A4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24" w:type="dxa"/>
            <w:vAlign w:val="center"/>
          </w:tcPr>
          <w:p w14:paraId="6A48A105">
            <w:pPr>
              <w:adjustRightInd w:val="0"/>
              <w:snapToGrid w:val="0"/>
              <w:jc w:val="center"/>
              <w:rPr>
                <w:kern w:val="0"/>
                <w:szCs w:val="21"/>
              </w:rPr>
            </w:pPr>
            <w:r>
              <w:rPr>
                <w:kern w:val="0"/>
                <w:szCs w:val="21"/>
              </w:rPr>
              <w:t>总量控制指标</w:t>
            </w:r>
          </w:p>
        </w:tc>
        <w:tc>
          <w:tcPr>
            <w:tcW w:w="8967" w:type="dxa"/>
            <w:vAlign w:val="center"/>
          </w:tcPr>
          <w:p w14:paraId="7F56378C">
            <w:pPr>
              <w:widowControl/>
              <w:shd w:val="clear" w:color="auto" w:fill="FFFFFF"/>
              <w:spacing w:line="360" w:lineRule="auto"/>
              <w:ind w:firstLine="452" w:firstLineChars="200"/>
              <w:jc w:val="left"/>
              <w:rPr>
                <w:spacing w:val="8"/>
                <w:kern w:val="0"/>
                <w:szCs w:val="21"/>
              </w:rPr>
            </w:pPr>
            <w:r>
              <w:rPr>
                <w:spacing w:val="8"/>
                <w:kern w:val="0"/>
                <w:szCs w:val="21"/>
              </w:rPr>
              <w:t>建设项目完成后项目污染物排放总量见下表。</w:t>
            </w:r>
          </w:p>
          <w:p w14:paraId="299DE3EE">
            <w:pPr>
              <w:adjustRightInd w:val="0"/>
              <w:snapToGrid w:val="0"/>
              <w:jc w:val="center"/>
              <w:rPr>
                <w:b/>
                <w:bCs/>
                <w:spacing w:val="6"/>
                <w:szCs w:val="21"/>
                <w:shd w:val="clear" w:color="auto" w:fill="FFFFFF"/>
              </w:rPr>
            </w:pPr>
            <w:r>
              <w:rPr>
                <w:b/>
                <w:bCs/>
                <w:spacing w:val="6"/>
                <w:szCs w:val="21"/>
                <w:shd w:val="clear" w:color="auto" w:fill="FFFFFF"/>
              </w:rPr>
              <w:t>表3-</w:t>
            </w:r>
            <w:r>
              <w:rPr>
                <w:rFonts w:hint="eastAsia"/>
                <w:b/>
                <w:bCs/>
                <w:spacing w:val="6"/>
                <w:szCs w:val="21"/>
                <w:shd w:val="clear" w:color="auto" w:fill="FFFFFF"/>
              </w:rPr>
              <w:t>9</w:t>
            </w:r>
            <w:r>
              <w:rPr>
                <w:b/>
                <w:bCs/>
                <w:spacing w:val="6"/>
                <w:szCs w:val="21"/>
                <w:shd w:val="clear" w:color="auto" w:fill="FFFFFF"/>
              </w:rPr>
              <w:t xml:space="preserve"> 项目污染物排放总量表  单位：t/a</w:t>
            </w:r>
          </w:p>
          <w:tbl>
            <w:tblPr>
              <w:tblStyle w:val="23"/>
              <w:tblW w:w="470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625"/>
              <w:gridCol w:w="861"/>
              <w:gridCol w:w="501"/>
              <w:gridCol w:w="45"/>
              <w:gridCol w:w="1436"/>
              <w:gridCol w:w="1206"/>
              <w:gridCol w:w="1206"/>
              <w:gridCol w:w="1162"/>
              <w:gridCol w:w="1163"/>
            </w:tblGrid>
            <w:tr w14:paraId="276716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91" w:hRule="atLeast"/>
                <w:jc w:val="center"/>
              </w:trPr>
              <w:tc>
                <w:tcPr>
                  <w:tcW w:w="1486" w:type="dxa"/>
                  <w:gridSpan w:val="2"/>
                  <w:vAlign w:val="center"/>
                </w:tcPr>
                <w:p w14:paraId="293DF4DC">
                  <w:pPr>
                    <w:pStyle w:val="109"/>
                    <w:adjustRightInd w:val="0"/>
                    <w:snapToGrid w:val="0"/>
                    <w:ind w:firstLine="361"/>
                    <w:rPr>
                      <w:rFonts w:cs="Times New Roman"/>
                      <w:sz w:val="18"/>
                      <w:szCs w:val="18"/>
                    </w:rPr>
                  </w:pPr>
                  <w:r>
                    <w:rPr>
                      <w:rFonts w:eastAsia="宋体" w:cs="Times New Roman"/>
                      <w:b/>
                      <w:bCs/>
                      <w:kern w:val="0"/>
                      <w:sz w:val="18"/>
                      <w:szCs w:val="18"/>
                    </w:rPr>
                    <w:t>类别</w:t>
                  </w:r>
                </w:p>
              </w:tc>
              <w:tc>
                <w:tcPr>
                  <w:tcW w:w="1982" w:type="dxa"/>
                  <w:gridSpan w:val="3"/>
                  <w:vAlign w:val="center"/>
                </w:tcPr>
                <w:p w14:paraId="48E755C4">
                  <w:pPr>
                    <w:widowControl/>
                    <w:adjustRightInd w:val="0"/>
                    <w:snapToGrid w:val="0"/>
                    <w:jc w:val="center"/>
                    <w:rPr>
                      <w:b/>
                      <w:bCs/>
                      <w:kern w:val="0"/>
                      <w:sz w:val="18"/>
                      <w:szCs w:val="18"/>
                    </w:rPr>
                  </w:pPr>
                  <w:r>
                    <w:rPr>
                      <w:b/>
                      <w:bCs/>
                      <w:kern w:val="0"/>
                      <w:sz w:val="18"/>
                      <w:szCs w:val="18"/>
                    </w:rPr>
                    <w:t>污染物名称</w:t>
                  </w:r>
                </w:p>
              </w:tc>
              <w:tc>
                <w:tcPr>
                  <w:tcW w:w="1206" w:type="dxa"/>
                  <w:vAlign w:val="center"/>
                </w:tcPr>
                <w:p w14:paraId="6DD222BB">
                  <w:pPr>
                    <w:widowControl/>
                    <w:adjustRightInd w:val="0"/>
                    <w:snapToGrid w:val="0"/>
                    <w:jc w:val="center"/>
                    <w:rPr>
                      <w:b/>
                      <w:bCs/>
                      <w:kern w:val="0"/>
                      <w:sz w:val="18"/>
                      <w:szCs w:val="18"/>
                    </w:rPr>
                  </w:pPr>
                  <w:r>
                    <w:rPr>
                      <w:b/>
                      <w:bCs/>
                      <w:kern w:val="0"/>
                      <w:sz w:val="18"/>
                      <w:szCs w:val="18"/>
                    </w:rPr>
                    <w:t>产生量</w:t>
                  </w:r>
                </w:p>
              </w:tc>
              <w:tc>
                <w:tcPr>
                  <w:tcW w:w="1206" w:type="dxa"/>
                  <w:vAlign w:val="center"/>
                </w:tcPr>
                <w:p w14:paraId="318B5AAB">
                  <w:pPr>
                    <w:widowControl/>
                    <w:adjustRightInd w:val="0"/>
                    <w:snapToGrid w:val="0"/>
                    <w:jc w:val="center"/>
                    <w:rPr>
                      <w:b/>
                      <w:bCs/>
                      <w:kern w:val="0"/>
                      <w:sz w:val="18"/>
                      <w:szCs w:val="18"/>
                    </w:rPr>
                  </w:pPr>
                  <w:r>
                    <w:rPr>
                      <w:b/>
                      <w:bCs/>
                      <w:kern w:val="0"/>
                      <w:sz w:val="18"/>
                      <w:szCs w:val="18"/>
                    </w:rPr>
                    <w:t>削减量</w:t>
                  </w:r>
                </w:p>
              </w:tc>
              <w:tc>
                <w:tcPr>
                  <w:tcW w:w="1162" w:type="dxa"/>
                  <w:vAlign w:val="center"/>
                </w:tcPr>
                <w:p w14:paraId="4A2219FA">
                  <w:pPr>
                    <w:widowControl/>
                    <w:adjustRightInd w:val="0"/>
                    <w:snapToGrid w:val="0"/>
                    <w:jc w:val="center"/>
                    <w:rPr>
                      <w:b/>
                      <w:bCs/>
                      <w:kern w:val="0"/>
                      <w:sz w:val="18"/>
                      <w:szCs w:val="18"/>
                    </w:rPr>
                  </w:pPr>
                  <w:r>
                    <w:rPr>
                      <w:b/>
                      <w:bCs/>
                      <w:kern w:val="0"/>
                      <w:sz w:val="18"/>
                      <w:szCs w:val="18"/>
                    </w:rPr>
                    <w:t>接管量</w:t>
                  </w:r>
                </w:p>
              </w:tc>
              <w:tc>
                <w:tcPr>
                  <w:tcW w:w="1163" w:type="dxa"/>
                  <w:vAlign w:val="center"/>
                </w:tcPr>
                <w:p w14:paraId="194B6D14">
                  <w:pPr>
                    <w:widowControl/>
                    <w:adjustRightInd w:val="0"/>
                    <w:snapToGrid w:val="0"/>
                    <w:jc w:val="center"/>
                    <w:rPr>
                      <w:b/>
                      <w:bCs/>
                      <w:kern w:val="0"/>
                      <w:sz w:val="18"/>
                      <w:szCs w:val="18"/>
                    </w:rPr>
                  </w:pPr>
                  <w:r>
                    <w:rPr>
                      <w:b/>
                      <w:bCs/>
                      <w:kern w:val="0"/>
                      <w:sz w:val="18"/>
                      <w:szCs w:val="18"/>
                    </w:rPr>
                    <w:t>排入</w:t>
                  </w:r>
                </w:p>
                <w:p w14:paraId="7DA46942">
                  <w:pPr>
                    <w:widowControl/>
                    <w:adjustRightInd w:val="0"/>
                    <w:snapToGrid w:val="0"/>
                    <w:jc w:val="center"/>
                    <w:rPr>
                      <w:b/>
                      <w:bCs/>
                      <w:kern w:val="0"/>
                      <w:sz w:val="18"/>
                      <w:szCs w:val="18"/>
                    </w:rPr>
                  </w:pPr>
                  <w:r>
                    <w:rPr>
                      <w:b/>
                      <w:bCs/>
                      <w:kern w:val="0"/>
                      <w:sz w:val="18"/>
                      <w:szCs w:val="18"/>
                    </w:rPr>
                    <w:t>环境量</w:t>
                  </w:r>
                </w:p>
              </w:tc>
            </w:tr>
            <w:tr w14:paraId="685143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91" w:hRule="atLeast"/>
                <w:jc w:val="center"/>
              </w:trPr>
              <w:tc>
                <w:tcPr>
                  <w:tcW w:w="1486" w:type="dxa"/>
                  <w:gridSpan w:val="2"/>
                  <w:vMerge w:val="restart"/>
                  <w:vAlign w:val="center"/>
                </w:tcPr>
                <w:p w14:paraId="38E043FA">
                  <w:pPr>
                    <w:widowControl/>
                    <w:adjustRightInd w:val="0"/>
                    <w:snapToGrid w:val="0"/>
                    <w:jc w:val="center"/>
                    <w:rPr>
                      <w:kern w:val="0"/>
                      <w:sz w:val="18"/>
                      <w:szCs w:val="18"/>
                    </w:rPr>
                  </w:pPr>
                  <w:r>
                    <w:rPr>
                      <w:kern w:val="0"/>
                      <w:sz w:val="18"/>
                      <w:szCs w:val="18"/>
                    </w:rPr>
                    <w:t>废水</w:t>
                  </w:r>
                </w:p>
              </w:tc>
              <w:tc>
                <w:tcPr>
                  <w:tcW w:w="1982" w:type="dxa"/>
                  <w:gridSpan w:val="3"/>
                  <w:vAlign w:val="center"/>
                </w:tcPr>
                <w:p w14:paraId="0E9C9634">
                  <w:pPr>
                    <w:widowControl/>
                    <w:adjustRightInd w:val="0"/>
                    <w:snapToGrid w:val="0"/>
                    <w:jc w:val="center"/>
                    <w:rPr>
                      <w:kern w:val="0"/>
                      <w:sz w:val="18"/>
                      <w:szCs w:val="18"/>
                    </w:rPr>
                  </w:pPr>
                  <w:r>
                    <w:rPr>
                      <w:kern w:val="0"/>
                      <w:sz w:val="18"/>
                      <w:szCs w:val="18"/>
                    </w:rPr>
                    <w:t>废水量</w:t>
                  </w:r>
                </w:p>
              </w:tc>
              <w:tc>
                <w:tcPr>
                  <w:tcW w:w="1206" w:type="dxa"/>
                  <w:vAlign w:val="center"/>
                </w:tcPr>
                <w:p w14:paraId="283B0E33">
                  <w:pPr>
                    <w:widowControl/>
                    <w:adjustRightInd w:val="0"/>
                    <w:snapToGrid w:val="0"/>
                    <w:jc w:val="center"/>
                    <w:rPr>
                      <w:rFonts w:hint="eastAsia" w:eastAsia="等线"/>
                      <w:color w:val="auto"/>
                      <w:sz w:val="18"/>
                      <w:szCs w:val="18"/>
                      <w:lang w:eastAsia="zh-CN"/>
                    </w:rPr>
                  </w:pPr>
                  <w:r>
                    <w:rPr>
                      <w:rFonts w:hint="eastAsia" w:eastAsia="等线"/>
                      <w:color w:val="auto"/>
                      <w:sz w:val="18"/>
                      <w:szCs w:val="18"/>
                    </w:rPr>
                    <w:t>10</w:t>
                  </w:r>
                  <w:r>
                    <w:rPr>
                      <w:rFonts w:hint="eastAsia" w:eastAsia="等线"/>
                      <w:color w:val="auto"/>
                      <w:sz w:val="18"/>
                      <w:szCs w:val="18"/>
                      <w:lang w:val="en-US" w:eastAsia="zh-CN"/>
                    </w:rPr>
                    <w:t>6</w:t>
                  </w:r>
                </w:p>
              </w:tc>
              <w:tc>
                <w:tcPr>
                  <w:tcW w:w="1206" w:type="dxa"/>
                  <w:vAlign w:val="center"/>
                </w:tcPr>
                <w:p w14:paraId="7C9C950A">
                  <w:pPr>
                    <w:widowControl/>
                    <w:adjustRightInd w:val="0"/>
                    <w:snapToGrid w:val="0"/>
                    <w:jc w:val="center"/>
                    <w:rPr>
                      <w:color w:val="auto"/>
                      <w:kern w:val="0"/>
                      <w:sz w:val="18"/>
                      <w:szCs w:val="18"/>
                    </w:rPr>
                  </w:pPr>
                  <w:r>
                    <w:rPr>
                      <w:rFonts w:hint="eastAsia"/>
                      <w:color w:val="auto"/>
                      <w:kern w:val="0"/>
                      <w:sz w:val="18"/>
                      <w:szCs w:val="18"/>
                    </w:rPr>
                    <w:t>0</w:t>
                  </w:r>
                </w:p>
              </w:tc>
              <w:tc>
                <w:tcPr>
                  <w:tcW w:w="1162" w:type="dxa"/>
                  <w:vAlign w:val="center"/>
                </w:tcPr>
                <w:p w14:paraId="1E0E8AA9">
                  <w:pPr>
                    <w:widowControl/>
                    <w:adjustRightInd w:val="0"/>
                    <w:snapToGrid w:val="0"/>
                    <w:jc w:val="center"/>
                    <w:rPr>
                      <w:rFonts w:hint="eastAsia" w:eastAsia="宋体"/>
                      <w:color w:val="auto"/>
                      <w:kern w:val="0"/>
                      <w:sz w:val="18"/>
                      <w:szCs w:val="18"/>
                      <w:lang w:eastAsia="zh-CN"/>
                    </w:rPr>
                  </w:pPr>
                  <w:r>
                    <w:rPr>
                      <w:rFonts w:hint="eastAsia"/>
                      <w:color w:val="auto"/>
                      <w:kern w:val="0"/>
                      <w:sz w:val="18"/>
                      <w:szCs w:val="18"/>
                    </w:rPr>
                    <w:t>10</w:t>
                  </w:r>
                  <w:r>
                    <w:rPr>
                      <w:rFonts w:hint="eastAsia"/>
                      <w:color w:val="auto"/>
                      <w:kern w:val="0"/>
                      <w:sz w:val="18"/>
                      <w:szCs w:val="18"/>
                      <w:lang w:val="en-US" w:eastAsia="zh-CN"/>
                    </w:rPr>
                    <w:t>6</w:t>
                  </w:r>
                </w:p>
              </w:tc>
              <w:tc>
                <w:tcPr>
                  <w:tcW w:w="1163" w:type="dxa"/>
                  <w:vAlign w:val="center"/>
                </w:tcPr>
                <w:p w14:paraId="2EEA29C5">
                  <w:pPr>
                    <w:widowControl/>
                    <w:adjustRightInd w:val="0"/>
                    <w:snapToGrid w:val="0"/>
                    <w:jc w:val="center"/>
                    <w:rPr>
                      <w:rFonts w:hint="eastAsia" w:eastAsia="宋体"/>
                      <w:color w:val="auto"/>
                      <w:sz w:val="18"/>
                      <w:szCs w:val="18"/>
                      <w:lang w:eastAsia="zh-CN"/>
                    </w:rPr>
                  </w:pPr>
                  <w:r>
                    <w:rPr>
                      <w:rFonts w:hint="eastAsia"/>
                      <w:color w:val="auto"/>
                      <w:sz w:val="18"/>
                      <w:szCs w:val="18"/>
                    </w:rPr>
                    <w:t>10</w:t>
                  </w:r>
                  <w:r>
                    <w:rPr>
                      <w:rFonts w:hint="eastAsia"/>
                      <w:color w:val="auto"/>
                      <w:sz w:val="18"/>
                      <w:szCs w:val="18"/>
                      <w:lang w:val="en-US" w:eastAsia="zh-CN"/>
                    </w:rPr>
                    <w:t>6</w:t>
                  </w:r>
                </w:p>
              </w:tc>
            </w:tr>
            <w:tr w14:paraId="5FF8B6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91" w:hRule="atLeast"/>
                <w:jc w:val="center"/>
              </w:trPr>
              <w:tc>
                <w:tcPr>
                  <w:tcW w:w="1486" w:type="dxa"/>
                  <w:gridSpan w:val="2"/>
                  <w:vMerge w:val="continue"/>
                  <w:vAlign w:val="center"/>
                </w:tcPr>
                <w:p w14:paraId="10893DA8">
                  <w:pPr>
                    <w:widowControl/>
                    <w:adjustRightInd w:val="0"/>
                    <w:snapToGrid w:val="0"/>
                    <w:jc w:val="center"/>
                    <w:rPr>
                      <w:kern w:val="0"/>
                      <w:sz w:val="18"/>
                      <w:szCs w:val="18"/>
                    </w:rPr>
                  </w:pPr>
                </w:p>
              </w:tc>
              <w:tc>
                <w:tcPr>
                  <w:tcW w:w="1982" w:type="dxa"/>
                  <w:gridSpan w:val="3"/>
                  <w:vAlign w:val="center"/>
                </w:tcPr>
                <w:p w14:paraId="7C0F0263">
                  <w:pPr>
                    <w:widowControl/>
                    <w:adjustRightInd w:val="0"/>
                    <w:snapToGrid w:val="0"/>
                    <w:jc w:val="center"/>
                    <w:rPr>
                      <w:kern w:val="0"/>
                      <w:sz w:val="18"/>
                      <w:szCs w:val="18"/>
                    </w:rPr>
                  </w:pPr>
                  <w:r>
                    <w:rPr>
                      <w:kern w:val="0"/>
                      <w:sz w:val="18"/>
                      <w:szCs w:val="18"/>
                    </w:rPr>
                    <w:t>COD</w:t>
                  </w:r>
                </w:p>
              </w:tc>
              <w:tc>
                <w:tcPr>
                  <w:tcW w:w="1206" w:type="dxa"/>
                  <w:vAlign w:val="center"/>
                </w:tcPr>
                <w:p w14:paraId="66DB7E2F">
                  <w:pPr>
                    <w:widowControl/>
                    <w:jc w:val="center"/>
                    <w:rPr>
                      <w:rFonts w:hint="eastAsia" w:eastAsia="宋体"/>
                      <w:color w:val="auto"/>
                      <w:kern w:val="0"/>
                      <w:sz w:val="18"/>
                      <w:szCs w:val="18"/>
                      <w:lang w:val="en-US" w:eastAsia="zh-CN"/>
                    </w:rPr>
                  </w:pPr>
                  <w:r>
                    <w:rPr>
                      <w:rFonts w:hint="eastAsia"/>
                      <w:color w:val="auto"/>
                      <w:kern w:val="0"/>
                      <w:sz w:val="18"/>
                      <w:szCs w:val="18"/>
                    </w:rPr>
                    <w:t>0.04</w:t>
                  </w:r>
                  <w:r>
                    <w:rPr>
                      <w:rFonts w:hint="eastAsia"/>
                      <w:color w:val="auto"/>
                      <w:kern w:val="0"/>
                      <w:sz w:val="18"/>
                      <w:szCs w:val="18"/>
                      <w:lang w:val="en-US" w:eastAsia="zh-CN"/>
                    </w:rPr>
                    <w:t>3</w:t>
                  </w:r>
                </w:p>
              </w:tc>
              <w:tc>
                <w:tcPr>
                  <w:tcW w:w="1206" w:type="dxa"/>
                  <w:vAlign w:val="center"/>
                </w:tcPr>
                <w:p w14:paraId="0D84B269">
                  <w:pPr>
                    <w:widowControl/>
                    <w:adjustRightInd w:val="0"/>
                    <w:snapToGrid w:val="0"/>
                    <w:contextualSpacing/>
                    <w:jc w:val="center"/>
                    <w:rPr>
                      <w:rFonts w:hint="eastAsia" w:eastAsia="等线"/>
                      <w:color w:val="auto"/>
                      <w:sz w:val="18"/>
                      <w:szCs w:val="18"/>
                      <w:lang w:eastAsia="zh-CN"/>
                    </w:rPr>
                  </w:pPr>
                  <w:r>
                    <w:rPr>
                      <w:rFonts w:hint="eastAsia" w:eastAsia="等线"/>
                      <w:color w:val="auto"/>
                      <w:sz w:val="18"/>
                      <w:szCs w:val="18"/>
                    </w:rPr>
                    <w:t>0.00</w:t>
                  </w:r>
                  <w:r>
                    <w:rPr>
                      <w:rFonts w:hint="eastAsia" w:eastAsia="等线"/>
                      <w:color w:val="auto"/>
                      <w:sz w:val="18"/>
                      <w:szCs w:val="18"/>
                      <w:lang w:val="en-US" w:eastAsia="zh-CN"/>
                    </w:rPr>
                    <w:t>6</w:t>
                  </w:r>
                </w:p>
              </w:tc>
              <w:tc>
                <w:tcPr>
                  <w:tcW w:w="1162" w:type="dxa"/>
                  <w:vAlign w:val="center"/>
                </w:tcPr>
                <w:p w14:paraId="36BD17BF">
                  <w:pPr>
                    <w:widowControl/>
                    <w:jc w:val="center"/>
                    <w:rPr>
                      <w:rFonts w:hint="eastAsia" w:eastAsia="宋体"/>
                      <w:color w:val="auto"/>
                      <w:kern w:val="0"/>
                      <w:sz w:val="18"/>
                      <w:szCs w:val="18"/>
                      <w:lang w:val="en-US" w:eastAsia="zh-CN"/>
                    </w:rPr>
                  </w:pPr>
                  <w:r>
                    <w:rPr>
                      <w:rFonts w:hint="eastAsia"/>
                      <w:color w:val="auto"/>
                      <w:kern w:val="0"/>
                      <w:sz w:val="18"/>
                      <w:szCs w:val="18"/>
                    </w:rPr>
                    <w:t>0.03</w:t>
                  </w:r>
                  <w:r>
                    <w:rPr>
                      <w:rFonts w:hint="eastAsia"/>
                      <w:color w:val="auto"/>
                      <w:kern w:val="0"/>
                      <w:sz w:val="18"/>
                      <w:szCs w:val="18"/>
                      <w:lang w:val="en-US" w:eastAsia="zh-CN"/>
                    </w:rPr>
                    <w:t>7</w:t>
                  </w:r>
                </w:p>
              </w:tc>
              <w:tc>
                <w:tcPr>
                  <w:tcW w:w="1163" w:type="dxa"/>
                  <w:vAlign w:val="center"/>
                </w:tcPr>
                <w:p w14:paraId="0F44DDAC">
                  <w:pPr>
                    <w:widowControl/>
                    <w:jc w:val="center"/>
                    <w:rPr>
                      <w:color w:val="auto"/>
                      <w:kern w:val="0"/>
                      <w:sz w:val="18"/>
                      <w:szCs w:val="18"/>
                    </w:rPr>
                  </w:pPr>
                  <w:r>
                    <w:rPr>
                      <w:rFonts w:hint="eastAsia"/>
                      <w:color w:val="auto"/>
                      <w:kern w:val="0"/>
                      <w:sz w:val="18"/>
                      <w:szCs w:val="18"/>
                    </w:rPr>
                    <w:t>0.005</w:t>
                  </w:r>
                </w:p>
              </w:tc>
            </w:tr>
            <w:tr w14:paraId="674847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91" w:hRule="atLeast"/>
                <w:jc w:val="center"/>
              </w:trPr>
              <w:tc>
                <w:tcPr>
                  <w:tcW w:w="1486" w:type="dxa"/>
                  <w:gridSpan w:val="2"/>
                  <w:vMerge w:val="continue"/>
                  <w:vAlign w:val="center"/>
                </w:tcPr>
                <w:p w14:paraId="637C1EA2">
                  <w:pPr>
                    <w:widowControl/>
                    <w:adjustRightInd w:val="0"/>
                    <w:snapToGrid w:val="0"/>
                    <w:jc w:val="center"/>
                    <w:rPr>
                      <w:kern w:val="0"/>
                      <w:sz w:val="18"/>
                      <w:szCs w:val="18"/>
                    </w:rPr>
                  </w:pPr>
                </w:p>
              </w:tc>
              <w:tc>
                <w:tcPr>
                  <w:tcW w:w="1982" w:type="dxa"/>
                  <w:gridSpan w:val="3"/>
                  <w:vAlign w:val="center"/>
                </w:tcPr>
                <w:p w14:paraId="2BB02A48">
                  <w:pPr>
                    <w:widowControl/>
                    <w:adjustRightInd w:val="0"/>
                    <w:snapToGrid w:val="0"/>
                    <w:jc w:val="center"/>
                    <w:rPr>
                      <w:kern w:val="0"/>
                      <w:sz w:val="18"/>
                      <w:szCs w:val="18"/>
                    </w:rPr>
                  </w:pPr>
                  <w:r>
                    <w:rPr>
                      <w:kern w:val="0"/>
                      <w:sz w:val="18"/>
                      <w:szCs w:val="18"/>
                    </w:rPr>
                    <w:t>SS</w:t>
                  </w:r>
                </w:p>
              </w:tc>
              <w:tc>
                <w:tcPr>
                  <w:tcW w:w="1206" w:type="dxa"/>
                  <w:vAlign w:val="center"/>
                </w:tcPr>
                <w:p w14:paraId="2052E88C">
                  <w:pPr>
                    <w:widowControl/>
                    <w:jc w:val="center"/>
                    <w:rPr>
                      <w:rFonts w:hint="eastAsia" w:eastAsia="宋体"/>
                      <w:color w:val="auto"/>
                      <w:kern w:val="0"/>
                      <w:sz w:val="18"/>
                      <w:szCs w:val="18"/>
                      <w:lang w:val="en-US" w:eastAsia="zh-CN"/>
                    </w:rPr>
                  </w:pPr>
                  <w:r>
                    <w:rPr>
                      <w:rFonts w:hint="eastAsia"/>
                      <w:color w:val="auto"/>
                      <w:kern w:val="0"/>
                      <w:sz w:val="18"/>
                      <w:szCs w:val="18"/>
                    </w:rPr>
                    <w:t>0.035</w:t>
                  </w:r>
                  <w:r>
                    <w:rPr>
                      <w:rFonts w:hint="eastAsia"/>
                      <w:color w:val="auto"/>
                      <w:kern w:val="0"/>
                      <w:sz w:val="18"/>
                      <w:szCs w:val="18"/>
                      <w:lang w:val="en-US" w:eastAsia="zh-CN"/>
                    </w:rPr>
                    <w:t>6</w:t>
                  </w:r>
                </w:p>
              </w:tc>
              <w:tc>
                <w:tcPr>
                  <w:tcW w:w="1206" w:type="dxa"/>
                  <w:vAlign w:val="center"/>
                </w:tcPr>
                <w:p w14:paraId="27AFF4EA">
                  <w:pPr>
                    <w:widowControl/>
                    <w:adjustRightInd w:val="0"/>
                    <w:snapToGrid w:val="0"/>
                    <w:contextualSpacing/>
                    <w:jc w:val="center"/>
                    <w:rPr>
                      <w:rFonts w:hint="eastAsia" w:eastAsia="等线"/>
                      <w:color w:val="auto"/>
                      <w:sz w:val="18"/>
                      <w:szCs w:val="18"/>
                      <w:lang w:val="en-US" w:eastAsia="zh-CN"/>
                    </w:rPr>
                  </w:pPr>
                  <w:r>
                    <w:rPr>
                      <w:rFonts w:hint="eastAsia" w:eastAsia="等线"/>
                      <w:color w:val="auto"/>
                      <w:sz w:val="18"/>
                      <w:szCs w:val="18"/>
                    </w:rPr>
                    <w:t>0.015</w:t>
                  </w:r>
                  <w:r>
                    <w:rPr>
                      <w:rFonts w:hint="eastAsia" w:eastAsia="等线"/>
                      <w:color w:val="auto"/>
                      <w:sz w:val="18"/>
                      <w:szCs w:val="18"/>
                      <w:lang w:val="en-US" w:eastAsia="zh-CN"/>
                    </w:rPr>
                    <w:t>1</w:t>
                  </w:r>
                </w:p>
              </w:tc>
              <w:tc>
                <w:tcPr>
                  <w:tcW w:w="1162" w:type="dxa"/>
                  <w:vAlign w:val="center"/>
                </w:tcPr>
                <w:p w14:paraId="24537560">
                  <w:pPr>
                    <w:widowControl/>
                    <w:jc w:val="center"/>
                    <w:rPr>
                      <w:rFonts w:hint="eastAsia" w:eastAsia="宋体"/>
                      <w:color w:val="auto"/>
                      <w:kern w:val="0"/>
                      <w:sz w:val="18"/>
                      <w:szCs w:val="18"/>
                      <w:lang w:val="en-US" w:eastAsia="zh-CN"/>
                    </w:rPr>
                  </w:pPr>
                  <w:r>
                    <w:rPr>
                      <w:rFonts w:hint="eastAsia"/>
                      <w:color w:val="auto"/>
                      <w:kern w:val="0"/>
                      <w:sz w:val="18"/>
                      <w:szCs w:val="18"/>
                    </w:rPr>
                    <w:t>0.020</w:t>
                  </w:r>
                  <w:r>
                    <w:rPr>
                      <w:rFonts w:hint="eastAsia"/>
                      <w:color w:val="auto"/>
                      <w:kern w:val="0"/>
                      <w:sz w:val="18"/>
                      <w:szCs w:val="18"/>
                      <w:lang w:val="en-US" w:eastAsia="zh-CN"/>
                    </w:rPr>
                    <w:t>5</w:t>
                  </w:r>
                </w:p>
              </w:tc>
              <w:tc>
                <w:tcPr>
                  <w:tcW w:w="1163" w:type="dxa"/>
                  <w:vAlign w:val="center"/>
                </w:tcPr>
                <w:p w14:paraId="30CA987A">
                  <w:pPr>
                    <w:widowControl/>
                    <w:jc w:val="center"/>
                    <w:rPr>
                      <w:color w:val="auto"/>
                      <w:kern w:val="0"/>
                      <w:sz w:val="18"/>
                      <w:szCs w:val="18"/>
                    </w:rPr>
                  </w:pPr>
                  <w:r>
                    <w:rPr>
                      <w:rFonts w:hint="eastAsia"/>
                      <w:color w:val="auto"/>
                      <w:kern w:val="0"/>
                      <w:sz w:val="18"/>
                      <w:szCs w:val="18"/>
                    </w:rPr>
                    <w:t>0.001</w:t>
                  </w:r>
                </w:p>
              </w:tc>
            </w:tr>
            <w:tr w14:paraId="7EE35A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11" w:hRule="atLeast"/>
                <w:jc w:val="center"/>
              </w:trPr>
              <w:tc>
                <w:tcPr>
                  <w:tcW w:w="1486" w:type="dxa"/>
                  <w:gridSpan w:val="2"/>
                  <w:vMerge w:val="continue"/>
                  <w:vAlign w:val="center"/>
                </w:tcPr>
                <w:p w14:paraId="5AE908E6">
                  <w:pPr>
                    <w:widowControl/>
                    <w:adjustRightInd w:val="0"/>
                    <w:snapToGrid w:val="0"/>
                    <w:jc w:val="center"/>
                    <w:rPr>
                      <w:kern w:val="0"/>
                      <w:sz w:val="18"/>
                      <w:szCs w:val="18"/>
                    </w:rPr>
                  </w:pPr>
                </w:p>
              </w:tc>
              <w:tc>
                <w:tcPr>
                  <w:tcW w:w="1982" w:type="dxa"/>
                  <w:gridSpan w:val="3"/>
                  <w:vAlign w:val="center"/>
                </w:tcPr>
                <w:p w14:paraId="39073366">
                  <w:pPr>
                    <w:widowControl/>
                    <w:adjustRightInd w:val="0"/>
                    <w:snapToGrid w:val="0"/>
                    <w:jc w:val="center"/>
                    <w:rPr>
                      <w:kern w:val="0"/>
                      <w:sz w:val="18"/>
                      <w:szCs w:val="18"/>
                    </w:rPr>
                  </w:pPr>
                  <w:r>
                    <w:rPr>
                      <w:kern w:val="0"/>
                      <w:sz w:val="18"/>
                      <w:szCs w:val="18"/>
                    </w:rPr>
                    <w:t>氨氮</w:t>
                  </w:r>
                </w:p>
              </w:tc>
              <w:tc>
                <w:tcPr>
                  <w:tcW w:w="1206" w:type="dxa"/>
                  <w:vAlign w:val="center"/>
                </w:tcPr>
                <w:p w14:paraId="644BB3B5">
                  <w:pPr>
                    <w:widowControl/>
                    <w:jc w:val="center"/>
                    <w:rPr>
                      <w:rFonts w:hint="eastAsia" w:eastAsia="宋体"/>
                      <w:color w:val="auto"/>
                      <w:kern w:val="0"/>
                      <w:sz w:val="18"/>
                      <w:szCs w:val="18"/>
                      <w:lang w:val="en-US" w:eastAsia="zh-CN"/>
                    </w:rPr>
                  </w:pPr>
                  <w:r>
                    <w:rPr>
                      <w:rFonts w:hint="eastAsia"/>
                      <w:color w:val="auto"/>
                      <w:kern w:val="0"/>
                      <w:sz w:val="18"/>
                      <w:szCs w:val="18"/>
                    </w:rPr>
                    <w:t>0.002</w:t>
                  </w:r>
                  <w:r>
                    <w:rPr>
                      <w:rFonts w:hint="eastAsia"/>
                      <w:color w:val="auto"/>
                      <w:kern w:val="0"/>
                      <w:sz w:val="18"/>
                      <w:szCs w:val="18"/>
                      <w:lang w:val="en-US" w:eastAsia="zh-CN"/>
                    </w:rPr>
                    <w:t>2</w:t>
                  </w:r>
                </w:p>
              </w:tc>
              <w:tc>
                <w:tcPr>
                  <w:tcW w:w="1206" w:type="dxa"/>
                  <w:vAlign w:val="center"/>
                </w:tcPr>
                <w:p w14:paraId="473A16EC">
                  <w:pPr>
                    <w:widowControl/>
                    <w:adjustRightInd w:val="0"/>
                    <w:snapToGrid w:val="0"/>
                    <w:contextualSpacing/>
                    <w:jc w:val="center"/>
                    <w:rPr>
                      <w:rFonts w:eastAsia="等线"/>
                      <w:color w:val="auto"/>
                      <w:sz w:val="18"/>
                      <w:szCs w:val="18"/>
                    </w:rPr>
                  </w:pPr>
                  <w:r>
                    <w:rPr>
                      <w:rFonts w:hint="eastAsia" w:eastAsia="等线"/>
                      <w:color w:val="auto"/>
                      <w:sz w:val="18"/>
                      <w:szCs w:val="18"/>
                    </w:rPr>
                    <w:t>0</w:t>
                  </w:r>
                </w:p>
              </w:tc>
              <w:tc>
                <w:tcPr>
                  <w:tcW w:w="1162" w:type="dxa"/>
                  <w:vAlign w:val="center"/>
                </w:tcPr>
                <w:p w14:paraId="1A8E325B">
                  <w:pPr>
                    <w:widowControl/>
                    <w:jc w:val="center"/>
                    <w:rPr>
                      <w:rFonts w:hint="eastAsia" w:eastAsia="宋体"/>
                      <w:color w:val="auto"/>
                      <w:kern w:val="0"/>
                      <w:sz w:val="18"/>
                      <w:szCs w:val="18"/>
                      <w:lang w:val="en-US" w:eastAsia="zh-CN"/>
                    </w:rPr>
                  </w:pPr>
                  <w:r>
                    <w:rPr>
                      <w:rFonts w:hint="eastAsia"/>
                      <w:color w:val="auto"/>
                      <w:kern w:val="0"/>
                      <w:sz w:val="18"/>
                      <w:szCs w:val="18"/>
                    </w:rPr>
                    <w:t>0.002</w:t>
                  </w:r>
                  <w:r>
                    <w:rPr>
                      <w:rFonts w:hint="eastAsia"/>
                      <w:color w:val="auto"/>
                      <w:kern w:val="0"/>
                      <w:sz w:val="18"/>
                      <w:szCs w:val="18"/>
                      <w:lang w:val="en-US" w:eastAsia="zh-CN"/>
                    </w:rPr>
                    <w:t>2</w:t>
                  </w:r>
                </w:p>
              </w:tc>
              <w:tc>
                <w:tcPr>
                  <w:tcW w:w="1163" w:type="dxa"/>
                  <w:vAlign w:val="center"/>
                </w:tcPr>
                <w:p w14:paraId="5C2E7FA2">
                  <w:pPr>
                    <w:widowControl/>
                    <w:jc w:val="center"/>
                    <w:rPr>
                      <w:color w:val="auto"/>
                      <w:kern w:val="0"/>
                      <w:sz w:val="18"/>
                      <w:szCs w:val="18"/>
                    </w:rPr>
                  </w:pPr>
                  <w:r>
                    <w:rPr>
                      <w:rFonts w:hint="eastAsia"/>
                      <w:color w:val="auto"/>
                      <w:kern w:val="0"/>
                      <w:sz w:val="18"/>
                      <w:szCs w:val="18"/>
                    </w:rPr>
                    <w:t>0.0005</w:t>
                  </w:r>
                </w:p>
              </w:tc>
            </w:tr>
            <w:tr w14:paraId="150A87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91" w:hRule="atLeast"/>
                <w:jc w:val="center"/>
              </w:trPr>
              <w:tc>
                <w:tcPr>
                  <w:tcW w:w="1486" w:type="dxa"/>
                  <w:gridSpan w:val="2"/>
                  <w:vMerge w:val="continue"/>
                  <w:vAlign w:val="center"/>
                </w:tcPr>
                <w:p w14:paraId="7326A6C0">
                  <w:pPr>
                    <w:widowControl/>
                    <w:adjustRightInd w:val="0"/>
                    <w:snapToGrid w:val="0"/>
                    <w:jc w:val="center"/>
                    <w:rPr>
                      <w:kern w:val="0"/>
                      <w:sz w:val="18"/>
                      <w:szCs w:val="18"/>
                    </w:rPr>
                  </w:pPr>
                </w:p>
              </w:tc>
              <w:tc>
                <w:tcPr>
                  <w:tcW w:w="1982" w:type="dxa"/>
                  <w:gridSpan w:val="3"/>
                  <w:vAlign w:val="center"/>
                </w:tcPr>
                <w:p w14:paraId="2CD803EB">
                  <w:pPr>
                    <w:widowControl/>
                    <w:adjustRightInd w:val="0"/>
                    <w:snapToGrid w:val="0"/>
                    <w:jc w:val="center"/>
                    <w:rPr>
                      <w:kern w:val="0"/>
                      <w:sz w:val="18"/>
                      <w:szCs w:val="18"/>
                    </w:rPr>
                  </w:pPr>
                  <w:r>
                    <w:rPr>
                      <w:kern w:val="0"/>
                      <w:sz w:val="18"/>
                      <w:szCs w:val="18"/>
                    </w:rPr>
                    <w:t>总氮</w:t>
                  </w:r>
                </w:p>
              </w:tc>
              <w:tc>
                <w:tcPr>
                  <w:tcW w:w="1206" w:type="dxa"/>
                  <w:vAlign w:val="center"/>
                </w:tcPr>
                <w:p w14:paraId="761B250F">
                  <w:pPr>
                    <w:widowControl/>
                    <w:jc w:val="center"/>
                    <w:rPr>
                      <w:rFonts w:hint="eastAsia" w:eastAsia="宋体"/>
                      <w:color w:val="auto"/>
                      <w:kern w:val="0"/>
                      <w:sz w:val="18"/>
                      <w:szCs w:val="18"/>
                      <w:lang w:val="en-US" w:eastAsia="zh-CN"/>
                    </w:rPr>
                  </w:pPr>
                  <w:r>
                    <w:rPr>
                      <w:rFonts w:hint="eastAsia"/>
                      <w:color w:val="auto"/>
                      <w:kern w:val="0"/>
                      <w:sz w:val="18"/>
                      <w:szCs w:val="18"/>
                    </w:rPr>
                    <w:t>0.004</w:t>
                  </w:r>
                  <w:r>
                    <w:rPr>
                      <w:rFonts w:hint="eastAsia"/>
                      <w:color w:val="auto"/>
                      <w:kern w:val="0"/>
                      <w:sz w:val="18"/>
                      <w:szCs w:val="18"/>
                      <w:lang w:val="en-US" w:eastAsia="zh-CN"/>
                    </w:rPr>
                    <w:t>2</w:t>
                  </w:r>
                </w:p>
              </w:tc>
              <w:tc>
                <w:tcPr>
                  <w:tcW w:w="1206" w:type="dxa"/>
                  <w:vAlign w:val="center"/>
                </w:tcPr>
                <w:p w14:paraId="0A69B6B9">
                  <w:pPr>
                    <w:widowControl/>
                    <w:adjustRightInd w:val="0"/>
                    <w:snapToGrid w:val="0"/>
                    <w:contextualSpacing/>
                    <w:jc w:val="center"/>
                    <w:rPr>
                      <w:rFonts w:eastAsia="等线"/>
                      <w:color w:val="auto"/>
                      <w:sz w:val="18"/>
                      <w:szCs w:val="18"/>
                    </w:rPr>
                  </w:pPr>
                  <w:r>
                    <w:rPr>
                      <w:rFonts w:hint="eastAsia" w:eastAsia="等线"/>
                      <w:color w:val="auto"/>
                      <w:sz w:val="18"/>
                      <w:szCs w:val="18"/>
                    </w:rPr>
                    <w:t>0</w:t>
                  </w:r>
                </w:p>
              </w:tc>
              <w:tc>
                <w:tcPr>
                  <w:tcW w:w="1162" w:type="dxa"/>
                  <w:vAlign w:val="center"/>
                </w:tcPr>
                <w:p w14:paraId="14939DDE">
                  <w:pPr>
                    <w:widowControl/>
                    <w:jc w:val="center"/>
                    <w:rPr>
                      <w:rFonts w:hint="eastAsia" w:eastAsia="宋体"/>
                      <w:color w:val="auto"/>
                      <w:kern w:val="0"/>
                      <w:sz w:val="18"/>
                      <w:szCs w:val="18"/>
                      <w:lang w:val="en-US" w:eastAsia="zh-CN"/>
                    </w:rPr>
                  </w:pPr>
                  <w:r>
                    <w:rPr>
                      <w:rFonts w:hint="eastAsia"/>
                      <w:color w:val="auto"/>
                      <w:kern w:val="0"/>
                      <w:sz w:val="18"/>
                      <w:szCs w:val="18"/>
                    </w:rPr>
                    <w:t>0.004</w:t>
                  </w:r>
                  <w:r>
                    <w:rPr>
                      <w:rFonts w:hint="eastAsia"/>
                      <w:color w:val="auto"/>
                      <w:kern w:val="0"/>
                      <w:sz w:val="18"/>
                      <w:szCs w:val="18"/>
                      <w:lang w:val="en-US" w:eastAsia="zh-CN"/>
                    </w:rPr>
                    <w:t>2</w:t>
                  </w:r>
                </w:p>
              </w:tc>
              <w:tc>
                <w:tcPr>
                  <w:tcW w:w="1163" w:type="dxa"/>
                  <w:vAlign w:val="center"/>
                </w:tcPr>
                <w:p w14:paraId="7E1C0C23">
                  <w:pPr>
                    <w:widowControl/>
                    <w:jc w:val="center"/>
                    <w:rPr>
                      <w:color w:val="auto"/>
                      <w:kern w:val="0"/>
                      <w:sz w:val="18"/>
                      <w:szCs w:val="18"/>
                    </w:rPr>
                  </w:pPr>
                  <w:r>
                    <w:rPr>
                      <w:rFonts w:hint="eastAsia"/>
                      <w:color w:val="auto"/>
                      <w:kern w:val="0"/>
                      <w:sz w:val="18"/>
                      <w:szCs w:val="18"/>
                    </w:rPr>
                    <w:t>0.002</w:t>
                  </w:r>
                </w:p>
              </w:tc>
            </w:tr>
            <w:tr w14:paraId="1E737E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91" w:hRule="atLeast"/>
                <w:jc w:val="center"/>
              </w:trPr>
              <w:tc>
                <w:tcPr>
                  <w:tcW w:w="1486" w:type="dxa"/>
                  <w:gridSpan w:val="2"/>
                  <w:vMerge w:val="continue"/>
                  <w:vAlign w:val="center"/>
                </w:tcPr>
                <w:p w14:paraId="4FF4DD00">
                  <w:pPr>
                    <w:widowControl/>
                    <w:adjustRightInd w:val="0"/>
                    <w:snapToGrid w:val="0"/>
                    <w:jc w:val="center"/>
                    <w:rPr>
                      <w:kern w:val="0"/>
                      <w:sz w:val="18"/>
                      <w:szCs w:val="18"/>
                    </w:rPr>
                  </w:pPr>
                </w:p>
              </w:tc>
              <w:tc>
                <w:tcPr>
                  <w:tcW w:w="1982" w:type="dxa"/>
                  <w:gridSpan w:val="3"/>
                  <w:vAlign w:val="center"/>
                </w:tcPr>
                <w:p w14:paraId="7FCF2EE6">
                  <w:pPr>
                    <w:widowControl/>
                    <w:adjustRightInd w:val="0"/>
                    <w:snapToGrid w:val="0"/>
                    <w:jc w:val="center"/>
                    <w:rPr>
                      <w:kern w:val="0"/>
                      <w:sz w:val="18"/>
                      <w:szCs w:val="18"/>
                    </w:rPr>
                  </w:pPr>
                  <w:r>
                    <w:rPr>
                      <w:kern w:val="0"/>
                      <w:sz w:val="18"/>
                      <w:szCs w:val="18"/>
                    </w:rPr>
                    <w:t>总磷</w:t>
                  </w:r>
                </w:p>
              </w:tc>
              <w:tc>
                <w:tcPr>
                  <w:tcW w:w="1206" w:type="dxa"/>
                  <w:vAlign w:val="center"/>
                </w:tcPr>
                <w:p w14:paraId="4A472EF5">
                  <w:pPr>
                    <w:widowControl/>
                    <w:jc w:val="center"/>
                    <w:rPr>
                      <w:rFonts w:hint="eastAsia" w:eastAsia="宋体"/>
                      <w:color w:val="auto"/>
                      <w:kern w:val="0"/>
                      <w:sz w:val="18"/>
                      <w:szCs w:val="18"/>
                      <w:lang w:val="en-US" w:eastAsia="zh-CN"/>
                    </w:rPr>
                  </w:pPr>
                  <w:r>
                    <w:rPr>
                      <w:rFonts w:hint="eastAsia"/>
                      <w:color w:val="auto"/>
                      <w:kern w:val="0"/>
                      <w:sz w:val="18"/>
                      <w:szCs w:val="18"/>
                    </w:rPr>
                    <w:t>0.0004</w:t>
                  </w:r>
                  <w:r>
                    <w:rPr>
                      <w:rFonts w:hint="eastAsia"/>
                      <w:color w:val="auto"/>
                      <w:kern w:val="0"/>
                      <w:sz w:val="18"/>
                      <w:szCs w:val="18"/>
                      <w:lang w:val="en-US" w:eastAsia="zh-CN"/>
                    </w:rPr>
                    <w:t>1</w:t>
                  </w:r>
                </w:p>
              </w:tc>
              <w:tc>
                <w:tcPr>
                  <w:tcW w:w="1206" w:type="dxa"/>
                  <w:vAlign w:val="center"/>
                </w:tcPr>
                <w:p w14:paraId="27E13B28">
                  <w:pPr>
                    <w:widowControl/>
                    <w:adjustRightInd w:val="0"/>
                    <w:snapToGrid w:val="0"/>
                    <w:contextualSpacing/>
                    <w:jc w:val="center"/>
                    <w:rPr>
                      <w:rFonts w:eastAsia="等线"/>
                      <w:color w:val="auto"/>
                      <w:sz w:val="18"/>
                      <w:szCs w:val="18"/>
                    </w:rPr>
                  </w:pPr>
                  <w:r>
                    <w:rPr>
                      <w:rFonts w:hint="eastAsia" w:eastAsia="等线"/>
                      <w:color w:val="auto"/>
                      <w:sz w:val="18"/>
                      <w:szCs w:val="18"/>
                    </w:rPr>
                    <w:t>0</w:t>
                  </w:r>
                </w:p>
              </w:tc>
              <w:tc>
                <w:tcPr>
                  <w:tcW w:w="1162" w:type="dxa"/>
                  <w:vAlign w:val="center"/>
                </w:tcPr>
                <w:p w14:paraId="06A73252">
                  <w:pPr>
                    <w:widowControl/>
                    <w:jc w:val="center"/>
                    <w:rPr>
                      <w:rFonts w:hint="eastAsia" w:eastAsia="宋体"/>
                      <w:color w:val="auto"/>
                      <w:kern w:val="0"/>
                      <w:sz w:val="18"/>
                      <w:szCs w:val="18"/>
                      <w:lang w:val="en-US" w:eastAsia="zh-CN"/>
                    </w:rPr>
                  </w:pPr>
                  <w:r>
                    <w:rPr>
                      <w:rFonts w:hint="eastAsia"/>
                      <w:color w:val="auto"/>
                      <w:kern w:val="0"/>
                      <w:sz w:val="18"/>
                      <w:szCs w:val="18"/>
                    </w:rPr>
                    <w:t>0.0004</w:t>
                  </w:r>
                  <w:r>
                    <w:rPr>
                      <w:rFonts w:hint="eastAsia"/>
                      <w:color w:val="auto"/>
                      <w:kern w:val="0"/>
                      <w:sz w:val="18"/>
                      <w:szCs w:val="18"/>
                      <w:lang w:val="en-US" w:eastAsia="zh-CN"/>
                    </w:rPr>
                    <w:t>1</w:t>
                  </w:r>
                </w:p>
              </w:tc>
              <w:tc>
                <w:tcPr>
                  <w:tcW w:w="1163" w:type="dxa"/>
                  <w:vAlign w:val="center"/>
                </w:tcPr>
                <w:p w14:paraId="57421D86">
                  <w:pPr>
                    <w:widowControl/>
                    <w:jc w:val="center"/>
                    <w:rPr>
                      <w:color w:val="auto"/>
                      <w:kern w:val="0"/>
                      <w:sz w:val="18"/>
                      <w:szCs w:val="18"/>
                    </w:rPr>
                  </w:pPr>
                  <w:r>
                    <w:rPr>
                      <w:rFonts w:hint="eastAsia"/>
                      <w:color w:val="auto"/>
                      <w:kern w:val="0"/>
                      <w:sz w:val="18"/>
                      <w:szCs w:val="18"/>
                    </w:rPr>
                    <w:t>0.00005</w:t>
                  </w:r>
                </w:p>
              </w:tc>
            </w:tr>
            <w:tr w14:paraId="233E24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91" w:hRule="atLeast"/>
                <w:jc w:val="center"/>
              </w:trPr>
              <w:tc>
                <w:tcPr>
                  <w:tcW w:w="625" w:type="dxa"/>
                  <w:vMerge w:val="restart"/>
                  <w:vAlign w:val="center"/>
                </w:tcPr>
                <w:p w14:paraId="4FBCCF7A">
                  <w:pPr>
                    <w:widowControl/>
                    <w:adjustRightInd w:val="0"/>
                    <w:snapToGrid w:val="0"/>
                    <w:jc w:val="center"/>
                    <w:rPr>
                      <w:kern w:val="0"/>
                      <w:sz w:val="18"/>
                      <w:szCs w:val="18"/>
                    </w:rPr>
                  </w:pPr>
                  <w:r>
                    <w:rPr>
                      <w:kern w:val="0"/>
                      <w:sz w:val="18"/>
                      <w:szCs w:val="18"/>
                    </w:rPr>
                    <w:t>废气</w:t>
                  </w:r>
                </w:p>
              </w:tc>
              <w:tc>
                <w:tcPr>
                  <w:tcW w:w="861" w:type="dxa"/>
                  <w:vMerge w:val="restart"/>
                  <w:vAlign w:val="center"/>
                </w:tcPr>
                <w:p w14:paraId="19706592">
                  <w:pPr>
                    <w:widowControl/>
                    <w:adjustRightInd w:val="0"/>
                    <w:snapToGrid w:val="0"/>
                    <w:jc w:val="center"/>
                    <w:rPr>
                      <w:kern w:val="0"/>
                      <w:sz w:val="18"/>
                      <w:szCs w:val="18"/>
                    </w:rPr>
                  </w:pPr>
                  <w:r>
                    <w:rPr>
                      <w:kern w:val="0"/>
                      <w:sz w:val="18"/>
                      <w:szCs w:val="18"/>
                    </w:rPr>
                    <w:t>有组织</w:t>
                  </w:r>
                </w:p>
              </w:tc>
              <w:tc>
                <w:tcPr>
                  <w:tcW w:w="1982" w:type="dxa"/>
                  <w:gridSpan w:val="3"/>
                  <w:vAlign w:val="center"/>
                </w:tcPr>
                <w:p w14:paraId="07F55B3F">
                  <w:pPr>
                    <w:widowControl/>
                    <w:adjustRightInd w:val="0"/>
                    <w:snapToGrid w:val="0"/>
                    <w:jc w:val="center"/>
                    <w:rPr>
                      <w:sz w:val="18"/>
                      <w:szCs w:val="18"/>
                    </w:rPr>
                  </w:pPr>
                  <w:r>
                    <w:rPr>
                      <w:rFonts w:hint="eastAsia"/>
                      <w:sz w:val="18"/>
                      <w:szCs w:val="18"/>
                    </w:rPr>
                    <w:t>VOCs*</w:t>
                  </w:r>
                </w:p>
              </w:tc>
              <w:tc>
                <w:tcPr>
                  <w:tcW w:w="1206" w:type="dxa"/>
                  <w:vAlign w:val="center"/>
                </w:tcPr>
                <w:p w14:paraId="6ABA451E">
                  <w:pPr>
                    <w:widowControl/>
                    <w:jc w:val="center"/>
                    <w:textAlignment w:val="center"/>
                    <w:rPr>
                      <w:rFonts w:hint="default" w:eastAsia="宋体"/>
                      <w:color w:val="0000FF"/>
                      <w:sz w:val="18"/>
                      <w:szCs w:val="18"/>
                      <w:lang w:val="en-US" w:eastAsia="zh-CN"/>
                    </w:rPr>
                  </w:pPr>
                  <w:r>
                    <w:rPr>
                      <w:rFonts w:hint="eastAsia"/>
                      <w:color w:val="0000FF"/>
                      <w:sz w:val="18"/>
                      <w:szCs w:val="18"/>
                    </w:rPr>
                    <w:t>0.0</w:t>
                  </w:r>
                  <w:r>
                    <w:rPr>
                      <w:rFonts w:hint="eastAsia"/>
                      <w:color w:val="0000FF"/>
                      <w:sz w:val="18"/>
                      <w:szCs w:val="18"/>
                      <w:lang w:val="en-US" w:eastAsia="zh-CN"/>
                    </w:rPr>
                    <w:t>698</w:t>
                  </w:r>
                </w:p>
              </w:tc>
              <w:tc>
                <w:tcPr>
                  <w:tcW w:w="1206" w:type="dxa"/>
                  <w:vAlign w:val="center"/>
                </w:tcPr>
                <w:p w14:paraId="06FA89D0">
                  <w:pPr>
                    <w:widowControl/>
                    <w:jc w:val="center"/>
                    <w:textAlignment w:val="center"/>
                    <w:rPr>
                      <w:rFonts w:hint="default" w:eastAsia="宋体"/>
                      <w:color w:val="0000FF"/>
                      <w:sz w:val="18"/>
                      <w:szCs w:val="18"/>
                      <w:lang w:val="en-US" w:eastAsia="zh-CN"/>
                    </w:rPr>
                  </w:pPr>
                  <w:r>
                    <w:rPr>
                      <w:rFonts w:hint="eastAsia"/>
                      <w:color w:val="0000FF"/>
                      <w:sz w:val="18"/>
                      <w:szCs w:val="18"/>
                    </w:rPr>
                    <w:t>0.0</w:t>
                  </w:r>
                  <w:r>
                    <w:rPr>
                      <w:rFonts w:hint="eastAsia"/>
                      <w:color w:val="0000FF"/>
                      <w:sz w:val="18"/>
                      <w:szCs w:val="18"/>
                      <w:lang w:val="en-US" w:eastAsia="zh-CN"/>
                    </w:rPr>
                    <w:t>555</w:t>
                  </w:r>
                </w:p>
              </w:tc>
              <w:tc>
                <w:tcPr>
                  <w:tcW w:w="2325" w:type="dxa"/>
                  <w:gridSpan w:val="2"/>
                  <w:vAlign w:val="center"/>
                </w:tcPr>
                <w:p w14:paraId="548591FB">
                  <w:pPr>
                    <w:widowControl/>
                    <w:jc w:val="center"/>
                    <w:textAlignment w:val="center"/>
                    <w:rPr>
                      <w:rFonts w:hint="default" w:eastAsia="宋体"/>
                      <w:color w:val="0000FF"/>
                      <w:sz w:val="18"/>
                      <w:szCs w:val="18"/>
                      <w:lang w:val="en-US" w:eastAsia="zh-CN"/>
                    </w:rPr>
                  </w:pPr>
                  <w:r>
                    <w:rPr>
                      <w:rFonts w:hint="eastAsia"/>
                      <w:color w:val="0000FF"/>
                      <w:sz w:val="18"/>
                      <w:szCs w:val="18"/>
                    </w:rPr>
                    <w:t>0.01</w:t>
                  </w:r>
                  <w:r>
                    <w:rPr>
                      <w:rFonts w:hint="eastAsia"/>
                      <w:color w:val="0000FF"/>
                      <w:sz w:val="18"/>
                      <w:szCs w:val="18"/>
                      <w:lang w:val="en-US" w:eastAsia="zh-CN"/>
                    </w:rPr>
                    <w:t>43</w:t>
                  </w:r>
                </w:p>
              </w:tc>
            </w:tr>
            <w:tr w14:paraId="3DA274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91" w:hRule="atLeast"/>
                <w:jc w:val="center"/>
              </w:trPr>
              <w:tc>
                <w:tcPr>
                  <w:tcW w:w="625" w:type="dxa"/>
                  <w:vMerge w:val="continue"/>
                  <w:vAlign w:val="center"/>
                </w:tcPr>
                <w:p w14:paraId="15CCC937">
                  <w:pPr>
                    <w:widowControl/>
                    <w:adjustRightInd w:val="0"/>
                    <w:snapToGrid w:val="0"/>
                    <w:jc w:val="center"/>
                    <w:rPr>
                      <w:kern w:val="0"/>
                      <w:sz w:val="18"/>
                      <w:szCs w:val="18"/>
                    </w:rPr>
                  </w:pPr>
                </w:p>
              </w:tc>
              <w:tc>
                <w:tcPr>
                  <w:tcW w:w="861" w:type="dxa"/>
                  <w:vMerge w:val="continue"/>
                  <w:vAlign w:val="center"/>
                </w:tcPr>
                <w:p w14:paraId="36D839A6">
                  <w:pPr>
                    <w:widowControl/>
                    <w:adjustRightInd w:val="0"/>
                    <w:snapToGrid w:val="0"/>
                    <w:jc w:val="center"/>
                    <w:rPr>
                      <w:kern w:val="0"/>
                      <w:sz w:val="18"/>
                      <w:szCs w:val="18"/>
                    </w:rPr>
                  </w:pPr>
                </w:p>
              </w:tc>
              <w:tc>
                <w:tcPr>
                  <w:tcW w:w="501" w:type="dxa"/>
                  <w:vMerge w:val="restart"/>
                  <w:vAlign w:val="center"/>
                </w:tcPr>
                <w:p w14:paraId="265C7F9A">
                  <w:pPr>
                    <w:widowControl/>
                    <w:adjustRightInd w:val="0"/>
                    <w:snapToGrid w:val="0"/>
                    <w:jc w:val="center"/>
                    <w:rPr>
                      <w:sz w:val="18"/>
                      <w:szCs w:val="18"/>
                    </w:rPr>
                  </w:pPr>
                  <w:r>
                    <w:rPr>
                      <w:rFonts w:hint="eastAsia"/>
                      <w:sz w:val="18"/>
                      <w:szCs w:val="18"/>
                    </w:rPr>
                    <w:t>其中</w:t>
                  </w:r>
                </w:p>
              </w:tc>
              <w:tc>
                <w:tcPr>
                  <w:tcW w:w="1481" w:type="dxa"/>
                  <w:gridSpan w:val="2"/>
                  <w:vAlign w:val="center"/>
                </w:tcPr>
                <w:p w14:paraId="4A44B3A7">
                  <w:pPr>
                    <w:widowControl/>
                    <w:adjustRightInd w:val="0"/>
                    <w:snapToGrid w:val="0"/>
                    <w:jc w:val="center"/>
                    <w:rPr>
                      <w:sz w:val="18"/>
                      <w:szCs w:val="18"/>
                    </w:rPr>
                  </w:pPr>
                  <w:r>
                    <w:rPr>
                      <w:rFonts w:hint="eastAsia"/>
                      <w:sz w:val="18"/>
                      <w:szCs w:val="18"/>
                    </w:rPr>
                    <w:t>二甲苯</w:t>
                  </w:r>
                </w:p>
              </w:tc>
              <w:tc>
                <w:tcPr>
                  <w:tcW w:w="1206" w:type="dxa"/>
                  <w:vAlign w:val="center"/>
                </w:tcPr>
                <w:p w14:paraId="5E15703A">
                  <w:pPr>
                    <w:widowControl/>
                    <w:jc w:val="center"/>
                    <w:textAlignment w:val="center"/>
                    <w:rPr>
                      <w:color w:val="0000FF"/>
                      <w:sz w:val="18"/>
                      <w:szCs w:val="18"/>
                    </w:rPr>
                  </w:pPr>
                  <w:r>
                    <w:rPr>
                      <w:rFonts w:hint="eastAsia"/>
                      <w:color w:val="0000FF"/>
                      <w:sz w:val="18"/>
                      <w:szCs w:val="18"/>
                    </w:rPr>
                    <w:t>0.0011</w:t>
                  </w:r>
                </w:p>
              </w:tc>
              <w:tc>
                <w:tcPr>
                  <w:tcW w:w="1206" w:type="dxa"/>
                  <w:vAlign w:val="center"/>
                </w:tcPr>
                <w:p w14:paraId="3FA72254">
                  <w:pPr>
                    <w:widowControl/>
                    <w:jc w:val="center"/>
                    <w:textAlignment w:val="center"/>
                    <w:rPr>
                      <w:rFonts w:hint="eastAsia" w:eastAsia="宋体"/>
                      <w:color w:val="0000FF"/>
                      <w:sz w:val="18"/>
                      <w:szCs w:val="18"/>
                      <w:lang w:eastAsia="zh-CN"/>
                    </w:rPr>
                  </w:pPr>
                  <w:r>
                    <w:rPr>
                      <w:rFonts w:hint="eastAsia"/>
                      <w:color w:val="0000FF"/>
                      <w:sz w:val="18"/>
                      <w:szCs w:val="18"/>
                    </w:rPr>
                    <w:t>0.000</w:t>
                  </w:r>
                  <w:r>
                    <w:rPr>
                      <w:rFonts w:hint="eastAsia"/>
                      <w:color w:val="0000FF"/>
                      <w:sz w:val="18"/>
                      <w:szCs w:val="18"/>
                      <w:lang w:val="en-US" w:eastAsia="zh-CN"/>
                    </w:rPr>
                    <w:t>9</w:t>
                  </w:r>
                </w:p>
              </w:tc>
              <w:tc>
                <w:tcPr>
                  <w:tcW w:w="2325" w:type="dxa"/>
                  <w:gridSpan w:val="2"/>
                  <w:vAlign w:val="center"/>
                </w:tcPr>
                <w:p w14:paraId="661A0AAD">
                  <w:pPr>
                    <w:widowControl/>
                    <w:jc w:val="center"/>
                    <w:textAlignment w:val="center"/>
                    <w:rPr>
                      <w:rFonts w:hint="eastAsia" w:eastAsia="宋体"/>
                      <w:color w:val="0000FF"/>
                      <w:sz w:val="18"/>
                      <w:szCs w:val="18"/>
                      <w:lang w:eastAsia="zh-CN"/>
                    </w:rPr>
                  </w:pPr>
                  <w:r>
                    <w:rPr>
                      <w:color w:val="0000FF"/>
                      <w:kern w:val="0"/>
                      <w:sz w:val="18"/>
                      <w:szCs w:val="18"/>
                      <w:lang w:bidi="ar"/>
                    </w:rPr>
                    <w:t>0.000</w:t>
                  </w:r>
                  <w:r>
                    <w:rPr>
                      <w:rFonts w:hint="eastAsia"/>
                      <w:color w:val="0000FF"/>
                      <w:kern w:val="0"/>
                      <w:sz w:val="18"/>
                      <w:szCs w:val="18"/>
                      <w:lang w:val="en-US" w:eastAsia="zh-CN" w:bidi="ar"/>
                    </w:rPr>
                    <w:t>2</w:t>
                  </w:r>
                </w:p>
              </w:tc>
            </w:tr>
            <w:tr w14:paraId="1FC274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91" w:hRule="atLeast"/>
                <w:jc w:val="center"/>
              </w:trPr>
              <w:tc>
                <w:tcPr>
                  <w:tcW w:w="625" w:type="dxa"/>
                  <w:vMerge w:val="continue"/>
                  <w:vAlign w:val="center"/>
                </w:tcPr>
                <w:p w14:paraId="1A9F5D56">
                  <w:pPr>
                    <w:widowControl/>
                    <w:adjustRightInd w:val="0"/>
                    <w:snapToGrid w:val="0"/>
                    <w:jc w:val="center"/>
                    <w:rPr>
                      <w:kern w:val="0"/>
                      <w:sz w:val="18"/>
                      <w:szCs w:val="18"/>
                    </w:rPr>
                  </w:pPr>
                </w:p>
              </w:tc>
              <w:tc>
                <w:tcPr>
                  <w:tcW w:w="861" w:type="dxa"/>
                  <w:vMerge w:val="continue"/>
                  <w:vAlign w:val="center"/>
                </w:tcPr>
                <w:p w14:paraId="178ECC46">
                  <w:pPr>
                    <w:widowControl/>
                    <w:adjustRightInd w:val="0"/>
                    <w:snapToGrid w:val="0"/>
                    <w:jc w:val="center"/>
                    <w:rPr>
                      <w:kern w:val="0"/>
                      <w:sz w:val="18"/>
                      <w:szCs w:val="18"/>
                    </w:rPr>
                  </w:pPr>
                </w:p>
              </w:tc>
              <w:tc>
                <w:tcPr>
                  <w:tcW w:w="501" w:type="dxa"/>
                  <w:vMerge w:val="continue"/>
                  <w:vAlign w:val="center"/>
                </w:tcPr>
                <w:p w14:paraId="5C3F59A4">
                  <w:pPr>
                    <w:widowControl/>
                    <w:adjustRightInd w:val="0"/>
                    <w:snapToGrid w:val="0"/>
                    <w:jc w:val="center"/>
                    <w:rPr>
                      <w:sz w:val="18"/>
                      <w:szCs w:val="18"/>
                    </w:rPr>
                  </w:pPr>
                </w:p>
              </w:tc>
              <w:tc>
                <w:tcPr>
                  <w:tcW w:w="1481" w:type="dxa"/>
                  <w:gridSpan w:val="2"/>
                  <w:vAlign w:val="center"/>
                </w:tcPr>
                <w:p w14:paraId="6B2D0036">
                  <w:pPr>
                    <w:widowControl/>
                    <w:adjustRightInd w:val="0"/>
                    <w:snapToGrid w:val="0"/>
                    <w:jc w:val="center"/>
                    <w:rPr>
                      <w:sz w:val="18"/>
                      <w:szCs w:val="18"/>
                    </w:rPr>
                  </w:pPr>
                  <w:r>
                    <w:rPr>
                      <w:rFonts w:hint="eastAsia"/>
                      <w:sz w:val="18"/>
                      <w:szCs w:val="18"/>
                    </w:rPr>
                    <w:t>甲醇</w:t>
                  </w:r>
                </w:p>
              </w:tc>
              <w:tc>
                <w:tcPr>
                  <w:tcW w:w="1206" w:type="dxa"/>
                  <w:vAlign w:val="center"/>
                </w:tcPr>
                <w:p w14:paraId="055EDBF9">
                  <w:pPr>
                    <w:widowControl/>
                    <w:jc w:val="center"/>
                    <w:textAlignment w:val="center"/>
                    <w:rPr>
                      <w:color w:val="0000FF"/>
                      <w:sz w:val="18"/>
                      <w:szCs w:val="18"/>
                    </w:rPr>
                  </w:pPr>
                  <w:r>
                    <w:rPr>
                      <w:rFonts w:hint="eastAsia"/>
                      <w:color w:val="0000FF"/>
                      <w:sz w:val="18"/>
                      <w:szCs w:val="18"/>
                    </w:rPr>
                    <w:t>0.0468</w:t>
                  </w:r>
                </w:p>
              </w:tc>
              <w:tc>
                <w:tcPr>
                  <w:tcW w:w="1206" w:type="dxa"/>
                  <w:vAlign w:val="center"/>
                </w:tcPr>
                <w:p w14:paraId="23298872">
                  <w:pPr>
                    <w:widowControl/>
                    <w:jc w:val="center"/>
                    <w:textAlignment w:val="center"/>
                    <w:rPr>
                      <w:rFonts w:hint="default" w:eastAsia="宋体"/>
                      <w:color w:val="0000FF"/>
                      <w:sz w:val="18"/>
                      <w:szCs w:val="18"/>
                      <w:lang w:val="en-US" w:eastAsia="zh-CN"/>
                    </w:rPr>
                  </w:pPr>
                  <w:r>
                    <w:rPr>
                      <w:rFonts w:hint="eastAsia"/>
                      <w:color w:val="0000FF"/>
                      <w:sz w:val="18"/>
                      <w:szCs w:val="18"/>
                    </w:rPr>
                    <w:t>0.03</w:t>
                  </w:r>
                  <w:r>
                    <w:rPr>
                      <w:rFonts w:hint="eastAsia"/>
                      <w:color w:val="0000FF"/>
                      <w:sz w:val="18"/>
                      <w:szCs w:val="18"/>
                      <w:lang w:val="en-US" w:eastAsia="zh-CN"/>
                    </w:rPr>
                    <w:t>74</w:t>
                  </w:r>
                </w:p>
              </w:tc>
              <w:tc>
                <w:tcPr>
                  <w:tcW w:w="2325" w:type="dxa"/>
                  <w:gridSpan w:val="2"/>
                  <w:vAlign w:val="center"/>
                </w:tcPr>
                <w:p w14:paraId="0B643E9B">
                  <w:pPr>
                    <w:widowControl/>
                    <w:jc w:val="center"/>
                    <w:textAlignment w:val="center"/>
                    <w:rPr>
                      <w:rFonts w:hint="default" w:eastAsia="宋体"/>
                      <w:color w:val="0000FF"/>
                      <w:sz w:val="18"/>
                      <w:szCs w:val="18"/>
                      <w:lang w:val="en-US" w:eastAsia="zh-CN"/>
                    </w:rPr>
                  </w:pPr>
                  <w:r>
                    <w:rPr>
                      <w:color w:val="0000FF"/>
                      <w:kern w:val="0"/>
                      <w:sz w:val="18"/>
                      <w:szCs w:val="18"/>
                      <w:lang w:bidi="ar"/>
                    </w:rPr>
                    <w:t>0.0</w:t>
                  </w:r>
                  <w:r>
                    <w:rPr>
                      <w:rFonts w:hint="eastAsia"/>
                      <w:color w:val="0000FF"/>
                      <w:kern w:val="0"/>
                      <w:sz w:val="18"/>
                      <w:szCs w:val="18"/>
                      <w:lang w:val="en-US" w:eastAsia="zh-CN" w:bidi="ar"/>
                    </w:rPr>
                    <w:t>094</w:t>
                  </w:r>
                </w:p>
              </w:tc>
            </w:tr>
            <w:tr w14:paraId="43F5EB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91" w:hRule="atLeast"/>
                <w:jc w:val="center"/>
              </w:trPr>
              <w:tc>
                <w:tcPr>
                  <w:tcW w:w="625" w:type="dxa"/>
                  <w:vMerge w:val="continue"/>
                  <w:vAlign w:val="center"/>
                </w:tcPr>
                <w:p w14:paraId="0BA6C8FF">
                  <w:pPr>
                    <w:widowControl/>
                    <w:adjustRightInd w:val="0"/>
                    <w:snapToGrid w:val="0"/>
                    <w:jc w:val="center"/>
                    <w:rPr>
                      <w:kern w:val="0"/>
                      <w:sz w:val="18"/>
                      <w:szCs w:val="18"/>
                    </w:rPr>
                  </w:pPr>
                </w:p>
              </w:tc>
              <w:tc>
                <w:tcPr>
                  <w:tcW w:w="861" w:type="dxa"/>
                  <w:vMerge w:val="continue"/>
                  <w:vAlign w:val="center"/>
                </w:tcPr>
                <w:p w14:paraId="18798C7F">
                  <w:pPr>
                    <w:widowControl/>
                    <w:adjustRightInd w:val="0"/>
                    <w:snapToGrid w:val="0"/>
                    <w:jc w:val="center"/>
                    <w:rPr>
                      <w:kern w:val="0"/>
                      <w:sz w:val="18"/>
                      <w:szCs w:val="18"/>
                    </w:rPr>
                  </w:pPr>
                </w:p>
              </w:tc>
              <w:tc>
                <w:tcPr>
                  <w:tcW w:w="1982" w:type="dxa"/>
                  <w:gridSpan w:val="3"/>
                  <w:vAlign w:val="center"/>
                </w:tcPr>
                <w:p w14:paraId="0A0F9DE9">
                  <w:pPr>
                    <w:widowControl/>
                    <w:adjustRightInd w:val="0"/>
                    <w:snapToGrid w:val="0"/>
                    <w:jc w:val="center"/>
                    <w:rPr>
                      <w:sz w:val="18"/>
                      <w:szCs w:val="18"/>
                    </w:rPr>
                  </w:pPr>
                  <w:r>
                    <w:rPr>
                      <w:rFonts w:hint="eastAsia"/>
                      <w:sz w:val="18"/>
                      <w:szCs w:val="18"/>
                    </w:rPr>
                    <w:t>氨气</w:t>
                  </w:r>
                </w:p>
              </w:tc>
              <w:tc>
                <w:tcPr>
                  <w:tcW w:w="1206" w:type="dxa"/>
                  <w:vAlign w:val="center"/>
                </w:tcPr>
                <w:p w14:paraId="1429A8D9">
                  <w:pPr>
                    <w:widowControl/>
                    <w:jc w:val="center"/>
                    <w:textAlignment w:val="center"/>
                    <w:rPr>
                      <w:color w:val="0000FF"/>
                      <w:sz w:val="18"/>
                      <w:szCs w:val="18"/>
                    </w:rPr>
                  </w:pPr>
                  <w:r>
                    <w:rPr>
                      <w:rFonts w:hint="eastAsia"/>
                      <w:color w:val="0000FF"/>
                      <w:sz w:val="18"/>
                      <w:szCs w:val="18"/>
                    </w:rPr>
                    <w:t>0.0166</w:t>
                  </w:r>
                </w:p>
              </w:tc>
              <w:tc>
                <w:tcPr>
                  <w:tcW w:w="1206" w:type="dxa"/>
                  <w:vAlign w:val="center"/>
                </w:tcPr>
                <w:p w14:paraId="1D3F3EF6">
                  <w:pPr>
                    <w:widowControl/>
                    <w:jc w:val="center"/>
                    <w:textAlignment w:val="center"/>
                    <w:rPr>
                      <w:rFonts w:hint="default" w:eastAsia="宋体"/>
                      <w:color w:val="0000FF"/>
                      <w:sz w:val="18"/>
                      <w:szCs w:val="18"/>
                      <w:lang w:val="en-US" w:eastAsia="zh-CN"/>
                    </w:rPr>
                  </w:pPr>
                  <w:r>
                    <w:rPr>
                      <w:rFonts w:hint="eastAsia"/>
                      <w:color w:val="0000FF"/>
                      <w:sz w:val="18"/>
                      <w:szCs w:val="18"/>
                    </w:rPr>
                    <w:t>0.01</w:t>
                  </w:r>
                  <w:r>
                    <w:rPr>
                      <w:rFonts w:hint="eastAsia"/>
                      <w:color w:val="0000FF"/>
                      <w:sz w:val="18"/>
                      <w:szCs w:val="18"/>
                      <w:lang w:val="en-US" w:eastAsia="zh-CN"/>
                    </w:rPr>
                    <w:t>33</w:t>
                  </w:r>
                </w:p>
              </w:tc>
              <w:tc>
                <w:tcPr>
                  <w:tcW w:w="2325" w:type="dxa"/>
                  <w:gridSpan w:val="2"/>
                  <w:vAlign w:val="center"/>
                </w:tcPr>
                <w:p w14:paraId="1E5F2AB4">
                  <w:pPr>
                    <w:widowControl/>
                    <w:jc w:val="center"/>
                    <w:textAlignment w:val="center"/>
                    <w:rPr>
                      <w:rFonts w:hint="default" w:eastAsia="宋体"/>
                      <w:color w:val="0000FF"/>
                      <w:sz w:val="18"/>
                      <w:szCs w:val="18"/>
                      <w:lang w:val="en-US" w:eastAsia="zh-CN"/>
                    </w:rPr>
                  </w:pPr>
                  <w:r>
                    <w:rPr>
                      <w:color w:val="0000FF"/>
                      <w:kern w:val="0"/>
                      <w:sz w:val="18"/>
                      <w:szCs w:val="18"/>
                      <w:lang w:bidi="ar"/>
                    </w:rPr>
                    <w:t>0.00</w:t>
                  </w:r>
                  <w:r>
                    <w:rPr>
                      <w:rFonts w:hint="eastAsia"/>
                      <w:color w:val="0000FF"/>
                      <w:kern w:val="0"/>
                      <w:sz w:val="18"/>
                      <w:szCs w:val="18"/>
                      <w:lang w:val="en-US" w:eastAsia="zh-CN" w:bidi="ar"/>
                    </w:rPr>
                    <w:t>33</w:t>
                  </w:r>
                </w:p>
              </w:tc>
            </w:tr>
            <w:tr w14:paraId="4BEB66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91" w:hRule="atLeast"/>
                <w:jc w:val="center"/>
              </w:trPr>
              <w:tc>
                <w:tcPr>
                  <w:tcW w:w="625" w:type="dxa"/>
                  <w:vMerge w:val="continue"/>
                  <w:vAlign w:val="center"/>
                </w:tcPr>
                <w:p w14:paraId="4C66917E">
                  <w:pPr>
                    <w:widowControl/>
                    <w:adjustRightInd w:val="0"/>
                    <w:snapToGrid w:val="0"/>
                    <w:jc w:val="center"/>
                    <w:rPr>
                      <w:kern w:val="0"/>
                      <w:sz w:val="18"/>
                      <w:szCs w:val="18"/>
                    </w:rPr>
                  </w:pPr>
                </w:p>
                <w:p w14:paraId="15E8738E">
                  <w:pPr>
                    <w:pStyle w:val="4"/>
                  </w:pPr>
                </w:p>
              </w:tc>
              <w:tc>
                <w:tcPr>
                  <w:tcW w:w="861" w:type="dxa"/>
                  <w:vMerge w:val="restart"/>
                  <w:vAlign w:val="center"/>
                </w:tcPr>
                <w:p w14:paraId="11A5CDD4">
                  <w:pPr>
                    <w:widowControl/>
                    <w:adjustRightInd w:val="0"/>
                    <w:snapToGrid w:val="0"/>
                    <w:jc w:val="center"/>
                    <w:rPr>
                      <w:kern w:val="0"/>
                      <w:sz w:val="18"/>
                      <w:szCs w:val="18"/>
                    </w:rPr>
                  </w:pPr>
                  <w:r>
                    <w:rPr>
                      <w:kern w:val="0"/>
                      <w:sz w:val="18"/>
                      <w:szCs w:val="18"/>
                    </w:rPr>
                    <w:t>无组织</w:t>
                  </w:r>
                </w:p>
              </w:tc>
              <w:tc>
                <w:tcPr>
                  <w:tcW w:w="1982" w:type="dxa"/>
                  <w:gridSpan w:val="3"/>
                  <w:vAlign w:val="center"/>
                </w:tcPr>
                <w:p w14:paraId="20D5FD2F">
                  <w:pPr>
                    <w:widowControl/>
                    <w:adjustRightInd w:val="0"/>
                    <w:snapToGrid w:val="0"/>
                    <w:jc w:val="center"/>
                    <w:rPr>
                      <w:sz w:val="18"/>
                      <w:szCs w:val="18"/>
                    </w:rPr>
                  </w:pPr>
                  <w:r>
                    <w:rPr>
                      <w:rFonts w:hint="eastAsia"/>
                      <w:sz w:val="18"/>
                      <w:szCs w:val="18"/>
                    </w:rPr>
                    <w:t>VOCs*</w:t>
                  </w:r>
                </w:p>
              </w:tc>
              <w:tc>
                <w:tcPr>
                  <w:tcW w:w="1206" w:type="dxa"/>
                  <w:vAlign w:val="center"/>
                </w:tcPr>
                <w:p w14:paraId="4C5EAC45">
                  <w:pPr>
                    <w:widowControl/>
                    <w:jc w:val="center"/>
                    <w:rPr>
                      <w:rFonts w:hint="eastAsia" w:eastAsia="宋体"/>
                      <w:color w:val="auto"/>
                      <w:kern w:val="0"/>
                      <w:sz w:val="18"/>
                      <w:szCs w:val="18"/>
                      <w:lang w:eastAsia="zh-CN"/>
                    </w:rPr>
                  </w:pPr>
                  <w:r>
                    <w:rPr>
                      <w:rFonts w:hint="eastAsia"/>
                      <w:color w:val="auto"/>
                      <w:kern w:val="0"/>
                      <w:sz w:val="18"/>
                      <w:szCs w:val="18"/>
                    </w:rPr>
                    <w:t>0.007</w:t>
                  </w:r>
                  <w:r>
                    <w:rPr>
                      <w:rFonts w:hint="eastAsia"/>
                      <w:color w:val="auto"/>
                      <w:kern w:val="0"/>
                      <w:sz w:val="18"/>
                      <w:szCs w:val="18"/>
                      <w:lang w:val="en-US" w:eastAsia="zh-CN"/>
                    </w:rPr>
                    <w:t>8</w:t>
                  </w:r>
                </w:p>
              </w:tc>
              <w:tc>
                <w:tcPr>
                  <w:tcW w:w="1206" w:type="dxa"/>
                  <w:vAlign w:val="center"/>
                </w:tcPr>
                <w:p w14:paraId="6703B5BF">
                  <w:pPr>
                    <w:adjustRightInd w:val="0"/>
                    <w:snapToGrid w:val="0"/>
                    <w:contextualSpacing/>
                    <w:jc w:val="center"/>
                    <w:rPr>
                      <w:color w:val="auto"/>
                      <w:sz w:val="18"/>
                      <w:szCs w:val="18"/>
                    </w:rPr>
                  </w:pPr>
                  <w:r>
                    <w:rPr>
                      <w:rFonts w:hint="eastAsia"/>
                      <w:color w:val="auto"/>
                      <w:sz w:val="18"/>
                      <w:szCs w:val="18"/>
                    </w:rPr>
                    <w:t>0</w:t>
                  </w:r>
                </w:p>
              </w:tc>
              <w:tc>
                <w:tcPr>
                  <w:tcW w:w="2325" w:type="dxa"/>
                  <w:gridSpan w:val="2"/>
                  <w:vAlign w:val="center"/>
                </w:tcPr>
                <w:p w14:paraId="146042B2">
                  <w:pPr>
                    <w:widowControl/>
                    <w:jc w:val="center"/>
                    <w:rPr>
                      <w:rFonts w:hint="eastAsia" w:eastAsia="宋体"/>
                      <w:color w:val="auto"/>
                      <w:kern w:val="0"/>
                      <w:sz w:val="18"/>
                      <w:szCs w:val="18"/>
                      <w:lang w:eastAsia="zh-CN"/>
                    </w:rPr>
                  </w:pPr>
                  <w:r>
                    <w:rPr>
                      <w:rFonts w:hint="eastAsia"/>
                      <w:color w:val="auto"/>
                      <w:kern w:val="0"/>
                      <w:sz w:val="18"/>
                      <w:szCs w:val="18"/>
                    </w:rPr>
                    <w:t>0.007</w:t>
                  </w:r>
                  <w:r>
                    <w:rPr>
                      <w:rFonts w:hint="eastAsia"/>
                      <w:color w:val="auto"/>
                      <w:kern w:val="0"/>
                      <w:sz w:val="18"/>
                      <w:szCs w:val="18"/>
                      <w:lang w:val="en-US" w:eastAsia="zh-CN"/>
                    </w:rPr>
                    <w:t>8</w:t>
                  </w:r>
                </w:p>
              </w:tc>
            </w:tr>
            <w:tr w14:paraId="79B554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91" w:hRule="atLeast"/>
                <w:jc w:val="center"/>
              </w:trPr>
              <w:tc>
                <w:tcPr>
                  <w:tcW w:w="625" w:type="dxa"/>
                  <w:vMerge w:val="continue"/>
                  <w:vAlign w:val="center"/>
                </w:tcPr>
                <w:p w14:paraId="5E5ADEDC">
                  <w:pPr>
                    <w:pStyle w:val="4"/>
                  </w:pPr>
                </w:p>
              </w:tc>
              <w:tc>
                <w:tcPr>
                  <w:tcW w:w="861" w:type="dxa"/>
                  <w:vMerge w:val="continue"/>
                  <w:vAlign w:val="center"/>
                </w:tcPr>
                <w:p w14:paraId="1D366213">
                  <w:pPr>
                    <w:widowControl/>
                    <w:adjustRightInd w:val="0"/>
                    <w:snapToGrid w:val="0"/>
                    <w:jc w:val="center"/>
                    <w:rPr>
                      <w:kern w:val="0"/>
                      <w:sz w:val="18"/>
                      <w:szCs w:val="18"/>
                    </w:rPr>
                  </w:pPr>
                </w:p>
              </w:tc>
              <w:tc>
                <w:tcPr>
                  <w:tcW w:w="546" w:type="dxa"/>
                  <w:gridSpan w:val="2"/>
                  <w:vMerge w:val="restart"/>
                  <w:vAlign w:val="center"/>
                </w:tcPr>
                <w:p w14:paraId="466B6DD1">
                  <w:pPr>
                    <w:widowControl/>
                    <w:adjustRightInd w:val="0"/>
                    <w:snapToGrid w:val="0"/>
                    <w:jc w:val="center"/>
                    <w:rPr>
                      <w:sz w:val="18"/>
                      <w:szCs w:val="18"/>
                    </w:rPr>
                  </w:pPr>
                  <w:r>
                    <w:rPr>
                      <w:rFonts w:hint="eastAsia"/>
                      <w:sz w:val="18"/>
                      <w:szCs w:val="18"/>
                    </w:rPr>
                    <w:t>其中</w:t>
                  </w:r>
                </w:p>
              </w:tc>
              <w:tc>
                <w:tcPr>
                  <w:tcW w:w="1436" w:type="dxa"/>
                  <w:vAlign w:val="center"/>
                </w:tcPr>
                <w:p w14:paraId="782466CA">
                  <w:pPr>
                    <w:widowControl/>
                    <w:adjustRightInd w:val="0"/>
                    <w:snapToGrid w:val="0"/>
                    <w:jc w:val="center"/>
                    <w:rPr>
                      <w:sz w:val="18"/>
                      <w:szCs w:val="18"/>
                    </w:rPr>
                  </w:pPr>
                  <w:r>
                    <w:rPr>
                      <w:rFonts w:hint="eastAsia"/>
                      <w:sz w:val="18"/>
                      <w:szCs w:val="18"/>
                    </w:rPr>
                    <w:t>二甲苯</w:t>
                  </w:r>
                </w:p>
              </w:tc>
              <w:tc>
                <w:tcPr>
                  <w:tcW w:w="1206" w:type="dxa"/>
                  <w:vAlign w:val="center"/>
                </w:tcPr>
                <w:p w14:paraId="5F473457">
                  <w:pPr>
                    <w:widowControl/>
                    <w:jc w:val="center"/>
                    <w:rPr>
                      <w:color w:val="auto"/>
                      <w:kern w:val="0"/>
                      <w:sz w:val="18"/>
                      <w:szCs w:val="18"/>
                    </w:rPr>
                  </w:pPr>
                  <w:r>
                    <w:rPr>
                      <w:rFonts w:hint="eastAsia"/>
                      <w:color w:val="auto"/>
                      <w:kern w:val="0"/>
                      <w:sz w:val="18"/>
                      <w:szCs w:val="18"/>
                    </w:rPr>
                    <w:t>0.0001</w:t>
                  </w:r>
                </w:p>
              </w:tc>
              <w:tc>
                <w:tcPr>
                  <w:tcW w:w="1206" w:type="dxa"/>
                  <w:vAlign w:val="center"/>
                </w:tcPr>
                <w:p w14:paraId="603049CE">
                  <w:pPr>
                    <w:adjustRightInd w:val="0"/>
                    <w:snapToGrid w:val="0"/>
                    <w:contextualSpacing/>
                    <w:jc w:val="center"/>
                    <w:rPr>
                      <w:color w:val="auto"/>
                      <w:sz w:val="18"/>
                      <w:szCs w:val="18"/>
                    </w:rPr>
                  </w:pPr>
                  <w:r>
                    <w:rPr>
                      <w:rFonts w:hint="eastAsia"/>
                      <w:color w:val="auto"/>
                      <w:sz w:val="18"/>
                      <w:szCs w:val="18"/>
                    </w:rPr>
                    <w:t>0</w:t>
                  </w:r>
                </w:p>
              </w:tc>
              <w:tc>
                <w:tcPr>
                  <w:tcW w:w="2325" w:type="dxa"/>
                  <w:gridSpan w:val="2"/>
                  <w:vAlign w:val="center"/>
                </w:tcPr>
                <w:p w14:paraId="736346D8">
                  <w:pPr>
                    <w:widowControl/>
                    <w:jc w:val="center"/>
                    <w:rPr>
                      <w:color w:val="auto"/>
                      <w:kern w:val="0"/>
                      <w:sz w:val="18"/>
                      <w:szCs w:val="18"/>
                    </w:rPr>
                  </w:pPr>
                  <w:r>
                    <w:rPr>
                      <w:rFonts w:hint="eastAsia"/>
                      <w:color w:val="auto"/>
                      <w:kern w:val="0"/>
                      <w:sz w:val="18"/>
                      <w:szCs w:val="18"/>
                    </w:rPr>
                    <w:t>0.0001</w:t>
                  </w:r>
                </w:p>
              </w:tc>
            </w:tr>
            <w:tr w14:paraId="36838E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91" w:hRule="atLeast"/>
                <w:jc w:val="center"/>
              </w:trPr>
              <w:tc>
                <w:tcPr>
                  <w:tcW w:w="625" w:type="dxa"/>
                  <w:vMerge w:val="continue"/>
                  <w:vAlign w:val="center"/>
                </w:tcPr>
                <w:p w14:paraId="19C692CB">
                  <w:pPr>
                    <w:pStyle w:val="4"/>
                  </w:pPr>
                </w:p>
              </w:tc>
              <w:tc>
                <w:tcPr>
                  <w:tcW w:w="861" w:type="dxa"/>
                  <w:vMerge w:val="continue"/>
                  <w:vAlign w:val="center"/>
                </w:tcPr>
                <w:p w14:paraId="657A8464">
                  <w:pPr>
                    <w:widowControl/>
                    <w:adjustRightInd w:val="0"/>
                    <w:snapToGrid w:val="0"/>
                    <w:jc w:val="center"/>
                    <w:rPr>
                      <w:kern w:val="0"/>
                      <w:sz w:val="18"/>
                      <w:szCs w:val="18"/>
                    </w:rPr>
                  </w:pPr>
                </w:p>
              </w:tc>
              <w:tc>
                <w:tcPr>
                  <w:tcW w:w="546" w:type="dxa"/>
                  <w:gridSpan w:val="2"/>
                  <w:vMerge w:val="continue"/>
                  <w:vAlign w:val="center"/>
                </w:tcPr>
                <w:p w14:paraId="2835F075">
                  <w:pPr>
                    <w:widowControl/>
                    <w:adjustRightInd w:val="0"/>
                    <w:snapToGrid w:val="0"/>
                    <w:jc w:val="center"/>
                    <w:rPr>
                      <w:sz w:val="18"/>
                      <w:szCs w:val="18"/>
                    </w:rPr>
                  </w:pPr>
                </w:p>
              </w:tc>
              <w:tc>
                <w:tcPr>
                  <w:tcW w:w="1436" w:type="dxa"/>
                  <w:vAlign w:val="center"/>
                </w:tcPr>
                <w:p w14:paraId="0B492B4C">
                  <w:pPr>
                    <w:widowControl/>
                    <w:adjustRightInd w:val="0"/>
                    <w:snapToGrid w:val="0"/>
                    <w:jc w:val="center"/>
                    <w:rPr>
                      <w:sz w:val="18"/>
                      <w:szCs w:val="18"/>
                    </w:rPr>
                  </w:pPr>
                  <w:r>
                    <w:rPr>
                      <w:rFonts w:hint="eastAsia"/>
                      <w:sz w:val="18"/>
                      <w:szCs w:val="18"/>
                    </w:rPr>
                    <w:t>甲醇</w:t>
                  </w:r>
                </w:p>
              </w:tc>
              <w:tc>
                <w:tcPr>
                  <w:tcW w:w="1206" w:type="dxa"/>
                  <w:vAlign w:val="center"/>
                </w:tcPr>
                <w:p w14:paraId="38568335">
                  <w:pPr>
                    <w:widowControl/>
                    <w:jc w:val="center"/>
                    <w:rPr>
                      <w:color w:val="auto"/>
                      <w:kern w:val="0"/>
                      <w:sz w:val="18"/>
                      <w:szCs w:val="18"/>
                    </w:rPr>
                  </w:pPr>
                  <w:r>
                    <w:rPr>
                      <w:rFonts w:hint="eastAsia"/>
                      <w:color w:val="auto"/>
                      <w:kern w:val="0"/>
                      <w:sz w:val="18"/>
                      <w:szCs w:val="18"/>
                    </w:rPr>
                    <w:t>0.0052</w:t>
                  </w:r>
                </w:p>
              </w:tc>
              <w:tc>
                <w:tcPr>
                  <w:tcW w:w="1206" w:type="dxa"/>
                  <w:vAlign w:val="center"/>
                </w:tcPr>
                <w:p w14:paraId="69F465C3">
                  <w:pPr>
                    <w:adjustRightInd w:val="0"/>
                    <w:snapToGrid w:val="0"/>
                    <w:contextualSpacing/>
                    <w:jc w:val="center"/>
                    <w:rPr>
                      <w:color w:val="auto"/>
                      <w:sz w:val="18"/>
                      <w:szCs w:val="18"/>
                    </w:rPr>
                  </w:pPr>
                  <w:r>
                    <w:rPr>
                      <w:rFonts w:hint="eastAsia"/>
                      <w:color w:val="auto"/>
                      <w:sz w:val="18"/>
                      <w:szCs w:val="18"/>
                    </w:rPr>
                    <w:t>0</w:t>
                  </w:r>
                </w:p>
              </w:tc>
              <w:tc>
                <w:tcPr>
                  <w:tcW w:w="2325" w:type="dxa"/>
                  <w:gridSpan w:val="2"/>
                  <w:vAlign w:val="center"/>
                </w:tcPr>
                <w:p w14:paraId="5FF0DE0D">
                  <w:pPr>
                    <w:widowControl/>
                    <w:jc w:val="center"/>
                    <w:rPr>
                      <w:color w:val="auto"/>
                      <w:kern w:val="0"/>
                      <w:sz w:val="18"/>
                      <w:szCs w:val="18"/>
                    </w:rPr>
                  </w:pPr>
                  <w:r>
                    <w:rPr>
                      <w:rFonts w:hint="eastAsia"/>
                      <w:color w:val="auto"/>
                      <w:kern w:val="0"/>
                      <w:sz w:val="18"/>
                      <w:szCs w:val="18"/>
                    </w:rPr>
                    <w:t>0.0052</w:t>
                  </w:r>
                </w:p>
              </w:tc>
            </w:tr>
            <w:tr w14:paraId="0E30CF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91" w:hRule="atLeast"/>
                <w:jc w:val="center"/>
              </w:trPr>
              <w:tc>
                <w:tcPr>
                  <w:tcW w:w="625" w:type="dxa"/>
                  <w:vMerge w:val="continue"/>
                  <w:vAlign w:val="center"/>
                </w:tcPr>
                <w:p w14:paraId="23C0CB87">
                  <w:pPr>
                    <w:widowControl/>
                    <w:adjustRightInd w:val="0"/>
                    <w:snapToGrid w:val="0"/>
                    <w:jc w:val="center"/>
                    <w:rPr>
                      <w:kern w:val="0"/>
                      <w:sz w:val="18"/>
                      <w:szCs w:val="18"/>
                    </w:rPr>
                  </w:pPr>
                </w:p>
              </w:tc>
              <w:tc>
                <w:tcPr>
                  <w:tcW w:w="861" w:type="dxa"/>
                  <w:vMerge w:val="continue"/>
                  <w:vAlign w:val="center"/>
                </w:tcPr>
                <w:p w14:paraId="364CC9D8">
                  <w:pPr>
                    <w:widowControl/>
                    <w:adjustRightInd w:val="0"/>
                    <w:snapToGrid w:val="0"/>
                    <w:jc w:val="center"/>
                    <w:rPr>
                      <w:kern w:val="0"/>
                      <w:sz w:val="18"/>
                      <w:szCs w:val="18"/>
                    </w:rPr>
                  </w:pPr>
                </w:p>
              </w:tc>
              <w:tc>
                <w:tcPr>
                  <w:tcW w:w="1982" w:type="dxa"/>
                  <w:gridSpan w:val="3"/>
                  <w:vAlign w:val="center"/>
                </w:tcPr>
                <w:p w14:paraId="3AE8281B">
                  <w:pPr>
                    <w:widowControl/>
                    <w:adjustRightInd w:val="0"/>
                    <w:snapToGrid w:val="0"/>
                    <w:jc w:val="center"/>
                    <w:rPr>
                      <w:sz w:val="18"/>
                      <w:szCs w:val="18"/>
                    </w:rPr>
                  </w:pPr>
                  <w:r>
                    <w:rPr>
                      <w:rFonts w:hint="eastAsia"/>
                      <w:sz w:val="18"/>
                      <w:szCs w:val="18"/>
                    </w:rPr>
                    <w:t>氨气</w:t>
                  </w:r>
                </w:p>
              </w:tc>
              <w:tc>
                <w:tcPr>
                  <w:tcW w:w="1206" w:type="dxa"/>
                  <w:vAlign w:val="center"/>
                </w:tcPr>
                <w:p w14:paraId="775755F8">
                  <w:pPr>
                    <w:widowControl/>
                    <w:jc w:val="center"/>
                    <w:rPr>
                      <w:kern w:val="0"/>
                      <w:sz w:val="18"/>
                      <w:szCs w:val="18"/>
                    </w:rPr>
                  </w:pPr>
                  <w:r>
                    <w:rPr>
                      <w:rFonts w:hint="eastAsia"/>
                      <w:kern w:val="0"/>
                      <w:sz w:val="18"/>
                      <w:szCs w:val="18"/>
                    </w:rPr>
                    <w:t>0.0018</w:t>
                  </w:r>
                </w:p>
              </w:tc>
              <w:tc>
                <w:tcPr>
                  <w:tcW w:w="1206" w:type="dxa"/>
                  <w:vAlign w:val="center"/>
                </w:tcPr>
                <w:p w14:paraId="6C89F3D7">
                  <w:pPr>
                    <w:adjustRightInd w:val="0"/>
                    <w:snapToGrid w:val="0"/>
                    <w:contextualSpacing/>
                    <w:jc w:val="center"/>
                    <w:rPr>
                      <w:sz w:val="18"/>
                      <w:szCs w:val="18"/>
                    </w:rPr>
                  </w:pPr>
                  <w:r>
                    <w:rPr>
                      <w:rFonts w:hint="eastAsia"/>
                      <w:sz w:val="18"/>
                      <w:szCs w:val="18"/>
                    </w:rPr>
                    <w:t>0</w:t>
                  </w:r>
                </w:p>
              </w:tc>
              <w:tc>
                <w:tcPr>
                  <w:tcW w:w="2325" w:type="dxa"/>
                  <w:gridSpan w:val="2"/>
                  <w:vAlign w:val="center"/>
                </w:tcPr>
                <w:p w14:paraId="035C7CEA">
                  <w:pPr>
                    <w:widowControl/>
                    <w:jc w:val="center"/>
                    <w:rPr>
                      <w:kern w:val="0"/>
                      <w:sz w:val="18"/>
                      <w:szCs w:val="18"/>
                    </w:rPr>
                  </w:pPr>
                  <w:r>
                    <w:rPr>
                      <w:rFonts w:hint="eastAsia"/>
                      <w:kern w:val="0"/>
                      <w:sz w:val="18"/>
                      <w:szCs w:val="18"/>
                    </w:rPr>
                    <w:t>0.0018</w:t>
                  </w:r>
                </w:p>
              </w:tc>
            </w:tr>
            <w:tr w14:paraId="7B846B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78" w:hRule="atLeast"/>
                <w:jc w:val="center"/>
              </w:trPr>
              <w:tc>
                <w:tcPr>
                  <w:tcW w:w="1486" w:type="dxa"/>
                  <w:gridSpan w:val="2"/>
                  <w:vMerge w:val="restart"/>
                  <w:vAlign w:val="center"/>
                </w:tcPr>
                <w:p w14:paraId="01987846">
                  <w:pPr>
                    <w:widowControl/>
                    <w:adjustRightInd w:val="0"/>
                    <w:snapToGrid w:val="0"/>
                    <w:jc w:val="center"/>
                    <w:rPr>
                      <w:kern w:val="0"/>
                      <w:sz w:val="18"/>
                      <w:szCs w:val="18"/>
                    </w:rPr>
                  </w:pPr>
                  <w:r>
                    <w:rPr>
                      <w:kern w:val="0"/>
                      <w:sz w:val="18"/>
                      <w:szCs w:val="18"/>
                    </w:rPr>
                    <w:t>固废</w:t>
                  </w:r>
                </w:p>
              </w:tc>
              <w:tc>
                <w:tcPr>
                  <w:tcW w:w="1982" w:type="dxa"/>
                  <w:gridSpan w:val="3"/>
                  <w:vAlign w:val="center"/>
                </w:tcPr>
                <w:p w14:paraId="514AD38B">
                  <w:pPr>
                    <w:widowControl/>
                    <w:adjustRightInd w:val="0"/>
                    <w:snapToGrid w:val="0"/>
                    <w:jc w:val="center"/>
                    <w:rPr>
                      <w:kern w:val="0"/>
                      <w:sz w:val="18"/>
                      <w:szCs w:val="18"/>
                    </w:rPr>
                  </w:pPr>
                  <w:r>
                    <w:rPr>
                      <w:kern w:val="0"/>
                      <w:sz w:val="18"/>
                      <w:szCs w:val="18"/>
                    </w:rPr>
                    <w:t>危险固废</w:t>
                  </w:r>
                </w:p>
              </w:tc>
              <w:tc>
                <w:tcPr>
                  <w:tcW w:w="1206" w:type="dxa"/>
                  <w:vAlign w:val="center"/>
                </w:tcPr>
                <w:p w14:paraId="3EA26B97">
                  <w:pPr>
                    <w:widowControl/>
                    <w:jc w:val="center"/>
                    <w:rPr>
                      <w:rFonts w:hint="eastAsia" w:eastAsia="宋体"/>
                      <w:color w:val="0000FF"/>
                      <w:kern w:val="0"/>
                      <w:sz w:val="18"/>
                      <w:szCs w:val="18"/>
                      <w:lang w:eastAsia="zh-CN"/>
                    </w:rPr>
                  </w:pPr>
                  <w:r>
                    <w:rPr>
                      <w:rFonts w:hint="eastAsia"/>
                      <w:color w:val="0000FF"/>
                      <w:kern w:val="0"/>
                      <w:sz w:val="18"/>
                      <w:szCs w:val="18"/>
                      <w:lang w:eastAsia="zh-CN"/>
                    </w:rPr>
                    <w:t>8.5735</w:t>
                  </w:r>
                </w:p>
              </w:tc>
              <w:tc>
                <w:tcPr>
                  <w:tcW w:w="1206" w:type="dxa"/>
                  <w:vAlign w:val="center"/>
                </w:tcPr>
                <w:p w14:paraId="78065AF7">
                  <w:pPr>
                    <w:widowControl/>
                    <w:jc w:val="center"/>
                    <w:rPr>
                      <w:rFonts w:hint="eastAsia" w:eastAsia="宋体"/>
                      <w:color w:val="0000FF"/>
                      <w:kern w:val="0"/>
                      <w:sz w:val="18"/>
                      <w:szCs w:val="18"/>
                      <w:lang w:eastAsia="zh-CN"/>
                    </w:rPr>
                  </w:pPr>
                  <w:r>
                    <w:rPr>
                      <w:rFonts w:hint="eastAsia"/>
                      <w:color w:val="0000FF"/>
                      <w:kern w:val="0"/>
                      <w:sz w:val="18"/>
                      <w:szCs w:val="18"/>
                      <w:lang w:eastAsia="zh-CN"/>
                    </w:rPr>
                    <w:t>8.5735</w:t>
                  </w:r>
                </w:p>
              </w:tc>
              <w:tc>
                <w:tcPr>
                  <w:tcW w:w="2325" w:type="dxa"/>
                  <w:gridSpan w:val="2"/>
                  <w:vAlign w:val="center"/>
                </w:tcPr>
                <w:p w14:paraId="26DCB124">
                  <w:pPr>
                    <w:widowControl/>
                    <w:adjustRightInd w:val="0"/>
                    <w:snapToGrid w:val="0"/>
                    <w:jc w:val="center"/>
                    <w:rPr>
                      <w:color w:val="auto"/>
                      <w:kern w:val="0"/>
                      <w:sz w:val="18"/>
                      <w:szCs w:val="18"/>
                    </w:rPr>
                  </w:pPr>
                  <w:r>
                    <w:rPr>
                      <w:color w:val="auto"/>
                      <w:kern w:val="0"/>
                      <w:sz w:val="18"/>
                      <w:szCs w:val="18"/>
                    </w:rPr>
                    <w:t>0</w:t>
                  </w:r>
                </w:p>
              </w:tc>
            </w:tr>
            <w:tr w14:paraId="291B0E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21" w:hRule="atLeast"/>
                <w:jc w:val="center"/>
              </w:trPr>
              <w:tc>
                <w:tcPr>
                  <w:tcW w:w="1486" w:type="dxa"/>
                  <w:gridSpan w:val="2"/>
                  <w:vMerge w:val="continue"/>
                  <w:vAlign w:val="center"/>
                </w:tcPr>
                <w:p w14:paraId="222A3F66">
                  <w:pPr>
                    <w:widowControl/>
                    <w:adjustRightInd w:val="0"/>
                    <w:snapToGrid w:val="0"/>
                    <w:jc w:val="center"/>
                    <w:rPr>
                      <w:kern w:val="0"/>
                      <w:sz w:val="18"/>
                      <w:szCs w:val="18"/>
                    </w:rPr>
                  </w:pPr>
                </w:p>
              </w:tc>
              <w:tc>
                <w:tcPr>
                  <w:tcW w:w="1982" w:type="dxa"/>
                  <w:gridSpan w:val="3"/>
                  <w:vAlign w:val="center"/>
                </w:tcPr>
                <w:p w14:paraId="49CEDE55">
                  <w:pPr>
                    <w:widowControl/>
                    <w:adjustRightInd w:val="0"/>
                    <w:snapToGrid w:val="0"/>
                    <w:jc w:val="center"/>
                    <w:rPr>
                      <w:kern w:val="0"/>
                      <w:sz w:val="18"/>
                      <w:szCs w:val="18"/>
                    </w:rPr>
                  </w:pPr>
                  <w:r>
                    <w:rPr>
                      <w:kern w:val="0"/>
                      <w:sz w:val="18"/>
                      <w:szCs w:val="18"/>
                    </w:rPr>
                    <w:t>生活垃圾</w:t>
                  </w:r>
                </w:p>
              </w:tc>
              <w:tc>
                <w:tcPr>
                  <w:tcW w:w="1206" w:type="dxa"/>
                  <w:vAlign w:val="center"/>
                </w:tcPr>
                <w:p w14:paraId="20343826">
                  <w:pPr>
                    <w:adjustRightInd w:val="0"/>
                    <w:snapToGrid w:val="0"/>
                    <w:jc w:val="center"/>
                    <w:rPr>
                      <w:kern w:val="0"/>
                      <w:sz w:val="18"/>
                      <w:szCs w:val="18"/>
                    </w:rPr>
                  </w:pPr>
                  <w:r>
                    <w:rPr>
                      <w:rFonts w:hint="eastAsia"/>
                      <w:kern w:val="0"/>
                      <w:sz w:val="18"/>
                      <w:szCs w:val="18"/>
                    </w:rPr>
                    <w:t>1.25</w:t>
                  </w:r>
                </w:p>
              </w:tc>
              <w:tc>
                <w:tcPr>
                  <w:tcW w:w="1206" w:type="dxa"/>
                  <w:vAlign w:val="center"/>
                </w:tcPr>
                <w:p w14:paraId="0E5AD868">
                  <w:pPr>
                    <w:adjustRightInd w:val="0"/>
                    <w:snapToGrid w:val="0"/>
                    <w:jc w:val="center"/>
                    <w:rPr>
                      <w:kern w:val="0"/>
                      <w:sz w:val="18"/>
                      <w:szCs w:val="18"/>
                    </w:rPr>
                  </w:pPr>
                  <w:r>
                    <w:rPr>
                      <w:rFonts w:hint="eastAsia"/>
                      <w:kern w:val="0"/>
                      <w:sz w:val="18"/>
                      <w:szCs w:val="18"/>
                    </w:rPr>
                    <w:t>1.25</w:t>
                  </w:r>
                </w:p>
              </w:tc>
              <w:tc>
                <w:tcPr>
                  <w:tcW w:w="2325" w:type="dxa"/>
                  <w:gridSpan w:val="2"/>
                  <w:vAlign w:val="center"/>
                </w:tcPr>
                <w:p w14:paraId="4E2CD603">
                  <w:pPr>
                    <w:widowControl/>
                    <w:adjustRightInd w:val="0"/>
                    <w:snapToGrid w:val="0"/>
                    <w:jc w:val="center"/>
                    <w:rPr>
                      <w:kern w:val="0"/>
                      <w:sz w:val="18"/>
                      <w:szCs w:val="18"/>
                    </w:rPr>
                  </w:pPr>
                  <w:r>
                    <w:rPr>
                      <w:kern w:val="0"/>
                      <w:sz w:val="18"/>
                      <w:szCs w:val="18"/>
                    </w:rPr>
                    <w:t>0</w:t>
                  </w:r>
                </w:p>
              </w:tc>
            </w:tr>
          </w:tbl>
          <w:p w14:paraId="0F6FA2AB">
            <w:pPr>
              <w:widowControl/>
              <w:shd w:val="clear" w:color="auto" w:fill="FFFFFF"/>
              <w:spacing w:before="72" w:beforeLines="30" w:line="360" w:lineRule="auto"/>
              <w:ind w:firstLine="452" w:firstLineChars="200"/>
              <w:jc w:val="left"/>
              <w:rPr>
                <w:spacing w:val="8"/>
                <w:kern w:val="0"/>
                <w:szCs w:val="21"/>
              </w:rPr>
            </w:pPr>
            <w:r>
              <w:rPr>
                <w:rFonts w:hint="eastAsia"/>
                <w:spacing w:val="8"/>
                <w:kern w:val="0"/>
                <w:szCs w:val="21"/>
              </w:rPr>
              <w:t>*注：本项目全部挥发性有机物VOCs以NMHC表征，包含二甲苯、甲醇等。</w:t>
            </w:r>
          </w:p>
          <w:p w14:paraId="0E149769">
            <w:pPr>
              <w:widowControl/>
              <w:shd w:val="clear" w:color="auto" w:fill="FFFFFF"/>
              <w:spacing w:before="72" w:beforeLines="30" w:line="360" w:lineRule="auto"/>
              <w:ind w:firstLine="452" w:firstLineChars="200"/>
              <w:jc w:val="left"/>
              <w:rPr>
                <w:spacing w:val="8"/>
                <w:kern w:val="0"/>
                <w:szCs w:val="21"/>
              </w:rPr>
            </w:pPr>
            <w:r>
              <w:rPr>
                <w:rFonts w:hint="eastAsia"/>
                <w:spacing w:val="8"/>
                <w:kern w:val="0"/>
                <w:szCs w:val="21"/>
              </w:rPr>
              <w:t>根据南通市生态环境局、南通市行政审批局文件《关于印发</w:t>
            </w:r>
            <w:r>
              <w:rPr>
                <w:rFonts w:hint="eastAsia"/>
              </w:rPr>
              <w:t>〈</w:t>
            </w:r>
            <w:r>
              <w:rPr>
                <w:rFonts w:hint="eastAsia"/>
                <w:spacing w:val="8"/>
                <w:kern w:val="0"/>
                <w:szCs w:val="21"/>
              </w:rPr>
              <w:t>关于进一步优化建设项目排污总量指标管理提升环评审批效能的意见（试行）〉的通知》（通环办〔2023〕132号），本项目不在《固定污染源排污许可分类管理名录》范围内，不纳入排污许可管理</w:t>
            </w:r>
            <w:r>
              <w:rPr>
                <w:rFonts w:hint="eastAsia"/>
                <w:kern w:val="0"/>
                <w:szCs w:val="21"/>
              </w:rPr>
              <w:t>，不在实施排污总量管理的范围内，无需通过交易获得新增排污总量指标。</w:t>
            </w:r>
          </w:p>
          <w:p w14:paraId="47015A0E">
            <w:pPr>
              <w:widowControl/>
              <w:shd w:val="clear" w:color="auto" w:fill="FFFFFF"/>
              <w:spacing w:line="360" w:lineRule="auto"/>
              <w:ind w:firstLine="420" w:firstLineChars="200"/>
              <w:jc w:val="left"/>
            </w:pPr>
          </w:p>
          <w:p w14:paraId="19E8ACCC">
            <w:pPr>
              <w:widowControl/>
              <w:shd w:val="clear" w:color="auto" w:fill="FFFFFF"/>
              <w:spacing w:line="360" w:lineRule="auto"/>
              <w:ind w:firstLine="420" w:firstLineChars="200"/>
              <w:jc w:val="left"/>
            </w:pPr>
          </w:p>
          <w:p w14:paraId="7E358184">
            <w:pPr>
              <w:widowControl/>
              <w:shd w:val="clear" w:color="auto" w:fill="FFFFFF"/>
              <w:spacing w:line="360" w:lineRule="auto"/>
              <w:ind w:firstLine="420" w:firstLineChars="200"/>
              <w:jc w:val="left"/>
            </w:pPr>
          </w:p>
          <w:p w14:paraId="3E97404F">
            <w:pPr>
              <w:widowControl/>
              <w:shd w:val="clear" w:color="auto" w:fill="FFFFFF"/>
              <w:spacing w:line="360" w:lineRule="auto"/>
              <w:ind w:firstLine="420" w:firstLineChars="200"/>
              <w:jc w:val="left"/>
            </w:pPr>
          </w:p>
          <w:p w14:paraId="09721DCB">
            <w:pPr>
              <w:widowControl/>
              <w:shd w:val="clear" w:color="auto" w:fill="FFFFFF"/>
              <w:spacing w:line="360" w:lineRule="auto"/>
              <w:ind w:firstLine="420" w:firstLineChars="200"/>
              <w:jc w:val="left"/>
            </w:pPr>
          </w:p>
          <w:p w14:paraId="2AF0DE80">
            <w:pPr>
              <w:widowControl/>
              <w:shd w:val="clear" w:color="auto" w:fill="FFFFFF"/>
              <w:spacing w:line="360" w:lineRule="auto"/>
              <w:ind w:firstLine="420" w:firstLineChars="200"/>
              <w:jc w:val="left"/>
            </w:pPr>
          </w:p>
          <w:p w14:paraId="6027CEE5">
            <w:pPr>
              <w:widowControl/>
              <w:shd w:val="clear" w:color="auto" w:fill="FFFFFF"/>
              <w:spacing w:line="360" w:lineRule="auto"/>
              <w:ind w:firstLine="420" w:firstLineChars="200"/>
              <w:jc w:val="left"/>
            </w:pPr>
          </w:p>
          <w:p w14:paraId="5C0A667B">
            <w:pPr>
              <w:widowControl/>
              <w:shd w:val="clear" w:color="auto" w:fill="FFFFFF"/>
              <w:spacing w:line="360" w:lineRule="auto"/>
              <w:ind w:firstLine="420" w:firstLineChars="200"/>
              <w:jc w:val="left"/>
            </w:pPr>
          </w:p>
          <w:p w14:paraId="2FC0AA90">
            <w:pPr>
              <w:widowControl/>
              <w:shd w:val="clear" w:color="auto" w:fill="FFFFFF"/>
              <w:spacing w:line="360" w:lineRule="auto"/>
              <w:ind w:firstLine="420" w:firstLineChars="200"/>
              <w:jc w:val="left"/>
            </w:pPr>
          </w:p>
          <w:p w14:paraId="661D691D">
            <w:pPr>
              <w:widowControl/>
              <w:shd w:val="clear" w:color="auto" w:fill="FFFFFF"/>
              <w:spacing w:line="360" w:lineRule="auto"/>
              <w:ind w:firstLine="420" w:firstLineChars="200"/>
              <w:jc w:val="left"/>
            </w:pPr>
          </w:p>
          <w:p w14:paraId="1EECC698">
            <w:pPr>
              <w:widowControl/>
              <w:shd w:val="clear" w:color="auto" w:fill="FFFFFF"/>
              <w:spacing w:line="360" w:lineRule="auto"/>
              <w:ind w:firstLine="420" w:firstLineChars="200"/>
              <w:jc w:val="left"/>
            </w:pPr>
          </w:p>
          <w:p w14:paraId="30425C5D">
            <w:pPr>
              <w:widowControl/>
              <w:shd w:val="clear" w:color="auto" w:fill="FFFFFF"/>
              <w:spacing w:line="360" w:lineRule="auto"/>
              <w:ind w:firstLine="420" w:firstLineChars="200"/>
              <w:jc w:val="left"/>
            </w:pPr>
          </w:p>
          <w:p w14:paraId="3E277E7F">
            <w:pPr>
              <w:widowControl/>
              <w:shd w:val="clear" w:color="auto" w:fill="FFFFFF"/>
              <w:spacing w:line="360" w:lineRule="auto"/>
              <w:ind w:firstLine="420" w:firstLineChars="200"/>
              <w:jc w:val="left"/>
            </w:pPr>
          </w:p>
          <w:p w14:paraId="3297C3B5">
            <w:pPr>
              <w:widowControl/>
              <w:shd w:val="clear" w:color="auto" w:fill="FFFFFF"/>
              <w:spacing w:line="360" w:lineRule="auto"/>
              <w:ind w:firstLine="420" w:firstLineChars="200"/>
              <w:jc w:val="left"/>
            </w:pPr>
          </w:p>
          <w:p w14:paraId="78B646BD">
            <w:pPr>
              <w:widowControl/>
              <w:shd w:val="clear" w:color="auto" w:fill="FFFFFF"/>
              <w:spacing w:line="360" w:lineRule="auto"/>
              <w:ind w:firstLine="420" w:firstLineChars="200"/>
              <w:jc w:val="left"/>
            </w:pPr>
          </w:p>
        </w:tc>
      </w:tr>
    </w:tbl>
    <w:p w14:paraId="2AE22198">
      <w:pPr>
        <w:pStyle w:val="18"/>
        <w:spacing w:before="0" w:beforeAutospacing="0" w:after="240" w:afterAutospacing="0"/>
        <w:jc w:val="center"/>
        <w:outlineLvl w:val="0"/>
        <w:rPr>
          <w:rFonts w:ascii="Times New Roman" w:hAnsi="Times New Roman" w:eastAsia="黑体"/>
          <w:snapToGrid w:val="0"/>
          <w:sz w:val="30"/>
          <w:szCs w:val="30"/>
        </w:rPr>
      </w:pPr>
      <w:bookmarkStart w:id="14" w:name="PageNo100460045"/>
      <w:r>
        <w:rPr>
          <w:rFonts w:ascii="Times New Roman" w:hAnsi="Times New Roman" w:eastAsia="黑体"/>
          <w:snapToGrid w:val="0"/>
          <w:sz w:val="36"/>
          <w:szCs w:val="36"/>
        </w:rPr>
        <w:br w:type="page"/>
      </w:r>
      <w:bookmarkEnd w:id="14"/>
      <w:bookmarkStart w:id="15" w:name="PageNo100470046"/>
      <w:r>
        <w:rPr>
          <w:rFonts w:ascii="Times New Roman" w:hAnsi="Times New Roman" w:eastAsia="黑体"/>
          <w:snapToGrid w:val="0"/>
          <w:sz w:val="30"/>
          <w:szCs w:val="30"/>
        </w:rPr>
        <w:t>四</w:t>
      </w:r>
      <w:bookmarkEnd w:id="15"/>
      <w:r>
        <w:rPr>
          <w:rFonts w:ascii="Times New Roman" w:hAnsi="Times New Roman" w:eastAsia="黑体"/>
          <w:snapToGrid w:val="0"/>
          <w:sz w:val="30"/>
          <w:szCs w:val="30"/>
        </w:rPr>
        <w:t>、主要环境影响和保护措施</w:t>
      </w:r>
    </w:p>
    <w:tbl>
      <w:tblPr>
        <w:tblStyle w:val="23"/>
        <w:tblW w:w="94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2"/>
        <w:gridCol w:w="9071"/>
      </w:tblGrid>
      <w:tr w14:paraId="38B972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045" w:hRule="atLeast"/>
          <w:jc w:val="center"/>
        </w:trPr>
        <w:tc>
          <w:tcPr>
            <w:tcW w:w="352" w:type="dxa"/>
            <w:tcMar>
              <w:left w:w="28" w:type="dxa"/>
              <w:right w:w="28" w:type="dxa"/>
            </w:tcMar>
            <w:vAlign w:val="center"/>
          </w:tcPr>
          <w:p w14:paraId="402F839C">
            <w:pPr>
              <w:pStyle w:val="18"/>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kern w:val="2"/>
                <w:sz w:val="21"/>
                <w:szCs w:val="21"/>
              </w:rPr>
              <w:t>施工期环境保护措施</w:t>
            </w:r>
          </w:p>
        </w:tc>
        <w:tc>
          <w:tcPr>
            <w:tcW w:w="9071" w:type="dxa"/>
            <w:vAlign w:val="center"/>
          </w:tcPr>
          <w:p w14:paraId="79D8C4C5">
            <w:pPr>
              <w:spacing w:line="360" w:lineRule="auto"/>
              <w:ind w:firstLine="482"/>
              <w:rPr>
                <w:b/>
                <w:bCs/>
                <w:szCs w:val="21"/>
              </w:rPr>
            </w:pPr>
            <w:r>
              <w:rPr>
                <w:b/>
                <w:bCs/>
                <w:szCs w:val="21"/>
              </w:rPr>
              <w:t>施工期：</w:t>
            </w:r>
          </w:p>
          <w:p w14:paraId="0C01B640">
            <w:pPr>
              <w:spacing w:line="360" w:lineRule="auto"/>
              <w:ind w:firstLine="482"/>
              <w:rPr>
                <w:bCs/>
                <w:spacing w:val="-10"/>
                <w:szCs w:val="21"/>
              </w:rPr>
            </w:pPr>
            <w:r>
              <w:rPr>
                <w:szCs w:val="21"/>
              </w:rPr>
              <w:t>本项目租赁</w:t>
            </w:r>
            <w:r>
              <w:rPr>
                <w:rFonts w:hint="eastAsia"/>
                <w:szCs w:val="21"/>
              </w:rPr>
              <w:t>南通市金宏电化设备有限公司</w:t>
            </w:r>
            <w:r>
              <w:rPr>
                <w:szCs w:val="21"/>
              </w:rPr>
              <w:t>现有厂房进行生产，施工期仅为设备安装，无土建等施工过程，基本无污染活动产生，因此不再对施工期进行分析。</w:t>
            </w:r>
          </w:p>
        </w:tc>
      </w:tr>
      <w:tr w14:paraId="344C83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28" w:hRule="atLeast"/>
          <w:jc w:val="center"/>
        </w:trPr>
        <w:tc>
          <w:tcPr>
            <w:tcW w:w="352" w:type="dxa"/>
            <w:tcMar>
              <w:left w:w="28" w:type="dxa"/>
              <w:right w:w="28" w:type="dxa"/>
            </w:tcMar>
            <w:vAlign w:val="center"/>
          </w:tcPr>
          <w:p w14:paraId="2540D7B3">
            <w:pPr>
              <w:adjustRightInd w:val="0"/>
              <w:snapToGrid w:val="0"/>
              <w:jc w:val="center"/>
              <w:rPr>
                <w:bCs/>
                <w:szCs w:val="21"/>
              </w:rPr>
            </w:pPr>
            <w:r>
              <w:rPr>
                <w:bCs/>
                <w:szCs w:val="21"/>
              </w:rPr>
              <w:t>运营</w:t>
            </w:r>
          </w:p>
          <w:p w14:paraId="56098BF1">
            <w:pPr>
              <w:adjustRightInd w:val="0"/>
              <w:snapToGrid w:val="0"/>
              <w:jc w:val="center"/>
              <w:rPr>
                <w:bCs/>
                <w:szCs w:val="21"/>
              </w:rPr>
            </w:pPr>
            <w:r>
              <w:rPr>
                <w:bCs/>
                <w:szCs w:val="21"/>
              </w:rPr>
              <w:t>期环</w:t>
            </w:r>
          </w:p>
          <w:p w14:paraId="5192015A">
            <w:pPr>
              <w:adjustRightInd w:val="0"/>
              <w:snapToGrid w:val="0"/>
              <w:jc w:val="center"/>
              <w:rPr>
                <w:bCs/>
                <w:szCs w:val="21"/>
              </w:rPr>
            </w:pPr>
            <w:r>
              <w:rPr>
                <w:bCs/>
                <w:szCs w:val="21"/>
              </w:rPr>
              <w:t>境影</w:t>
            </w:r>
          </w:p>
          <w:p w14:paraId="34FE81EC">
            <w:pPr>
              <w:adjustRightInd w:val="0"/>
              <w:snapToGrid w:val="0"/>
              <w:jc w:val="center"/>
              <w:rPr>
                <w:bCs/>
                <w:szCs w:val="21"/>
              </w:rPr>
            </w:pPr>
            <w:r>
              <w:rPr>
                <w:bCs/>
                <w:szCs w:val="21"/>
              </w:rPr>
              <w:t>响和</w:t>
            </w:r>
          </w:p>
          <w:p w14:paraId="38F85B9F">
            <w:pPr>
              <w:adjustRightInd w:val="0"/>
              <w:snapToGrid w:val="0"/>
              <w:jc w:val="center"/>
              <w:rPr>
                <w:bCs/>
                <w:szCs w:val="21"/>
              </w:rPr>
            </w:pPr>
            <w:r>
              <w:rPr>
                <w:bCs/>
                <w:szCs w:val="21"/>
              </w:rPr>
              <w:t>保护</w:t>
            </w:r>
          </w:p>
          <w:p w14:paraId="6ACD265C">
            <w:pPr>
              <w:pStyle w:val="18"/>
              <w:adjustRightInd w:val="0"/>
              <w:snapToGrid w:val="0"/>
              <w:spacing w:before="0" w:beforeAutospacing="0" w:after="0" w:afterAutospacing="0"/>
              <w:jc w:val="center"/>
              <w:rPr>
                <w:rFonts w:ascii="Times New Roman" w:hAnsi="Times New Roman"/>
                <w:kern w:val="2"/>
                <w:sz w:val="21"/>
                <w:szCs w:val="21"/>
              </w:rPr>
            </w:pPr>
            <w:r>
              <w:rPr>
                <w:bCs/>
                <w:szCs w:val="21"/>
              </w:rPr>
              <w:t>措施</w:t>
            </w:r>
          </w:p>
        </w:tc>
        <w:tc>
          <w:tcPr>
            <w:tcW w:w="9071" w:type="dxa"/>
            <w:vAlign w:val="center"/>
          </w:tcPr>
          <w:p w14:paraId="11B46F64">
            <w:pPr>
              <w:widowControl/>
              <w:shd w:val="clear" w:color="auto" w:fill="FFFFFF"/>
              <w:spacing w:line="360" w:lineRule="auto"/>
              <w:ind w:firstLine="454" w:firstLineChars="200"/>
              <w:jc w:val="left"/>
              <w:rPr>
                <w:b/>
                <w:bCs/>
                <w:spacing w:val="8"/>
                <w:kern w:val="0"/>
                <w:szCs w:val="21"/>
              </w:rPr>
            </w:pPr>
            <w:r>
              <w:rPr>
                <w:b/>
                <w:bCs/>
                <w:spacing w:val="8"/>
                <w:kern w:val="0"/>
                <w:szCs w:val="21"/>
              </w:rPr>
              <w:t>1.废气</w:t>
            </w:r>
          </w:p>
          <w:p w14:paraId="3C586C40">
            <w:pPr>
              <w:widowControl/>
              <w:shd w:val="clear" w:color="auto" w:fill="FFFFFF"/>
              <w:spacing w:line="360" w:lineRule="auto"/>
              <w:ind w:firstLine="420" w:firstLineChars="200"/>
              <w:jc w:val="left"/>
              <w:rPr>
                <w:spacing w:val="8"/>
                <w:kern w:val="0"/>
                <w:szCs w:val="21"/>
              </w:rPr>
            </w:pPr>
            <w:r>
              <w:rPr>
                <w:szCs w:val="21"/>
              </w:rPr>
              <w:t>项目建成投产后，产生的废气为</w:t>
            </w:r>
            <w:r>
              <w:rPr>
                <w:rFonts w:hint="eastAsia"/>
                <w:szCs w:val="21"/>
              </w:rPr>
              <w:t>均质、均匀性初检、稳定性评估废气和危废仓库废气</w:t>
            </w:r>
            <w:r>
              <w:t>。</w:t>
            </w:r>
          </w:p>
          <w:p w14:paraId="0F87F84E">
            <w:pPr>
              <w:widowControl/>
              <w:shd w:val="clear" w:color="auto" w:fill="FFFFFF"/>
              <w:spacing w:line="360" w:lineRule="auto"/>
              <w:ind w:firstLine="454" w:firstLineChars="200"/>
              <w:jc w:val="left"/>
              <w:rPr>
                <w:b/>
                <w:bCs/>
                <w:spacing w:val="8"/>
                <w:kern w:val="0"/>
                <w:szCs w:val="21"/>
              </w:rPr>
            </w:pPr>
            <w:r>
              <w:rPr>
                <w:b/>
                <w:bCs/>
                <w:spacing w:val="8"/>
                <w:kern w:val="0"/>
                <w:szCs w:val="21"/>
              </w:rPr>
              <w:t>（1）废气源强核算、收集、处理、排放方式</w:t>
            </w:r>
          </w:p>
          <w:p w14:paraId="4274E88F">
            <w:pPr>
              <w:widowControl/>
              <w:shd w:val="clear" w:color="auto" w:fill="FFFFFF"/>
              <w:spacing w:line="360" w:lineRule="auto"/>
              <w:ind w:firstLine="452" w:firstLineChars="200"/>
              <w:jc w:val="left"/>
              <w:rPr>
                <w:rFonts w:hint="eastAsia" w:ascii="宋体" w:hAnsi="宋体" w:cs="宋体"/>
                <w:bCs/>
                <w:szCs w:val="21"/>
              </w:rPr>
            </w:pPr>
            <w:r>
              <w:rPr>
                <w:rFonts w:hint="eastAsia" w:ascii="宋体" w:hAnsi="宋体" w:cs="宋体"/>
                <w:spacing w:val="8"/>
                <w:kern w:val="0"/>
                <w:szCs w:val="21"/>
              </w:rPr>
              <w:t>①均质</w:t>
            </w:r>
            <w:r>
              <w:rPr>
                <w:rFonts w:hint="eastAsia"/>
              </w:rPr>
              <w:t>废气（G1）</w:t>
            </w:r>
            <w:r>
              <w:rPr>
                <w:rFonts w:hint="eastAsia" w:ascii="宋体" w:hAnsi="宋体" w:cs="宋体"/>
                <w:spacing w:val="8"/>
                <w:kern w:val="0"/>
                <w:szCs w:val="21"/>
              </w:rPr>
              <w:t>、均匀性初检</w:t>
            </w:r>
            <w:r>
              <w:rPr>
                <w:rFonts w:hint="eastAsia"/>
              </w:rPr>
              <w:t>废气（G2）</w:t>
            </w:r>
            <w:r>
              <w:rPr>
                <w:rFonts w:hint="eastAsia" w:ascii="宋体" w:hAnsi="宋体" w:cs="宋体"/>
                <w:spacing w:val="8"/>
                <w:kern w:val="0"/>
                <w:szCs w:val="21"/>
              </w:rPr>
              <w:t>、稳定性评估</w:t>
            </w:r>
            <w:r>
              <w:rPr>
                <w:rFonts w:hint="eastAsia"/>
              </w:rPr>
              <w:t>废气（G3）</w:t>
            </w:r>
          </w:p>
          <w:p w14:paraId="409B393F">
            <w:pPr>
              <w:widowControl/>
              <w:shd w:val="clear" w:color="auto" w:fill="FFFFFF"/>
              <w:spacing w:line="360" w:lineRule="auto"/>
              <w:ind w:firstLine="452" w:firstLineChars="200"/>
              <w:jc w:val="left"/>
              <w:rPr>
                <w:rFonts w:hint="eastAsia" w:ascii="宋体" w:hAnsi="宋体" w:cs="宋体"/>
                <w:spacing w:val="8"/>
                <w:kern w:val="0"/>
                <w:szCs w:val="21"/>
              </w:rPr>
            </w:pPr>
            <w:r>
              <w:rPr>
                <w:rFonts w:hint="eastAsia" w:ascii="宋体" w:hAnsi="宋体" w:cs="宋体"/>
                <w:spacing w:val="8"/>
                <w:kern w:val="0"/>
                <w:szCs w:val="21"/>
              </w:rPr>
              <w:t>A、有机废气</w:t>
            </w:r>
          </w:p>
          <w:p w14:paraId="31A31D4A">
            <w:pPr>
              <w:widowControl/>
              <w:shd w:val="clear" w:color="auto" w:fill="FFFFFF"/>
              <w:spacing w:line="360" w:lineRule="auto"/>
              <w:ind w:firstLine="452" w:firstLineChars="200"/>
              <w:jc w:val="left"/>
              <w:rPr>
                <w:rFonts w:hint="eastAsia" w:ascii="宋体" w:hAnsi="宋体" w:cs="宋体"/>
                <w:spacing w:val="8"/>
                <w:kern w:val="0"/>
                <w:szCs w:val="21"/>
              </w:rPr>
            </w:pPr>
            <w:r>
              <w:rPr>
                <w:rFonts w:hint="eastAsia" w:ascii="宋体" w:hAnsi="宋体" w:cs="宋体"/>
                <w:spacing w:val="8"/>
                <w:kern w:val="0"/>
                <w:szCs w:val="21"/>
              </w:rPr>
              <w:t>本项目废气主要为研发及检测实验过程中样品及化学试剂挥发的少量有机废气。有机废气主要包括甲醇、二甲苯、苯乙烯、</w:t>
            </w:r>
            <w:r>
              <w:rPr>
                <w:rFonts w:hint="eastAsia"/>
              </w:rPr>
              <w:t>苯胺类、酚类</w:t>
            </w:r>
            <w:r>
              <w:rPr>
                <w:rFonts w:hint="eastAsia" w:ascii="宋体" w:hAnsi="宋体" w:cs="宋体"/>
                <w:spacing w:val="8"/>
                <w:kern w:val="0"/>
                <w:szCs w:val="21"/>
              </w:rPr>
              <w:t>等，统称为挥发性有机废气，以非甲烷总烃计。</w:t>
            </w:r>
          </w:p>
          <w:p w14:paraId="3446363A">
            <w:pPr>
              <w:widowControl/>
              <w:shd w:val="clear" w:color="auto" w:fill="FFFFFF"/>
              <w:spacing w:line="360" w:lineRule="auto"/>
              <w:ind w:firstLine="420" w:firstLineChars="200"/>
              <w:jc w:val="left"/>
            </w:pPr>
            <w:r>
              <w:rPr>
                <w:rFonts w:hint="eastAsia"/>
              </w:rPr>
              <w:t>项目有机溶剂挥发速率与其蒸气压有关，按照世界卫生组织的定义沸点在50~250</w:t>
            </w:r>
            <w:r>
              <w:rPr>
                <w:rFonts w:hint="eastAsia" w:ascii="宋体" w:hAnsi="宋体" w:cs="宋体"/>
              </w:rPr>
              <w:t>℃</w:t>
            </w:r>
            <w:r>
              <w:rPr>
                <w:rFonts w:hint="eastAsia"/>
              </w:rPr>
              <w:t>、室温下饱和蒸气压超过133.32Pa、在常温下以蒸气形式存在于空气中的一类有机物属于挥发性有机物。按照以上标准，实验分析过程中挥发产生的有机废气的主要原辅料及用量见下表。</w:t>
            </w:r>
          </w:p>
          <w:p w14:paraId="0033DAC8">
            <w:pPr>
              <w:tabs>
                <w:tab w:val="left" w:pos="5142"/>
              </w:tabs>
              <w:adjustRightInd w:val="0"/>
              <w:snapToGrid w:val="0"/>
              <w:jc w:val="center"/>
              <w:rPr>
                <w:b/>
                <w:bCs/>
              </w:rPr>
            </w:pPr>
            <w:r>
              <w:rPr>
                <w:b/>
                <w:bCs/>
              </w:rPr>
              <w:t>表</w:t>
            </w:r>
            <w:r>
              <w:rPr>
                <w:rFonts w:hint="eastAsia"/>
                <w:b/>
                <w:bCs/>
              </w:rPr>
              <w:t>4</w:t>
            </w:r>
            <w:r>
              <w:rPr>
                <w:b/>
                <w:bCs/>
              </w:rPr>
              <w:t>-</w:t>
            </w:r>
            <w:r>
              <w:rPr>
                <w:rFonts w:hint="eastAsia"/>
                <w:b/>
                <w:bCs/>
              </w:rPr>
              <w:t>1</w:t>
            </w:r>
            <w:r>
              <w:rPr>
                <w:b/>
                <w:bCs/>
              </w:rPr>
              <w:t xml:space="preserve"> </w:t>
            </w:r>
            <w:r>
              <w:rPr>
                <w:rFonts w:hint="eastAsia"/>
                <w:b/>
                <w:bCs/>
              </w:rPr>
              <w:t>试剂中有机物常温下的蒸气压、沸点一览表</w:t>
            </w:r>
          </w:p>
          <w:tbl>
            <w:tblPr>
              <w:tblStyle w:val="23"/>
              <w:tblW w:w="482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52"/>
              <w:gridCol w:w="1831"/>
              <w:gridCol w:w="1516"/>
              <w:gridCol w:w="2419"/>
            </w:tblGrid>
            <w:tr w14:paraId="74E5C3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615" w:type="pct"/>
                  <w:vAlign w:val="center"/>
                </w:tcPr>
                <w:p w14:paraId="4C89876F">
                  <w:pPr>
                    <w:spacing w:line="240" w:lineRule="atLeast"/>
                    <w:jc w:val="center"/>
                    <w:rPr>
                      <w:b/>
                      <w:bCs/>
                      <w:sz w:val="18"/>
                      <w:szCs w:val="18"/>
                    </w:rPr>
                  </w:pPr>
                  <w:r>
                    <w:rPr>
                      <w:rFonts w:hint="eastAsia"/>
                      <w:b/>
                      <w:bCs/>
                      <w:sz w:val="18"/>
                      <w:szCs w:val="18"/>
                    </w:rPr>
                    <w:t>名称</w:t>
                  </w:r>
                </w:p>
              </w:tc>
              <w:tc>
                <w:tcPr>
                  <w:tcW w:w="1074" w:type="pct"/>
                  <w:vAlign w:val="center"/>
                </w:tcPr>
                <w:p w14:paraId="1019B613">
                  <w:pPr>
                    <w:spacing w:line="240" w:lineRule="atLeast"/>
                    <w:jc w:val="center"/>
                    <w:rPr>
                      <w:b/>
                      <w:bCs/>
                      <w:sz w:val="18"/>
                      <w:szCs w:val="18"/>
                    </w:rPr>
                  </w:pPr>
                  <w:r>
                    <w:rPr>
                      <w:rFonts w:hint="eastAsia"/>
                      <w:b/>
                      <w:bCs/>
                      <w:sz w:val="18"/>
                      <w:szCs w:val="18"/>
                    </w:rPr>
                    <w:t>蒸气压（kPa）</w:t>
                  </w:r>
                </w:p>
              </w:tc>
              <w:tc>
                <w:tcPr>
                  <w:tcW w:w="889" w:type="pct"/>
                  <w:vAlign w:val="center"/>
                </w:tcPr>
                <w:p w14:paraId="27016663">
                  <w:pPr>
                    <w:spacing w:line="240" w:lineRule="atLeast"/>
                    <w:jc w:val="center"/>
                    <w:rPr>
                      <w:b/>
                      <w:bCs/>
                      <w:sz w:val="18"/>
                      <w:szCs w:val="18"/>
                    </w:rPr>
                  </w:pPr>
                  <w:r>
                    <w:rPr>
                      <w:rFonts w:hint="eastAsia"/>
                      <w:b/>
                      <w:bCs/>
                      <w:sz w:val="18"/>
                      <w:szCs w:val="18"/>
                    </w:rPr>
                    <w:t>沸点（℃）</w:t>
                  </w:r>
                </w:p>
              </w:tc>
              <w:tc>
                <w:tcPr>
                  <w:tcW w:w="1419" w:type="pct"/>
                  <w:vAlign w:val="center"/>
                </w:tcPr>
                <w:p w14:paraId="4AA705CB">
                  <w:pPr>
                    <w:spacing w:line="240" w:lineRule="atLeast"/>
                    <w:jc w:val="center"/>
                    <w:rPr>
                      <w:b/>
                      <w:bCs/>
                      <w:sz w:val="18"/>
                      <w:szCs w:val="18"/>
                    </w:rPr>
                  </w:pPr>
                  <w:r>
                    <w:rPr>
                      <w:rFonts w:hint="eastAsia"/>
                      <w:b/>
                      <w:bCs/>
                      <w:sz w:val="18"/>
                      <w:szCs w:val="18"/>
                    </w:rPr>
                    <w:t>用量（kg/a）</w:t>
                  </w:r>
                </w:p>
              </w:tc>
            </w:tr>
            <w:tr w14:paraId="1DDB87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615" w:type="pct"/>
                  <w:vAlign w:val="center"/>
                </w:tcPr>
                <w:p w14:paraId="36A414EC">
                  <w:pPr>
                    <w:widowControl/>
                    <w:jc w:val="center"/>
                    <w:textAlignment w:val="center"/>
                    <w:rPr>
                      <w:sz w:val="18"/>
                      <w:szCs w:val="18"/>
                    </w:rPr>
                  </w:pPr>
                  <w:r>
                    <w:rPr>
                      <w:rFonts w:hint="eastAsia" w:ascii="宋体" w:hAnsi="宋体" w:cs="宋体"/>
                      <w:kern w:val="0"/>
                      <w:sz w:val="18"/>
                      <w:szCs w:val="18"/>
                      <w:lang w:bidi="ar"/>
                    </w:rPr>
                    <w:t>醋酸</w:t>
                  </w:r>
                </w:p>
              </w:tc>
              <w:tc>
                <w:tcPr>
                  <w:tcW w:w="1074" w:type="pct"/>
                  <w:vAlign w:val="center"/>
                </w:tcPr>
                <w:p w14:paraId="24062DA6">
                  <w:pPr>
                    <w:widowControl/>
                    <w:snapToGrid w:val="0"/>
                    <w:jc w:val="center"/>
                    <w:rPr>
                      <w:sz w:val="18"/>
                      <w:szCs w:val="18"/>
                    </w:rPr>
                  </w:pPr>
                  <w:r>
                    <w:rPr>
                      <w:rFonts w:hint="eastAsia"/>
                      <w:sz w:val="18"/>
                      <w:szCs w:val="18"/>
                    </w:rPr>
                    <w:t>1.52</w:t>
                  </w:r>
                </w:p>
              </w:tc>
              <w:tc>
                <w:tcPr>
                  <w:tcW w:w="889" w:type="pct"/>
                  <w:vAlign w:val="center"/>
                </w:tcPr>
                <w:p w14:paraId="132FC6BC">
                  <w:pPr>
                    <w:pStyle w:val="55"/>
                    <w:spacing w:before="24" w:after="24"/>
                    <w:rPr>
                      <w:rFonts w:ascii="Times New Roman"/>
                      <w:sz w:val="18"/>
                      <w:szCs w:val="18"/>
                    </w:rPr>
                  </w:pPr>
                  <w:r>
                    <w:rPr>
                      <w:rFonts w:hint="eastAsia" w:ascii="Times New Roman"/>
                      <w:sz w:val="18"/>
                      <w:szCs w:val="18"/>
                    </w:rPr>
                    <w:t>117.9</w:t>
                  </w:r>
                </w:p>
              </w:tc>
              <w:tc>
                <w:tcPr>
                  <w:tcW w:w="1419" w:type="pct"/>
                  <w:vAlign w:val="center"/>
                </w:tcPr>
                <w:p w14:paraId="363BEBAD">
                  <w:pPr>
                    <w:pStyle w:val="55"/>
                    <w:spacing w:before="24" w:after="24"/>
                    <w:rPr>
                      <w:rFonts w:ascii="Times New Roman"/>
                      <w:sz w:val="18"/>
                      <w:szCs w:val="18"/>
                    </w:rPr>
                  </w:pPr>
                  <w:r>
                    <w:rPr>
                      <w:rFonts w:hint="eastAsia" w:ascii="Times New Roman"/>
                      <w:sz w:val="18"/>
                      <w:szCs w:val="18"/>
                    </w:rPr>
                    <w:t>31.5</w:t>
                  </w:r>
                </w:p>
              </w:tc>
            </w:tr>
            <w:tr w14:paraId="0A387C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615" w:type="pct"/>
                  <w:vAlign w:val="center"/>
                </w:tcPr>
                <w:p w14:paraId="14956696">
                  <w:pPr>
                    <w:widowControl/>
                    <w:jc w:val="center"/>
                    <w:textAlignment w:val="center"/>
                    <w:rPr>
                      <w:sz w:val="18"/>
                      <w:szCs w:val="18"/>
                    </w:rPr>
                  </w:pPr>
                  <w:r>
                    <w:rPr>
                      <w:rFonts w:hint="eastAsia" w:ascii="宋体" w:hAnsi="宋体" w:cs="宋体"/>
                      <w:kern w:val="0"/>
                      <w:sz w:val="18"/>
                      <w:szCs w:val="18"/>
                      <w:lang w:bidi="ar"/>
                    </w:rPr>
                    <w:t>六次甲基四胺</w:t>
                  </w:r>
                </w:p>
              </w:tc>
              <w:tc>
                <w:tcPr>
                  <w:tcW w:w="1074" w:type="pct"/>
                  <w:vAlign w:val="center"/>
                </w:tcPr>
                <w:p w14:paraId="46216F1D">
                  <w:pPr>
                    <w:widowControl/>
                    <w:snapToGrid w:val="0"/>
                    <w:jc w:val="center"/>
                    <w:rPr>
                      <w:sz w:val="18"/>
                      <w:szCs w:val="18"/>
                    </w:rPr>
                  </w:pPr>
                  <w:r>
                    <w:rPr>
                      <w:rFonts w:hint="eastAsia"/>
                      <w:sz w:val="18"/>
                      <w:szCs w:val="18"/>
                    </w:rPr>
                    <w:t>306.64</w:t>
                  </w:r>
                </w:p>
              </w:tc>
              <w:tc>
                <w:tcPr>
                  <w:tcW w:w="889" w:type="pct"/>
                  <w:vAlign w:val="center"/>
                </w:tcPr>
                <w:p w14:paraId="21ED9F7B">
                  <w:pPr>
                    <w:pStyle w:val="55"/>
                    <w:spacing w:before="24" w:after="24"/>
                    <w:rPr>
                      <w:rFonts w:ascii="Times New Roman"/>
                      <w:sz w:val="18"/>
                      <w:szCs w:val="18"/>
                    </w:rPr>
                  </w:pPr>
                  <w:r>
                    <w:rPr>
                      <w:rFonts w:hint="eastAsia" w:ascii="Times New Roman"/>
                      <w:sz w:val="18"/>
                      <w:szCs w:val="18"/>
                    </w:rPr>
                    <w:t>263</w:t>
                  </w:r>
                </w:p>
              </w:tc>
              <w:tc>
                <w:tcPr>
                  <w:tcW w:w="1419" w:type="pct"/>
                  <w:vAlign w:val="center"/>
                </w:tcPr>
                <w:p w14:paraId="4CD7B542">
                  <w:pPr>
                    <w:pStyle w:val="55"/>
                    <w:spacing w:before="24" w:after="24"/>
                    <w:rPr>
                      <w:rFonts w:ascii="Times New Roman"/>
                      <w:sz w:val="18"/>
                      <w:szCs w:val="18"/>
                    </w:rPr>
                  </w:pPr>
                  <w:r>
                    <w:rPr>
                      <w:rFonts w:hint="eastAsia" w:ascii="Times New Roman"/>
                      <w:sz w:val="18"/>
                      <w:szCs w:val="18"/>
                    </w:rPr>
                    <w:t>1</w:t>
                  </w:r>
                </w:p>
              </w:tc>
            </w:tr>
            <w:tr w14:paraId="4BBA37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615" w:type="pct"/>
                  <w:vAlign w:val="center"/>
                </w:tcPr>
                <w:p w14:paraId="235A3448">
                  <w:pPr>
                    <w:widowControl/>
                    <w:jc w:val="center"/>
                    <w:textAlignment w:val="center"/>
                    <w:rPr>
                      <w:sz w:val="18"/>
                      <w:szCs w:val="18"/>
                    </w:rPr>
                  </w:pPr>
                  <w:r>
                    <w:rPr>
                      <w:rFonts w:hint="eastAsia" w:ascii="宋体" w:hAnsi="宋体" w:cs="宋体"/>
                      <w:kern w:val="0"/>
                      <w:sz w:val="18"/>
                      <w:szCs w:val="18"/>
                      <w:lang w:bidi="ar"/>
                    </w:rPr>
                    <w:t>甲醇</w:t>
                  </w:r>
                </w:p>
              </w:tc>
              <w:tc>
                <w:tcPr>
                  <w:tcW w:w="1074" w:type="pct"/>
                  <w:vAlign w:val="center"/>
                </w:tcPr>
                <w:p w14:paraId="7139BBAC">
                  <w:pPr>
                    <w:widowControl/>
                    <w:snapToGrid w:val="0"/>
                    <w:jc w:val="center"/>
                    <w:rPr>
                      <w:sz w:val="18"/>
                      <w:szCs w:val="18"/>
                    </w:rPr>
                  </w:pPr>
                  <w:r>
                    <w:rPr>
                      <w:rFonts w:hint="eastAsia"/>
                      <w:sz w:val="18"/>
                      <w:szCs w:val="18"/>
                    </w:rPr>
                    <w:t>13.33</w:t>
                  </w:r>
                </w:p>
              </w:tc>
              <w:tc>
                <w:tcPr>
                  <w:tcW w:w="889" w:type="pct"/>
                  <w:vAlign w:val="center"/>
                </w:tcPr>
                <w:p w14:paraId="3B86E6C9">
                  <w:pPr>
                    <w:widowControl/>
                    <w:jc w:val="center"/>
                    <w:textAlignment w:val="center"/>
                    <w:rPr>
                      <w:sz w:val="18"/>
                      <w:szCs w:val="18"/>
                    </w:rPr>
                  </w:pPr>
                  <w:r>
                    <w:rPr>
                      <w:kern w:val="0"/>
                      <w:sz w:val="18"/>
                      <w:szCs w:val="18"/>
                      <w:lang w:bidi="ar"/>
                    </w:rPr>
                    <w:t>64.</w:t>
                  </w:r>
                  <w:r>
                    <w:rPr>
                      <w:rFonts w:hint="eastAsia"/>
                      <w:kern w:val="0"/>
                      <w:sz w:val="18"/>
                      <w:szCs w:val="18"/>
                      <w:lang w:bidi="ar"/>
                    </w:rPr>
                    <w:t>7</w:t>
                  </w:r>
                </w:p>
              </w:tc>
              <w:tc>
                <w:tcPr>
                  <w:tcW w:w="1419" w:type="pct"/>
                  <w:vAlign w:val="center"/>
                </w:tcPr>
                <w:p w14:paraId="3FD69E8C">
                  <w:pPr>
                    <w:widowControl/>
                    <w:jc w:val="center"/>
                    <w:textAlignment w:val="center"/>
                    <w:rPr>
                      <w:sz w:val="18"/>
                      <w:szCs w:val="18"/>
                    </w:rPr>
                  </w:pPr>
                  <w:r>
                    <w:rPr>
                      <w:kern w:val="0"/>
                      <w:sz w:val="18"/>
                      <w:szCs w:val="18"/>
                      <w:lang w:bidi="ar"/>
                    </w:rPr>
                    <w:t>260</w:t>
                  </w:r>
                </w:p>
              </w:tc>
            </w:tr>
            <w:tr w14:paraId="29D20D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615" w:type="pct"/>
                  <w:vAlign w:val="center"/>
                </w:tcPr>
                <w:p w14:paraId="75C95AED">
                  <w:pPr>
                    <w:widowControl/>
                    <w:jc w:val="center"/>
                    <w:textAlignment w:val="center"/>
                    <w:rPr>
                      <w:sz w:val="18"/>
                      <w:szCs w:val="18"/>
                    </w:rPr>
                  </w:pPr>
                  <w:r>
                    <w:rPr>
                      <w:rFonts w:hint="eastAsia" w:ascii="宋体" w:hAnsi="宋体" w:cs="宋体"/>
                      <w:kern w:val="0"/>
                      <w:sz w:val="18"/>
                      <w:szCs w:val="18"/>
                      <w:lang w:bidi="ar"/>
                    </w:rPr>
                    <w:t>丙酮</w:t>
                  </w:r>
                </w:p>
              </w:tc>
              <w:tc>
                <w:tcPr>
                  <w:tcW w:w="1074" w:type="pct"/>
                  <w:vAlign w:val="center"/>
                </w:tcPr>
                <w:p w14:paraId="09BB422A">
                  <w:pPr>
                    <w:widowControl/>
                    <w:snapToGrid w:val="0"/>
                    <w:jc w:val="center"/>
                    <w:rPr>
                      <w:sz w:val="18"/>
                      <w:szCs w:val="18"/>
                    </w:rPr>
                  </w:pPr>
                  <w:r>
                    <w:rPr>
                      <w:rFonts w:hint="eastAsia"/>
                      <w:sz w:val="18"/>
                      <w:szCs w:val="18"/>
                    </w:rPr>
                    <w:t>53.32</w:t>
                  </w:r>
                </w:p>
              </w:tc>
              <w:tc>
                <w:tcPr>
                  <w:tcW w:w="889" w:type="pct"/>
                  <w:vAlign w:val="center"/>
                </w:tcPr>
                <w:p w14:paraId="49CEA912">
                  <w:pPr>
                    <w:widowControl/>
                    <w:jc w:val="center"/>
                    <w:textAlignment w:val="center"/>
                    <w:rPr>
                      <w:sz w:val="18"/>
                      <w:szCs w:val="18"/>
                    </w:rPr>
                  </w:pPr>
                  <w:r>
                    <w:rPr>
                      <w:kern w:val="0"/>
                      <w:sz w:val="18"/>
                      <w:szCs w:val="18"/>
                      <w:lang w:bidi="ar"/>
                    </w:rPr>
                    <w:t>56.5</w:t>
                  </w:r>
                </w:p>
              </w:tc>
              <w:tc>
                <w:tcPr>
                  <w:tcW w:w="1419" w:type="pct"/>
                  <w:vAlign w:val="center"/>
                </w:tcPr>
                <w:p w14:paraId="60D0C650">
                  <w:pPr>
                    <w:widowControl/>
                    <w:jc w:val="center"/>
                    <w:textAlignment w:val="center"/>
                    <w:rPr>
                      <w:sz w:val="18"/>
                      <w:szCs w:val="18"/>
                    </w:rPr>
                  </w:pPr>
                  <w:r>
                    <w:rPr>
                      <w:kern w:val="0"/>
                      <w:sz w:val="18"/>
                      <w:szCs w:val="18"/>
                      <w:lang w:bidi="ar"/>
                    </w:rPr>
                    <w:t>5</w:t>
                  </w:r>
                </w:p>
              </w:tc>
            </w:tr>
            <w:tr w14:paraId="6B63EC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615" w:type="pct"/>
                  <w:vAlign w:val="center"/>
                </w:tcPr>
                <w:p w14:paraId="051124F7">
                  <w:pPr>
                    <w:widowControl/>
                    <w:jc w:val="center"/>
                    <w:textAlignment w:val="center"/>
                    <w:rPr>
                      <w:sz w:val="18"/>
                      <w:szCs w:val="18"/>
                    </w:rPr>
                  </w:pPr>
                  <w:r>
                    <w:rPr>
                      <w:rFonts w:hint="eastAsia" w:ascii="宋体" w:hAnsi="宋体" w:cs="宋体"/>
                      <w:kern w:val="0"/>
                      <w:sz w:val="18"/>
                      <w:szCs w:val="18"/>
                      <w:lang w:bidi="ar"/>
                    </w:rPr>
                    <w:t>甲酸</w:t>
                  </w:r>
                </w:p>
              </w:tc>
              <w:tc>
                <w:tcPr>
                  <w:tcW w:w="1074" w:type="pct"/>
                  <w:vAlign w:val="center"/>
                </w:tcPr>
                <w:p w14:paraId="07AD52DC">
                  <w:pPr>
                    <w:widowControl/>
                    <w:snapToGrid w:val="0"/>
                    <w:jc w:val="center"/>
                    <w:rPr>
                      <w:sz w:val="18"/>
                      <w:szCs w:val="18"/>
                    </w:rPr>
                  </w:pPr>
                  <w:r>
                    <w:rPr>
                      <w:rFonts w:hint="eastAsia"/>
                      <w:sz w:val="18"/>
                      <w:szCs w:val="18"/>
                    </w:rPr>
                    <w:t>5.33</w:t>
                  </w:r>
                </w:p>
              </w:tc>
              <w:tc>
                <w:tcPr>
                  <w:tcW w:w="889" w:type="pct"/>
                  <w:vAlign w:val="center"/>
                </w:tcPr>
                <w:p w14:paraId="7C5B3C33">
                  <w:pPr>
                    <w:widowControl/>
                    <w:jc w:val="center"/>
                    <w:textAlignment w:val="center"/>
                    <w:rPr>
                      <w:sz w:val="18"/>
                      <w:szCs w:val="18"/>
                    </w:rPr>
                  </w:pPr>
                  <w:r>
                    <w:rPr>
                      <w:kern w:val="0"/>
                      <w:sz w:val="18"/>
                      <w:szCs w:val="18"/>
                      <w:lang w:bidi="ar"/>
                    </w:rPr>
                    <w:t>100.6</w:t>
                  </w:r>
                </w:p>
              </w:tc>
              <w:tc>
                <w:tcPr>
                  <w:tcW w:w="1419" w:type="pct"/>
                  <w:vAlign w:val="center"/>
                </w:tcPr>
                <w:p w14:paraId="277E31A1">
                  <w:pPr>
                    <w:widowControl/>
                    <w:jc w:val="center"/>
                    <w:textAlignment w:val="center"/>
                    <w:rPr>
                      <w:sz w:val="18"/>
                      <w:szCs w:val="18"/>
                    </w:rPr>
                  </w:pPr>
                  <w:r>
                    <w:rPr>
                      <w:kern w:val="0"/>
                      <w:sz w:val="18"/>
                      <w:szCs w:val="18"/>
                      <w:lang w:bidi="ar"/>
                    </w:rPr>
                    <w:t>4</w:t>
                  </w:r>
                </w:p>
              </w:tc>
            </w:tr>
            <w:tr w14:paraId="402CE5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615" w:type="pct"/>
                  <w:vAlign w:val="center"/>
                </w:tcPr>
                <w:p w14:paraId="4BCBEC87">
                  <w:pPr>
                    <w:widowControl/>
                    <w:jc w:val="center"/>
                    <w:textAlignment w:val="center"/>
                    <w:rPr>
                      <w:sz w:val="18"/>
                      <w:szCs w:val="18"/>
                    </w:rPr>
                  </w:pPr>
                  <w:r>
                    <w:rPr>
                      <w:rFonts w:hint="eastAsia" w:ascii="宋体" w:hAnsi="宋体" w:cs="宋体"/>
                      <w:kern w:val="0"/>
                      <w:sz w:val="18"/>
                      <w:szCs w:val="18"/>
                      <w:lang w:bidi="ar"/>
                    </w:rPr>
                    <w:t>冰醋酸</w:t>
                  </w:r>
                </w:p>
              </w:tc>
              <w:tc>
                <w:tcPr>
                  <w:tcW w:w="1074" w:type="pct"/>
                  <w:vAlign w:val="center"/>
                </w:tcPr>
                <w:p w14:paraId="23EE627A">
                  <w:pPr>
                    <w:widowControl/>
                    <w:snapToGrid w:val="0"/>
                    <w:jc w:val="center"/>
                    <w:rPr>
                      <w:sz w:val="18"/>
                      <w:szCs w:val="18"/>
                    </w:rPr>
                  </w:pPr>
                  <w:r>
                    <w:rPr>
                      <w:rFonts w:hint="eastAsia"/>
                      <w:sz w:val="18"/>
                      <w:szCs w:val="18"/>
                    </w:rPr>
                    <w:t>1.52</w:t>
                  </w:r>
                </w:p>
              </w:tc>
              <w:tc>
                <w:tcPr>
                  <w:tcW w:w="889" w:type="pct"/>
                  <w:vAlign w:val="center"/>
                </w:tcPr>
                <w:p w14:paraId="21FEBEB5">
                  <w:pPr>
                    <w:widowControl/>
                    <w:jc w:val="center"/>
                    <w:textAlignment w:val="center"/>
                    <w:rPr>
                      <w:sz w:val="18"/>
                      <w:szCs w:val="18"/>
                    </w:rPr>
                  </w:pPr>
                  <w:r>
                    <w:rPr>
                      <w:kern w:val="0"/>
                      <w:sz w:val="18"/>
                      <w:szCs w:val="18"/>
                      <w:lang w:bidi="ar"/>
                    </w:rPr>
                    <w:t>117.9</w:t>
                  </w:r>
                </w:p>
              </w:tc>
              <w:tc>
                <w:tcPr>
                  <w:tcW w:w="1419" w:type="pct"/>
                  <w:vAlign w:val="center"/>
                </w:tcPr>
                <w:p w14:paraId="701D8D4D">
                  <w:pPr>
                    <w:widowControl/>
                    <w:jc w:val="center"/>
                    <w:textAlignment w:val="center"/>
                    <w:rPr>
                      <w:sz w:val="18"/>
                      <w:szCs w:val="18"/>
                    </w:rPr>
                  </w:pPr>
                  <w:r>
                    <w:rPr>
                      <w:kern w:val="0"/>
                      <w:sz w:val="18"/>
                      <w:szCs w:val="18"/>
                      <w:lang w:bidi="ar"/>
                    </w:rPr>
                    <w:t>10</w:t>
                  </w:r>
                </w:p>
              </w:tc>
            </w:tr>
            <w:tr w14:paraId="2EF2D9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615" w:type="pct"/>
                  <w:vAlign w:val="center"/>
                </w:tcPr>
                <w:p w14:paraId="7EB5876E">
                  <w:pPr>
                    <w:widowControl/>
                    <w:jc w:val="center"/>
                    <w:textAlignment w:val="center"/>
                    <w:rPr>
                      <w:sz w:val="18"/>
                      <w:szCs w:val="18"/>
                    </w:rPr>
                  </w:pPr>
                  <w:r>
                    <w:rPr>
                      <w:rFonts w:hint="eastAsia" w:ascii="宋体" w:hAnsi="宋体" w:cs="宋体"/>
                      <w:kern w:val="0"/>
                      <w:sz w:val="18"/>
                      <w:szCs w:val="18"/>
                      <w:lang w:bidi="ar"/>
                    </w:rPr>
                    <w:t>正丁醇</w:t>
                  </w:r>
                </w:p>
              </w:tc>
              <w:tc>
                <w:tcPr>
                  <w:tcW w:w="1074" w:type="pct"/>
                  <w:vAlign w:val="center"/>
                </w:tcPr>
                <w:p w14:paraId="271050BE">
                  <w:pPr>
                    <w:widowControl/>
                    <w:snapToGrid w:val="0"/>
                    <w:jc w:val="center"/>
                    <w:rPr>
                      <w:sz w:val="18"/>
                      <w:szCs w:val="18"/>
                    </w:rPr>
                  </w:pPr>
                  <w:r>
                    <w:rPr>
                      <w:rFonts w:hint="eastAsia"/>
                      <w:sz w:val="18"/>
                      <w:szCs w:val="18"/>
                    </w:rPr>
                    <w:t>0.82</w:t>
                  </w:r>
                </w:p>
              </w:tc>
              <w:tc>
                <w:tcPr>
                  <w:tcW w:w="889" w:type="pct"/>
                  <w:vAlign w:val="center"/>
                </w:tcPr>
                <w:p w14:paraId="7E59EF9E">
                  <w:pPr>
                    <w:widowControl/>
                    <w:jc w:val="center"/>
                    <w:textAlignment w:val="center"/>
                    <w:rPr>
                      <w:sz w:val="18"/>
                      <w:szCs w:val="18"/>
                    </w:rPr>
                  </w:pPr>
                  <w:r>
                    <w:rPr>
                      <w:kern w:val="0"/>
                      <w:sz w:val="18"/>
                      <w:szCs w:val="18"/>
                      <w:lang w:bidi="ar"/>
                    </w:rPr>
                    <w:t>117.</w:t>
                  </w:r>
                  <w:r>
                    <w:rPr>
                      <w:rFonts w:hint="eastAsia"/>
                      <w:kern w:val="0"/>
                      <w:sz w:val="18"/>
                      <w:szCs w:val="18"/>
                      <w:lang w:bidi="ar"/>
                    </w:rPr>
                    <w:t>6</w:t>
                  </w:r>
                </w:p>
              </w:tc>
              <w:tc>
                <w:tcPr>
                  <w:tcW w:w="1419" w:type="pct"/>
                  <w:vAlign w:val="center"/>
                </w:tcPr>
                <w:p w14:paraId="3BBB3150">
                  <w:pPr>
                    <w:widowControl/>
                    <w:jc w:val="center"/>
                    <w:textAlignment w:val="center"/>
                    <w:rPr>
                      <w:sz w:val="18"/>
                      <w:szCs w:val="18"/>
                    </w:rPr>
                  </w:pPr>
                  <w:r>
                    <w:rPr>
                      <w:kern w:val="0"/>
                      <w:sz w:val="18"/>
                      <w:szCs w:val="18"/>
                      <w:lang w:bidi="ar"/>
                    </w:rPr>
                    <w:t>2</w:t>
                  </w:r>
                </w:p>
              </w:tc>
            </w:tr>
            <w:tr w14:paraId="2A672A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615" w:type="pct"/>
                  <w:vAlign w:val="center"/>
                </w:tcPr>
                <w:p w14:paraId="0DE81295">
                  <w:pPr>
                    <w:widowControl/>
                    <w:jc w:val="center"/>
                    <w:textAlignment w:val="center"/>
                    <w:rPr>
                      <w:sz w:val="18"/>
                      <w:szCs w:val="18"/>
                    </w:rPr>
                  </w:pPr>
                  <w:r>
                    <w:rPr>
                      <w:rFonts w:hint="eastAsia" w:ascii="宋体" w:hAnsi="宋体" w:cs="宋体"/>
                      <w:kern w:val="0"/>
                      <w:sz w:val="18"/>
                      <w:szCs w:val="18"/>
                      <w:lang w:bidi="ar"/>
                    </w:rPr>
                    <w:t>异丙醇</w:t>
                  </w:r>
                </w:p>
              </w:tc>
              <w:tc>
                <w:tcPr>
                  <w:tcW w:w="1074" w:type="pct"/>
                  <w:vAlign w:val="center"/>
                </w:tcPr>
                <w:p w14:paraId="04E8161F">
                  <w:pPr>
                    <w:widowControl/>
                    <w:snapToGrid w:val="0"/>
                    <w:jc w:val="center"/>
                    <w:rPr>
                      <w:sz w:val="18"/>
                      <w:szCs w:val="18"/>
                    </w:rPr>
                  </w:pPr>
                  <w:r>
                    <w:rPr>
                      <w:rFonts w:hint="eastAsia"/>
                      <w:sz w:val="18"/>
                      <w:szCs w:val="18"/>
                    </w:rPr>
                    <w:t>4.4</w:t>
                  </w:r>
                </w:p>
              </w:tc>
              <w:tc>
                <w:tcPr>
                  <w:tcW w:w="889" w:type="pct"/>
                  <w:vAlign w:val="center"/>
                </w:tcPr>
                <w:p w14:paraId="2FEFA987">
                  <w:pPr>
                    <w:widowControl/>
                    <w:jc w:val="center"/>
                    <w:textAlignment w:val="center"/>
                    <w:rPr>
                      <w:rFonts w:hint="eastAsia" w:ascii="宋体" w:hAnsi="宋体" w:cs="宋体"/>
                      <w:sz w:val="22"/>
                      <w:szCs w:val="22"/>
                    </w:rPr>
                  </w:pPr>
                  <w:r>
                    <w:rPr>
                      <w:rFonts w:hint="eastAsia"/>
                      <w:kern w:val="0"/>
                      <w:sz w:val="18"/>
                      <w:szCs w:val="18"/>
                      <w:lang w:bidi="ar"/>
                    </w:rPr>
                    <w:t>82.5</w:t>
                  </w:r>
                </w:p>
              </w:tc>
              <w:tc>
                <w:tcPr>
                  <w:tcW w:w="1419" w:type="pct"/>
                  <w:vAlign w:val="center"/>
                </w:tcPr>
                <w:p w14:paraId="4DD061B7">
                  <w:pPr>
                    <w:widowControl/>
                    <w:jc w:val="center"/>
                    <w:textAlignment w:val="center"/>
                    <w:rPr>
                      <w:sz w:val="18"/>
                      <w:szCs w:val="18"/>
                    </w:rPr>
                  </w:pPr>
                  <w:r>
                    <w:rPr>
                      <w:kern w:val="0"/>
                      <w:sz w:val="18"/>
                      <w:szCs w:val="18"/>
                      <w:lang w:bidi="ar"/>
                    </w:rPr>
                    <w:t>2</w:t>
                  </w:r>
                </w:p>
              </w:tc>
            </w:tr>
            <w:tr w14:paraId="011162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615" w:type="pct"/>
                  <w:vAlign w:val="center"/>
                </w:tcPr>
                <w:p w14:paraId="4CCB4E7F">
                  <w:pPr>
                    <w:widowControl/>
                    <w:jc w:val="center"/>
                    <w:textAlignment w:val="center"/>
                    <w:rPr>
                      <w:sz w:val="18"/>
                      <w:szCs w:val="18"/>
                    </w:rPr>
                  </w:pPr>
                  <w:r>
                    <w:rPr>
                      <w:rFonts w:hint="eastAsia" w:ascii="宋体" w:hAnsi="宋体" w:cs="宋体"/>
                      <w:kern w:val="0"/>
                      <w:sz w:val="18"/>
                      <w:szCs w:val="18"/>
                      <w:lang w:bidi="ar"/>
                    </w:rPr>
                    <w:t>异戊二烯</w:t>
                  </w:r>
                </w:p>
              </w:tc>
              <w:tc>
                <w:tcPr>
                  <w:tcW w:w="1074" w:type="pct"/>
                  <w:vAlign w:val="center"/>
                </w:tcPr>
                <w:p w14:paraId="4B173A3F">
                  <w:pPr>
                    <w:widowControl/>
                    <w:snapToGrid w:val="0"/>
                    <w:jc w:val="center"/>
                    <w:rPr>
                      <w:sz w:val="18"/>
                      <w:szCs w:val="18"/>
                    </w:rPr>
                  </w:pPr>
                  <w:r>
                    <w:rPr>
                      <w:rFonts w:hint="eastAsia"/>
                      <w:sz w:val="18"/>
                      <w:szCs w:val="18"/>
                    </w:rPr>
                    <w:t>62.1</w:t>
                  </w:r>
                </w:p>
              </w:tc>
              <w:tc>
                <w:tcPr>
                  <w:tcW w:w="889" w:type="pct"/>
                  <w:vAlign w:val="center"/>
                </w:tcPr>
                <w:p w14:paraId="567568DE">
                  <w:pPr>
                    <w:widowControl/>
                    <w:jc w:val="center"/>
                    <w:textAlignment w:val="center"/>
                    <w:rPr>
                      <w:sz w:val="18"/>
                      <w:szCs w:val="18"/>
                    </w:rPr>
                  </w:pPr>
                  <w:r>
                    <w:rPr>
                      <w:kern w:val="0"/>
                      <w:sz w:val="18"/>
                      <w:szCs w:val="18"/>
                      <w:lang w:bidi="ar"/>
                    </w:rPr>
                    <w:t>34</w:t>
                  </w:r>
                </w:p>
              </w:tc>
              <w:tc>
                <w:tcPr>
                  <w:tcW w:w="1419" w:type="pct"/>
                  <w:vAlign w:val="center"/>
                </w:tcPr>
                <w:p w14:paraId="3978A800">
                  <w:pPr>
                    <w:widowControl/>
                    <w:jc w:val="center"/>
                    <w:textAlignment w:val="center"/>
                    <w:rPr>
                      <w:sz w:val="18"/>
                      <w:szCs w:val="18"/>
                    </w:rPr>
                  </w:pPr>
                  <w:r>
                    <w:rPr>
                      <w:kern w:val="0"/>
                      <w:sz w:val="18"/>
                      <w:szCs w:val="18"/>
                      <w:lang w:bidi="ar"/>
                    </w:rPr>
                    <w:t>1</w:t>
                  </w:r>
                </w:p>
              </w:tc>
            </w:tr>
            <w:tr w14:paraId="021FAB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615" w:type="pct"/>
                  <w:vAlign w:val="center"/>
                </w:tcPr>
                <w:p w14:paraId="58096398">
                  <w:pPr>
                    <w:widowControl/>
                    <w:jc w:val="center"/>
                    <w:textAlignment w:val="center"/>
                    <w:rPr>
                      <w:sz w:val="18"/>
                      <w:szCs w:val="18"/>
                    </w:rPr>
                  </w:pPr>
                  <w:r>
                    <w:rPr>
                      <w:rFonts w:hint="eastAsia" w:ascii="宋体" w:hAnsi="宋体" w:cs="宋体"/>
                      <w:kern w:val="0"/>
                      <w:sz w:val="18"/>
                      <w:szCs w:val="18"/>
                      <w:lang w:bidi="ar"/>
                    </w:rPr>
                    <w:t>三氟乙酸</w:t>
                  </w:r>
                </w:p>
              </w:tc>
              <w:tc>
                <w:tcPr>
                  <w:tcW w:w="1074" w:type="pct"/>
                  <w:vAlign w:val="center"/>
                </w:tcPr>
                <w:p w14:paraId="42FE0E58">
                  <w:pPr>
                    <w:widowControl/>
                    <w:snapToGrid w:val="0"/>
                    <w:jc w:val="center"/>
                    <w:rPr>
                      <w:sz w:val="18"/>
                      <w:szCs w:val="18"/>
                    </w:rPr>
                  </w:pPr>
                  <w:r>
                    <w:rPr>
                      <w:rFonts w:hint="eastAsia"/>
                      <w:sz w:val="18"/>
                      <w:szCs w:val="18"/>
                    </w:rPr>
                    <w:t>14.23</w:t>
                  </w:r>
                </w:p>
              </w:tc>
              <w:tc>
                <w:tcPr>
                  <w:tcW w:w="889" w:type="pct"/>
                  <w:vAlign w:val="center"/>
                </w:tcPr>
                <w:p w14:paraId="0EAE42F9">
                  <w:pPr>
                    <w:widowControl/>
                    <w:jc w:val="center"/>
                    <w:textAlignment w:val="center"/>
                    <w:rPr>
                      <w:sz w:val="18"/>
                      <w:szCs w:val="18"/>
                    </w:rPr>
                  </w:pPr>
                  <w:r>
                    <w:rPr>
                      <w:kern w:val="0"/>
                      <w:sz w:val="18"/>
                      <w:szCs w:val="18"/>
                      <w:lang w:bidi="ar"/>
                    </w:rPr>
                    <w:t>72.4</w:t>
                  </w:r>
                </w:p>
              </w:tc>
              <w:tc>
                <w:tcPr>
                  <w:tcW w:w="1419" w:type="pct"/>
                  <w:vAlign w:val="center"/>
                </w:tcPr>
                <w:p w14:paraId="4419D4DD">
                  <w:pPr>
                    <w:widowControl/>
                    <w:jc w:val="center"/>
                    <w:textAlignment w:val="center"/>
                    <w:rPr>
                      <w:sz w:val="18"/>
                      <w:szCs w:val="18"/>
                    </w:rPr>
                  </w:pPr>
                  <w:r>
                    <w:rPr>
                      <w:kern w:val="0"/>
                      <w:sz w:val="18"/>
                      <w:szCs w:val="18"/>
                      <w:lang w:bidi="ar"/>
                    </w:rPr>
                    <w:t>2</w:t>
                  </w:r>
                </w:p>
              </w:tc>
            </w:tr>
            <w:tr w14:paraId="04753F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615" w:type="pct"/>
                  <w:vAlign w:val="center"/>
                </w:tcPr>
                <w:p w14:paraId="204FAAD7">
                  <w:pPr>
                    <w:widowControl/>
                    <w:jc w:val="center"/>
                    <w:textAlignment w:val="center"/>
                    <w:rPr>
                      <w:sz w:val="18"/>
                      <w:szCs w:val="18"/>
                    </w:rPr>
                  </w:pPr>
                  <w:r>
                    <w:rPr>
                      <w:rFonts w:hint="eastAsia" w:ascii="宋体" w:hAnsi="宋体" w:cs="宋体"/>
                      <w:kern w:val="0"/>
                      <w:sz w:val="18"/>
                      <w:szCs w:val="18"/>
                      <w:lang w:bidi="ar"/>
                    </w:rPr>
                    <w:t>三乙胺</w:t>
                  </w:r>
                </w:p>
              </w:tc>
              <w:tc>
                <w:tcPr>
                  <w:tcW w:w="1074" w:type="pct"/>
                  <w:vAlign w:val="center"/>
                </w:tcPr>
                <w:p w14:paraId="182D35CE">
                  <w:pPr>
                    <w:widowControl/>
                    <w:snapToGrid w:val="0"/>
                    <w:jc w:val="center"/>
                    <w:rPr>
                      <w:sz w:val="18"/>
                      <w:szCs w:val="18"/>
                    </w:rPr>
                  </w:pPr>
                  <w:r>
                    <w:rPr>
                      <w:rFonts w:hint="eastAsia"/>
                      <w:sz w:val="18"/>
                      <w:szCs w:val="18"/>
                    </w:rPr>
                    <w:t>7.2</w:t>
                  </w:r>
                </w:p>
              </w:tc>
              <w:tc>
                <w:tcPr>
                  <w:tcW w:w="889" w:type="pct"/>
                  <w:vAlign w:val="center"/>
                </w:tcPr>
                <w:p w14:paraId="0C2EEFAC">
                  <w:pPr>
                    <w:widowControl/>
                    <w:jc w:val="center"/>
                    <w:textAlignment w:val="center"/>
                    <w:rPr>
                      <w:sz w:val="18"/>
                      <w:szCs w:val="18"/>
                    </w:rPr>
                  </w:pPr>
                  <w:r>
                    <w:rPr>
                      <w:kern w:val="0"/>
                      <w:sz w:val="18"/>
                      <w:szCs w:val="18"/>
                      <w:lang w:bidi="ar"/>
                    </w:rPr>
                    <w:t>90</w:t>
                  </w:r>
                </w:p>
              </w:tc>
              <w:tc>
                <w:tcPr>
                  <w:tcW w:w="1419" w:type="pct"/>
                  <w:vAlign w:val="center"/>
                </w:tcPr>
                <w:p w14:paraId="681F11DF">
                  <w:pPr>
                    <w:widowControl/>
                    <w:jc w:val="center"/>
                    <w:textAlignment w:val="center"/>
                    <w:rPr>
                      <w:sz w:val="18"/>
                      <w:szCs w:val="18"/>
                    </w:rPr>
                  </w:pPr>
                  <w:r>
                    <w:rPr>
                      <w:kern w:val="0"/>
                      <w:sz w:val="18"/>
                      <w:szCs w:val="18"/>
                      <w:lang w:bidi="ar"/>
                    </w:rPr>
                    <w:t>2</w:t>
                  </w:r>
                </w:p>
              </w:tc>
            </w:tr>
            <w:tr w14:paraId="63A745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615" w:type="pct"/>
                  <w:vAlign w:val="center"/>
                </w:tcPr>
                <w:p w14:paraId="56B752C8">
                  <w:pPr>
                    <w:widowControl/>
                    <w:jc w:val="center"/>
                    <w:textAlignment w:val="center"/>
                    <w:rPr>
                      <w:sz w:val="18"/>
                      <w:szCs w:val="18"/>
                    </w:rPr>
                  </w:pPr>
                  <w:r>
                    <w:rPr>
                      <w:rFonts w:hint="eastAsia" w:ascii="宋体" w:hAnsi="宋体" w:cs="宋体"/>
                      <w:kern w:val="0"/>
                      <w:sz w:val="18"/>
                      <w:szCs w:val="18"/>
                      <w:lang w:bidi="ar"/>
                    </w:rPr>
                    <w:t>乙腈</w:t>
                  </w:r>
                </w:p>
              </w:tc>
              <w:tc>
                <w:tcPr>
                  <w:tcW w:w="1074" w:type="pct"/>
                  <w:vAlign w:val="center"/>
                </w:tcPr>
                <w:p w14:paraId="412F3927">
                  <w:pPr>
                    <w:widowControl/>
                    <w:snapToGrid w:val="0"/>
                    <w:jc w:val="center"/>
                    <w:rPr>
                      <w:sz w:val="18"/>
                      <w:szCs w:val="18"/>
                    </w:rPr>
                  </w:pPr>
                  <w:r>
                    <w:rPr>
                      <w:rFonts w:hint="eastAsia"/>
                      <w:sz w:val="18"/>
                      <w:szCs w:val="18"/>
                    </w:rPr>
                    <w:t>13.33</w:t>
                  </w:r>
                </w:p>
              </w:tc>
              <w:tc>
                <w:tcPr>
                  <w:tcW w:w="889" w:type="pct"/>
                  <w:vAlign w:val="center"/>
                </w:tcPr>
                <w:p w14:paraId="6D4DFAE4">
                  <w:pPr>
                    <w:widowControl/>
                    <w:jc w:val="center"/>
                    <w:textAlignment w:val="center"/>
                    <w:rPr>
                      <w:sz w:val="18"/>
                      <w:szCs w:val="18"/>
                    </w:rPr>
                  </w:pPr>
                  <w:r>
                    <w:rPr>
                      <w:kern w:val="0"/>
                      <w:sz w:val="18"/>
                      <w:szCs w:val="18"/>
                      <w:lang w:bidi="ar"/>
                    </w:rPr>
                    <w:t>81~82</w:t>
                  </w:r>
                </w:p>
              </w:tc>
              <w:tc>
                <w:tcPr>
                  <w:tcW w:w="1419" w:type="pct"/>
                  <w:vAlign w:val="center"/>
                </w:tcPr>
                <w:p w14:paraId="258D1D35">
                  <w:pPr>
                    <w:widowControl/>
                    <w:jc w:val="center"/>
                    <w:textAlignment w:val="center"/>
                    <w:rPr>
                      <w:sz w:val="18"/>
                      <w:szCs w:val="18"/>
                    </w:rPr>
                  </w:pPr>
                  <w:r>
                    <w:rPr>
                      <w:kern w:val="0"/>
                      <w:sz w:val="18"/>
                      <w:szCs w:val="18"/>
                      <w:lang w:bidi="ar"/>
                    </w:rPr>
                    <w:t>10</w:t>
                  </w:r>
                </w:p>
              </w:tc>
            </w:tr>
            <w:tr w14:paraId="73613C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615" w:type="pct"/>
                  <w:vAlign w:val="center"/>
                </w:tcPr>
                <w:p w14:paraId="7177F7CC">
                  <w:pPr>
                    <w:widowControl/>
                    <w:jc w:val="center"/>
                    <w:textAlignment w:val="center"/>
                    <w:rPr>
                      <w:sz w:val="18"/>
                      <w:szCs w:val="18"/>
                    </w:rPr>
                  </w:pPr>
                  <w:r>
                    <w:rPr>
                      <w:rFonts w:hint="eastAsia" w:ascii="宋体" w:hAnsi="宋体" w:cs="宋体"/>
                      <w:kern w:val="0"/>
                      <w:sz w:val="18"/>
                      <w:szCs w:val="18"/>
                      <w:lang w:bidi="ar"/>
                    </w:rPr>
                    <w:t>乙酸乙酯</w:t>
                  </w:r>
                </w:p>
              </w:tc>
              <w:tc>
                <w:tcPr>
                  <w:tcW w:w="1074" w:type="pct"/>
                  <w:vAlign w:val="center"/>
                </w:tcPr>
                <w:p w14:paraId="675C1001">
                  <w:pPr>
                    <w:widowControl/>
                    <w:snapToGrid w:val="0"/>
                    <w:jc w:val="center"/>
                    <w:rPr>
                      <w:sz w:val="18"/>
                      <w:szCs w:val="18"/>
                    </w:rPr>
                  </w:pPr>
                  <w:r>
                    <w:rPr>
                      <w:rFonts w:hint="eastAsia"/>
                      <w:sz w:val="18"/>
                      <w:szCs w:val="18"/>
                    </w:rPr>
                    <w:t>10.1</w:t>
                  </w:r>
                </w:p>
              </w:tc>
              <w:tc>
                <w:tcPr>
                  <w:tcW w:w="889" w:type="pct"/>
                  <w:vAlign w:val="center"/>
                </w:tcPr>
                <w:p w14:paraId="0162C71B">
                  <w:pPr>
                    <w:widowControl/>
                    <w:jc w:val="center"/>
                    <w:textAlignment w:val="center"/>
                    <w:rPr>
                      <w:sz w:val="18"/>
                      <w:szCs w:val="18"/>
                    </w:rPr>
                  </w:pPr>
                  <w:r>
                    <w:rPr>
                      <w:kern w:val="0"/>
                      <w:sz w:val="18"/>
                      <w:szCs w:val="18"/>
                      <w:lang w:bidi="ar"/>
                    </w:rPr>
                    <w:t>76.5~77.5</w:t>
                  </w:r>
                </w:p>
              </w:tc>
              <w:tc>
                <w:tcPr>
                  <w:tcW w:w="1419" w:type="pct"/>
                  <w:vAlign w:val="center"/>
                </w:tcPr>
                <w:p w14:paraId="1A06CC66">
                  <w:pPr>
                    <w:widowControl/>
                    <w:jc w:val="center"/>
                    <w:textAlignment w:val="center"/>
                    <w:rPr>
                      <w:sz w:val="18"/>
                      <w:szCs w:val="18"/>
                    </w:rPr>
                  </w:pPr>
                  <w:r>
                    <w:rPr>
                      <w:kern w:val="0"/>
                      <w:sz w:val="18"/>
                      <w:szCs w:val="18"/>
                      <w:lang w:bidi="ar"/>
                    </w:rPr>
                    <w:t>5</w:t>
                  </w:r>
                </w:p>
              </w:tc>
            </w:tr>
            <w:tr w14:paraId="7D3CC8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615" w:type="pct"/>
                  <w:vAlign w:val="center"/>
                </w:tcPr>
                <w:p w14:paraId="6A4AF653">
                  <w:pPr>
                    <w:widowControl/>
                    <w:jc w:val="center"/>
                    <w:textAlignment w:val="center"/>
                    <w:rPr>
                      <w:sz w:val="18"/>
                      <w:szCs w:val="18"/>
                    </w:rPr>
                  </w:pPr>
                  <w:r>
                    <w:rPr>
                      <w:rFonts w:hint="eastAsia" w:ascii="宋体" w:hAnsi="宋体" w:cs="宋体"/>
                      <w:kern w:val="0"/>
                      <w:sz w:val="18"/>
                      <w:szCs w:val="18"/>
                      <w:lang w:bidi="ar"/>
                    </w:rPr>
                    <w:t>吡啶</w:t>
                  </w:r>
                </w:p>
              </w:tc>
              <w:tc>
                <w:tcPr>
                  <w:tcW w:w="1074" w:type="pct"/>
                  <w:vAlign w:val="center"/>
                </w:tcPr>
                <w:p w14:paraId="25F5ABA2">
                  <w:pPr>
                    <w:widowControl/>
                    <w:snapToGrid w:val="0"/>
                    <w:jc w:val="center"/>
                    <w:rPr>
                      <w:sz w:val="18"/>
                      <w:szCs w:val="18"/>
                    </w:rPr>
                  </w:pPr>
                  <w:r>
                    <w:rPr>
                      <w:rFonts w:hint="eastAsia"/>
                      <w:sz w:val="18"/>
                      <w:szCs w:val="18"/>
                    </w:rPr>
                    <w:t>3.01-3.07</w:t>
                  </w:r>
                </w:p>
              </w:tc>
              <w:tc>
                <w:tcPr>
                  <w:tcW w:w="889" w:type="pct"/>
                  <w:vAlign w:val="center"/>
                </w:tcPr>
                <w:p w14:paraId="16FC51D8">
                  <w:pPr>
                    <w:widowControl/>
                    <w:jc w:val="center"/>
                    <w:textAlignment w:val="center"/>
                    <w:rPr>
                      <w:sz w:val="18"/>
                      <w:szCs w:val="18"/>
                    </w:rPr>
                  </w:pPr>
                  <w:r>
                    <w:rPr>
                      <w:kern w:val="0"/>
                      <w:sz w:val="18"/>
                      <w:szCs w:val="18"/>
                      <w:lang w:bidi="ar"/>
                    </w:rPr>
                    <w:t>115.</w:t>
                  </w:r>
                  <w:r>
                    <w:rPr>
                      <w:rFonts w:hint="eastAsia"/>
                      <w:kern w:val="0"/>
                      <w:sz w:val="18"/>
                      <w:szCs w:val="18"/>
                      <w:lang w:bidi="ar"/>
                    </w:rPr>
                    <w:t>3</w:t>
                  </w:r>
                </w:p>
              </w:tc>
              <w:tc>
                <w:tcPr>
                  <w:tcW w:w="1419" w:type="pct"/>
                  <w:vAlign w:val="center"/>
                </w:tcPr>
                <w:p w14:paraId="0E97D513">
                  <w:pPr>
                    <w:widowControl/>
                    <w:jc w:val="center"/>
                    <w:textAlignment w:val="center"/>
                    <w:rPr>
                      <w:sz w:val="18"/>
                      <w:szCs w:val="18"/>
                    </w:rPr>
                  </w:pPr>
                  <w:r>
                    <w:rPr>
                      <w:kern w:val="0"/>
                      <w:sz w:val="18"/>
                      <w:szCs w:val="18"/>
                      <w:lang w:bidi="ar"/>
                    </w:rPr>
                    <w:t>2</w:t>
                  </w:r>
                </w:p>
              </w:tc>
            </w:tr>
            <w:tr w14:paraId="2298DC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615" w:type="pct"/>
                  <w:shd w:val="clear" w:color="auto" w:fill="auto"/>
                  <w:vAlign w:val="center"/>
                </w:tcPr>
                <w:p w14:paraId="553EAD99">
                  <w:pPr>
                    <w:widowControl/>
                    <w:jc w:val="center"/>
                    <w:textAlignment w:val="center"/>
                    <w:rPr>
                      <w:rFonts w:hint="eastAsia" w:ascii="Times New Roman" w:hAnsi="Times New Roman" w:eastAsia="宋体" w:cs="Times New Roman"/>
                      <w:kern w:val="2"/>
                      <w:sz w:val="18"/>
                      <w:szCs w:val="18"/>
                      <w:lang w:val="en-US" w:eastAsia="zh-CN" w:bidi="ar-SA"/>
                    </w:rPr>
                  </w:pPr>
                  <w:r>
                    <w:rPr>
                      <w:rFonts w:hint="eastAsia" w:ascii="宋体" w:hAnsi="宋体" w:cs="宋体"/>
                      <w:kern w:val="0"/>
                      <w:sz w:val="18"/>
                      <w:szCs w:val="18"/>
                      <w:lang w:bidi="ar"/>
                    </w:rPr>
                    <w:t>叔丁醇</w:t>
                  </w:r>
                </w:p>
              </w:tc>
              <w:tc>
                <w:tcPr>
                  <w:tcW w:w="1074" w:type="pct"/>
                  <w:shd w:val="clear" w:color="auto" w:fill="auto"/>
                  <w:vAlign w:val="center"/>
                </w:tcPr>
                <w:p w14:paraId="69E8BE4A">
                  <w:pPr>
                    <w:widowControl/>
                    <w:snapToGrid w:val="0"/>
                    <w:jc w:val="center"/>
                    <w:rPr>
                      <w:rFonts w:hint="eastAsia" w:ascii="Times New Roman" w:hAnsi="Times New Roman" w:eastAsia="宋体" w:cs="Times New Roman"/>
                      <w:kern w:val="2"/>
                      <w:sz w:val="18"/>
                      <w:szCs w:val="18"/>
                      <w:lang w:val="en-US" w:eastAsia="zh-CN" w:bidi="ar-SA"/>
                    </w:rPr>
                  </w:pPr>
                  <w:r>
                    <w:rPr>
                      <w:rFonts w:hint="eastAsia"/>
                      <w:sz w:val="18"/>
                      <w:szCs w:val="18"/>
                    </w:rPr>
                    <w:t>4.1</w:t>
                  </w:r>
                </w:p>
              </w:tc>
              <w:tc>
                <w:tcPr>
                  <w:tcW w:w="889" w:type="pct"/>
                  <w:shd w:val="clear" w:color="auto" w:fill="auto"/>
                  <w:vAlign w:val="center"/>
                </w:tcPr>
                <w:p w14:paraId="25F417B0">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84.6‌</w:t>
                  </w:r>
                </w:p>
              </w:tc>
              <w:tc>
                <w:tcPr>
                  <w:tcW w:w="1419" w:type="pct"/>
                  <w:shd w:val="clear" w:color="auto" w:fill="auto"/>
                  <w:vAlign w:val="center"/>
                </w:tcPr>
                <w:p w14:paraId="5A053AFE">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4</w:t>
                  </w:r>
                </w:p>
              </w:tc>
            </w:tr>
            <w:tr w14:paraId="25AF86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615" w:type="pct"/>
                  <w:shd w:val="clear" w:color="auto" w:fill="auto"/>
                  <w:vAlign w:val="center"/>
                </w:tcPr>
                <w:p w14:paraId="77062668">
                  <w:pPr>
                    <w:widowControl/>
                    <w:jc w:val="center"/>
                    <w:textAlignment w:val="center"/>
                    <w:rPr>
                      <w:rFonts w:hint="eastAsia" w:ascii="Times New Roman" w:hAnsi="Times New Roman" w:eastAsia="宋体" w:cs="Times New Roman"/>
                      <w:kern w:val="2"/>
                      <w:sz w:val="18"/>
                      <w:szCs w:val="18"/>
                      <w:lang w:val="en-US" w:eastAsia="zh-CN" w:bidi="ar-SA"/>
                    </w:rPr>
                  </w:pPr>
                  <w:r>
                    <w:rPr>
                      <w:rFonts w:hint="eastAsia" w:ascii="宋体" w:hAnsi="宋体" w:cs="宋体"/>
                      <w:kern w:val="0"/>
                      <w:sz w:val="18"/>
                      <w:szCs w:val="18"/>
                      <w:lang w:bidi="ar"/>
                    </w:rPr>
                    <w:t>二甲基乙酰胺</w:t>
                  </w:r>
                </w:p>
              </w:tc>
              <w:tc>
                <w:tcPr>
                  <w:tcW w:w="1074" w:type="pct"/>
                  <w:shd w:val="clear" w:color="auto" w:fill="auto"/>
                  <w:vAlign w:val="center"/>
                </w:tcPr>
                <w:p w14:paraId="7E55036E">
                  <w:pPr>
                    <w:widowControl/>
                    <w:snapToGrid w:val="0"/>
                    <w:jc w:val="center"/>
                    <w:rPr>
                      <w:rFonts w:hint="eastAsia" w:ascii="Times New Roman" w:hAnsi="Times New Roman" w:eastAsia="宋体" w:cs="Times New Roman"/>
                      <w:kern w:val="2"/>
                      <w:sz w:val="18"/>
                      <w:szCs w:val="18"/>
                      <w:lang w:val="en-US" w:eastAsia="zh-CN" w:bidi="ar-SA"/>
                    </w:rPr>
                  </w:pPr>
                  <w:r>
                    <w:rPr>
                      <w:rFonts w:hint="eastAsia"/>
                      <w:sz w:val="18"/>
                      <w:szCs w:val="18"/>
                    </w:rPr>
                    <w:t>0.17</w:t>
                  </w:r>
                </w:p>
              </w:tc>
              <w:tc>
                <w:tcPr>
                  <w:tcW w:w="889" w:type="pct"/>
                  <w:shd w:val="clear" w:color="auto" w:fill="auto"/>
                  <w:vAlign w:val="center"/>
                </w:tcPr>
                <w:p w14:paraId="7530803A">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16</w:t>
                  </w:r>
                  <w:r>
                    <w:rPr>
                      <w:rFonts w:hint="eastAsia"/>
                      <w:kern w:val="0"/>
                      <w:sz w:val="18"/>
                      <w:szCs w:val="18"/>
                      <w:lang w:bidi="ar"/>
                    </w:rPr>
                    <w:t>5</w:t>
                  </w:r>
                </w:p>
              </w:tc>
              <w:tc>
                <w:tcPr>
                  <w:tcW w:w="1419" w:type="pct"/>
                  <w:shd w:val="clear" w:color="auto" w:fill="auto"/>
                  <w:vAlign w:val="center"/>
                </w:tcPr>
                <w:p w14:paraId="6F71AA7E">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4</w:t>
                  </w:r>
                </w:p>
              </w:tc>
            </w:tr>
            <w:tr w14:paraId="0499DE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615" w:type="pct"/>
                  <w:shd w:val="clear" w:color="auto" w:fill="auto"/>
                  <w:vAlign w:val="center"/>
                </w:tcPr>
                <w:p w14:paraId="77BD74B1">
                  <w:pPr>
                    <w:widowControl/>
                    <w:jc w:val="center"/>
                    <w:textAlignment w:val="center"/>
                    <w:rPr>
                      <w:rFonts w:hint="eastAsia" w:ascii="Times New Roman" w:hAnsi="Times New Roman" w:eastAsia="宋体" w:cs="Times New Roman"/>
                      <w:kern w:val="2"/>
                      <w:sz w:val="18"/>
                      <w:szCs w:val="18"/>
                      <w:lang w:val="en-US" w:eastAsia="zh-CN" w:bidi="ar-SA"/>
                    </w:rPr>
                  </w:pPr>
                  <w:r>
                    <w:rPr>
                      <w:rFonts w:hint="eastAsia" w:ascii="宋体" w:hAnsi="宋体" w:cs="宋体"/>
                      <w:kern w:val="0"/>
                      <w:sz w:val="18"/>
                      <w:szCs w:val="18"/>
                      <w:lang w:bidi="ar"/>
                    </w:rPr>
                    <w:t>二氧六环</w:t>
                  </w:r>
                </w:p>
              </w:tc>
              <w:tc>
                <w:tcPr>
                  <w:tcW w:w="1074" w:type="pct"/>
                  <w:shd w:val="clear" w:color="auto" w:fill="auto"/>
                  <w:vAlign w:val="center"/>
                </w:tcPr>
                <w:p w14:paraId="10782716">
                  <w:pPr>
                    <w:widowControl/>
                    <w:snapToGrid w:val="0"/>
                    <w:jc w:val="center"/>
                    <w:rPr>
                      <w:rFonts w:hint="eastAsia" w:ascii="Times New Roman" w:hAnsi="Times New Roman" w:eastAsia="宋体" w:cs="Times New Roman"/>
                      <w:kern w:val="2"/>
                      <w:sz w:val="18"/>
                      <w:szCs w:val="18"/>
                      <w:lang w:val="en-US" w:eastAsia="zh-CN" w:bidi="ar-SA"/>
                    </w:rPr>
                  </w:pPr>
                  <w:r>
                    <w:rPr>
                      <w:rFonts w:hint="eastAsia"/>
                      <w:sz w:val="18"/>
                      <w:szCs w:val="18"/>
                    </w:rPr>
                    <w:t>4.1</w:t>
                  </w:r>
                </w:p>
              </w:tc>
              <w:tc>
                <w:tcPr>
                  <w:tcW w:w="889" w:type="pct"/>
                  <w:shd w:val="clear" w:color="auto" w:fill="auto"/>
                  <w:vAlign w:val="center"/>
                </w:tcPr>
                <w:p w14:paraId="32BB42FE">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101</w:t>
                  </w:r>
                </w:p>
              </w:tc>
              <w:tc>
                <w:tcPr>
                  <w:tcW w:w="1419" w:type="pct"/>
                  <w:shd w:val="clear" w:color="auto" w:fill="auto"/>
                  <w:vAlign w:val="center"/>
                </w:tcPr>
                <w:p w14:paraId="24C068F1">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3</w:t>
                  </w:r>
                </w:p>
              </w:tc>
            </w:tr>
          </w:tbl>
          <w:p w14:paraId="112905BE">
            <w:pPr>
              <w:spacing w:line="360" w:lineRule="auto"/>
              <w:ind w:firstLine="482"/>
              <w:rPr>
                <w:szCs w:val="21"/>
              </w:rPr>
            </w:pPr>
          </w:p>
        </w:tc>
      </w:tr>
      <w:tr w14:paraId="067242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41" w:hRule="atLeast"/>
          <w:jc w:val="center"/>
        </w:trPr>
        <w:tc>
          <w:tcPr>
            <w:tcW w:w="352" w:type="dxa"/>
            <w:tcMar>
              <w:left w:w="28" w:type="dxa"/>
              <w:right w:w="28" w:type="dxa"/>
            </w:tcMar>
            <w:vAlign w:val="center"/>
          </w:tcPr>
          <w:p w14:paraId="3D6368B0">
            <w:pPr>
              <w:adjustRightInd w:val="0"/>
              <w:snapToGrid w:val="0"/>
              <w:jc w:val="center"/>
              <w:rPr>
                <w:bCs/>
                <w:szCs w:val="21"/>
              </w:rPr>
            </w:pPr>
            <w:r>
              <w:rPr>
                <w:bCs/>
                <w:szCs w:val="21"/>
              </w:rPr>
              <w:t>运营</w:t>
            </w:r>
          </w:p>
          <w:p w14:paraId="29B40AEB">
            <w:pPr>
              <w:adjustRightInd w:val="0"/>
              <w:snapToGrid w:val="0"/>
              <w:jc w:val="center"/>
              <w:rPr>
                <w:bCs/>
                <w:szCs w:val="21"/>
              </w:rPr>
            </w:pPr>
            <w:r>
              <w:rPr>
                <w:bCs/>
                <w:szCs w:val="21"/>
              </w:rPr>
              <w:t>期环</w:t>
            </w:r>
          </w:p>
          <w:p w14:paraId="7B13B12F">
            <w:pPr>
              <w:adjustRightInd w:val="0"/>
              <w:snapToGrid w:val="0"/>
              <w:jc w:val="center"/>
              <w:rPr>
                <w:bCs/>
                <w:szCs w:val="21"/>
              </w:rPr>
            </w:pPr>
            <w:r>
              <w:rPr>
                <w:bCs/>
                <w:szCs w:val="21"/>
              </w:rPr>
              <w:t>境影</w:t>
            </w:r>
          </w:p>
          <w:p w14:paraId="3D8153C8">
            <w:pPr>
              <w:adjustRightInd w:val="0"/>
              <w:snapToGrid w:val="0"/>
              <w:jc w:val="center"/>
              <w:rPr>
                <w:bCs/>
                <w:szCs w:val="21"/>
              </w:rPr>
            </w:pPr>
            <w:r>
              <w:rPr>
                <w:bCs/>
                <w:szCs w:val="21"/>
              </w:rPr>
              <w:t>响和</w:t>
            </w:r>
          </w:p>
          <w:p w14:paraId="2577F54D">
            <w:pPr>
              <w:adjustRightInd w:val="0"/>
              <w:snapToGrid w:val="0"/>
              <w:jc w:val="center"/>
              <w:rPr>
                <w:bCs/>
                <w:szCs w:val="21"/>
              </w:rPr>
            </w:pPr>
            <w:r>
              <w:rPr>
                <w:bCs/>
                <w:szCs w:val="21"/>
              </w:rPr>
              <w:t>保护</w:t>
            </w:r>
          </w:p>
          <w:p w14:paraId="060A560E">
            <w:pPr>
              <w:pStyle w:val="18"/>
              <w:adjustRightInd w:val="0"/>
              <w:snapToGrid w:val="0"/>
              <w:spacing w:before="0" w:beforeAutospacing="0" w:after="0" w:afterAutospacing="0"/>
              <w:jc w:val="center"/>
              <w:rPr>
                <w:rFonts w:ascii="Times New Roman" w:hAnsi="Times New Roman"/>
                <w:kern w:val="2"/>
                <w:sz w:val="21"/>
                <w:szCs w:val="21"/>
              </w:rPr>
            </w:pPr>
            <w:r>
              <w:rPr>
                <w:bCs/>
                <w:szCs w:val="21"/>
              </w:rPr>
              <w:t>措施</w:t>
            </w:r>
          </w:p>
        </w:tc>
        <w:tc>
          <w:tcPr>
            <w:tcW w:w="9071" w:type="dxa"/>
            <w:vAlign w:val="center"/>
          </w:tcPr>
          <w:tbl>
            <w:tblPr>
              <w:tblStyle w:val="23"/>
              <w:tblW w:w="482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52"/>
              <w:gridCol w:w="1831"/>
              <w:gridCol w:w="1518"/>
              <w:gridCol w:w="2417"/>
            </w:tblGrid>
            <w:tr w14:paraId="3AAE90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615" w:type="pct"/>
                  <w:vAlign w:val="center"/>
                </w:tcPr>
                <w:p w14:paraId="004B82D8">
                  <w:pPr>
                    <w:widowControl/>
                    <w:jc w:val="center"/>
                    <w:textAlignment w:val="center"/>
                    <w:rPr>
                      <w:sz w:val="18"/>
                      <w:szCs w:val="18"/>
                    </w:rPr>
                  </w:pPr>
                  <w:r>
                    <w:rPr>
                      <w:rFonts w:hint="eastAsia" w:ascii="宋体" w:hAnsi="宋体" w:cs="宋体"/>
                      <w:kern w:val="0"/>
                      <w:sz w:val="18"/>
                      <w:szCs w:val="18"/>
                      <w:lang w:bidi="ar"/>
                    </w:rPr>
                    <w:t>异丙苯</w:t>
                  </w:r>
                </w:p>
              </w:tc>
              <w:tc>
                <w:tcPr>
                  <w:tcW w:w="1074" w:type="pct"/>
                  <w:vAlign w:val="center"/>
                </w:tcPr>
                <w:p w14:paraId="6BE746EC">
                  <w:pPr>
                    <w:widowControl/>
                    <w:snapToGrid w:val="0"/>
                    <w:jc w:val="center"/>
                    <w:rPr>
                      <w:sz w:val="18"/>
                      <w:szCs w:val="18"/>
                    </w:rPr>
                  </w:pPr>
                  <w:r>
                    <w:rPr>
                      <w:rFonts w:hint="eastAsia"/>
                      <w:sz w:val="18"/>
                      <w:szCs w:val="18"/>
                    </w:rPr>
                    <w:t>0.013</w:t>
                  </w:r>
                </w:p>
              </w:tc>
              <w:tc>
                <w:tcPr>
                  <w:tcW w:w="891" w:type="pct"/>
                  <w:vAlign w:val="center"/>
                </w:tcPr>
                <w:p w14:paraId="2298BD41">
                  <w:pPr>
                    <w:widowControl/>
                    <w:jc w:val="center"/>
                    <w:textAlignment w:val="center"/>
                    <w:rPr>
                      <w:sz w:val="18"/>
                      <w:szCs w:val="18"/>
                    </w:rPr>
                  </w:pPr>
                  <w:r>
                    <w:rPr>
                      <w:kern w:val="0"/>
                      <w:sz w:val="18"/>
                      <w:szCs w:val="18"/>
                      <w:lang w:bidi="ar"/>
                    </w:rPr>
                    <w:t>152~154</w:t>
                  </w:r>
                </w:p>
              </w:tc>
              <w:tc>
                <w:tcPr>
                  <w:tcW w:w="1418" w:type="pct"/>
                  <w:vAlign w:val="center"/>
                </w:tcPr>
                <w:p w14:paraId="58A12FAB">
                  <w:pPr>
                    <w:widowControl/>
                    <w:jc w:val="center"/>
                    <w:textAlignment w:val="center"/>
                    <w:rPr>
                      <w:sz w:val="18"/>
                      <w:szCs w:val="18"/>
                    </w:rPr>
                  </w:pPr>
                  <w:r>
                    <w:rPr>
                      <w:kern w:val="0"/>
                      <w:sz w:val="18"/>
                      <w:szCs w:val="18"/>
                      <w:lang w:bidi="ar"/>
                    </w:rPr>
                    <w:t>2</w:t>
                  </w:r>
                </w:p>
              </w:tc>
            </w:tr>
            <w:tr w14:paraId="120C70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615" w:type="pct"/>
                  <w:vAlign w:val="center"/>
                </w:tcPr>
                <w:p w14:paraId="55F52471">
                  <w:pPr>
                    <w:widowControl/>
                    <w:jc w:val="center"/>
                    <w:textAlignment w:val="center"/>
                    <w:rPr>
                      <w:sz w:val="18"/>
                      <w:szCs w:val="18"/>
                    </w:rPr>
                  </w:pPr>
                  <w:r>
                    <w:rPr>
                      <w:rFonts w:hint="eastAsia" w:ascii="宋体" w:hAnsi="宋体" w:cs="宋体"/>
                      <w:kern w:val="0"/>
                      <w:sz w:val="18"/>
                      <w:szCs w:val="18"/>
                      <w:lang w:bidi="ar"/>
                    </w:rPr>
                    <w:t>对二甲苯</w:t>
                  </w:r>
                </w:p>
              </w:tc>
              <w:tc>
                <w:tcPr>
                  <w:tcW w:w="1074" w:type="pct"/>
                  <w:vAlign w:val="center"/>
                </w:tcPr>
                <w:p w14:paraId="3883F072">
                  <w:pPr>
                    <w:widowControl/>
                    <w:snapToGrid w:val="0"/>
                    <w:jc w:val="center"/>
                    <w:rPr>
                      <w:sz w:val="18"/>
                      <w:szCs w:val="18"/>
                    </w:rPr>
                  </w:pPr>
                  <w:r>
                    <w:rPr>
                      <w:rFonts w:hint="eastAsia"/>
                      <w:sz w:val="18"/>
                      <w:szCs w:val="18"/>
                    </w:rPr>
                    <w:t>1.059</w:t>
                  </w:r>
                </w:p>
              </w:tc>
              <w:tc>
                <w:tcPr>
                  <w:tcW w:w="891" w:type="pct"/>
                  <w:vAlign w:val="center"/>
                </w:tcPr>
                <w:p w14:paraId="38AC26BF">
                  <w:pPr>
                    <w:widowControl/>
                    <w:jc w:val="center"/>
                    <w:textAlignment w:val="center"/>
                    <w:rPr>
                      <w:sz w:val="18"/>
                      <w:szCs w:val="18"/>
                    </w:rPr>
                  </w:pPr>
                  <w:r>
                    <w:rPr>
                      <w:kern w:val="0"/>
                      <w:sz w:val="18"/>
                      <w:szCs w:val="18"/>
                      <w:lang w:bidi="ar"/>
                    </w:rPr>
                    <w:t>138.4‌</w:t>
                  </w:r>
                </w:p>
              </w:tc>
              <w:tc>
                <w:tcPr>
                  <w:tcW w:w="1418" w:type="pct"/>
                  <w:vAlign w:val="center"/>
                </w:tcPr>
                <w:p w14:paraId="3F57455A">
                  <w:pPr>
                    <w:widowControl/>
                    <w:jc w:val="center"/>
                    <w:textAlignment w:val="center"/>
                    <w:rPr>
                      <w:sz w:val="18"/>
                      <w:szCs w:val="18"/>
                    </w:rPr>
                  </w:pPr>
                  <w:r>
                    <w:rPr>
                      <w:kern w:val="0"/>
                      <w:sz w:val="18"/>
                      <w:szCs w:val="18"/>
                      <w:lang w:bidi="ar"/>
                    </w:rPr>
                    <w:t>2</w:t>
                  </w:r>
                </w:p>
              </w:tc>
            </w:tr>
            <w:tr w14:paraId="7CC5D1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615" w:type="pct"/>
                  <w:vAlign w:val="center"/>
                </w:tcPr>
                <w:p w14:paraId="0256F427">
                  <w:pPr>
                    <w:widowControl/>
                    <w:jc w:val="center"/>
                    <w:textAlignment w:val="center"/>
                    <w:rPr>
                      <w:sz w:val="18"/>
                      <w:szCs w:val="18"/>
                    </w:rPr>
                  </w:pPr>
                  <w:r>
                    <w:rPr>
                      <w:rFonts w:hint="eastAsia" w:ascii="宋体" w:hAnsi="宋体" w:cs="宋体"/>
                      <w:kern w:val="0"/>
                      <w:sz w:val="18"/>
                      <w:szCs w:val="18"/>
                      <w:lang w:bidi="ar"/>
                    </w:rPr>
                    <w:t>邻二甲苯</w:t>
                  </w:r>
                </w:p>
              </w:tc>
              <w:tc>
                <w:tcPr>
                  <w:tcW w:w="1074" w:type="pct"/>
                  <w:vAlign w:val="center"/>
                </w:tcPr>
                <w:p w14:paraId="5CE11AAA">
                  <w:pPr>
                    <w:widowControl/>
                    <w:snapToGrid w:val="0"/>
                    <w:jc w:val="center"/>
                    <w:rPr>
                      <w:sz w:val="18"/>
                      <w:szCs w:val="18"/>
                    </w:rPr>
                  </w:pPr>
                  <w:r>
                    <w:rPr>
                      <w:rFonts w:hint="eastAsia"/>
                      <w:sz w:val="18"/>
                      <w:szCs w:val="18"/>
                    </w:rPr>
                    <w:t>0.787-0.813</w:t>
                  </w:r>
                </w:p>
              </w:tc>
              <w:tc>
                <w:tcPr>
                  <w:tcW w:w="891" w:type="pct"/>
                  <w:vAlign w:val="center"/>
                </w:tcPr>
                <w:p w14:paraId="42C8C2D4">
                  <w:pPr>
                    <w:widowControl/>
                    <w:jc w:val="center"/>
                    <w:textAlignment w:val="center"/>
                    <w:rPr>
                      <w:sz w:val="18"/>
                      <w:szCs w:val="18"/>
                    </w:rPr>
                  </w:pPr>
                  <w:r>
                    <w:rPr>
                      <w:kern w:val="0"/>
                      <w:sz w:val="18"/>
                      <w:szCs w:val="18"/>
                      <w:lang w:bidi="ar"/>
                    </w:rPr>
                    <w:t>14</w:t>
                  </w:r>
                  <w:r>
                    <w:rPr>
                      <w:rFonts w:hint="eastAsia"/>
                      <w:kern w:val="0"/>
                      <w:sz w:val="18"/>
                      <w:szCs w:val="18"/>
                      <w:lang w:bidi="ar"/>
                    </w:rPr>
                    <w:t>3</w:t>
                  </w:r>
                  <w:r>
                    <w:rPr>
                      <w:kern w:val="0"/>
                      <w:sz w:val="18"/>
                      <w:szCs w:val="18"/>
                      <w:lang w:bidi="ar"/>
                    </w:rPr>
                    <w:t>~</w:t>
                  </w:r>
                  <w:r>
                    <w:rPr>
                      <w:rFonts w:hint="eastAsia"/>
                      <w:kern w:val="0"/>
                      <w:sz w:val="18"/>
                      <w:szCs w:val="18"/>
                      <w:lang w:bidi="ar"/>
                    </w:rPr>
                    <w:t>145</w:t>
                  </w:r>
                </w:p>
              </w:tc>
              <w:tc>
                <w:tcPr>
                  <w:tcW w:w="1418" w:type="pct"/>
                  <w:vAlign w:val="center"/>
                </w:tcPr>
                <w:p w14:paraId="2AE70C0B">
                  <w:pPr>
                    <w:widowControl/>
                    <w:jc w:val="center"/>
                    <w:textAlignment w:val="center"/>
                    <w:rPr>
                      <w:sz w:val="18"/>
                      <w:szCs w:val="18"/>
                    </w:rPr>
                  </w:pPr>
                  <w:r>
                    <w:rPr>
                      <w:kern w:val="0"/>
                      <w:sz w:val="18"/>
                      <w:szCs w:val="18"/>
                      <w:lang w:bidi="ar"/>
                    </w:rPr>
                    <w:t>2</w:t>
                  </w:r>
                </w:p>
              </w:tc>
            </w:tr>
            <w:tr w14:paraId="5E19AB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615" w:type="pct"/>
                  <w:vAlign w:val="center"/>
                </w:tcPr>
                <w:p w14:paraId="4BFD0485">
                  <w:pPr>
                    <w:widowControl/>
                    <w:jc w:val="center"/>
                    <w:textAlignment w:val="center"/>
                    <w:rPr>
                      <w:sz w:val="18"/>
                      <w:szCs w:val="18"/>
                    </w:rPr>
                  </w:pPr>
                  <w:r>
                    <w:rPr>
                      <w:rFonts w:hint="eastAsia" w:ascii="宋体" w:hAnsi="宋体" w:cs="宋体"/>
                      <w:kern w:val="0"/>
                      <w:sz w:val="18"/>
                      <w:szCs w:val="18"/>
                      <w:lang w:bidi="ar"/>
                    </w:rPr>
                    <w:t>间二甲苯</w:t>
                  </w:r>
                </w:p>
              </w:tc>
              <w:tc>
                <w:tcPr>
                  <w:tcW w:w="1074" w:type="pct"/>
                  <w:vAlign w:val="center"/>
                </w:tcPr>
                <w:p w14:paraId="44A33D5B">
                  <w:pPr>
                    <w:widowControl/>
                    <w:snapToGrid w:val="0"/>
                    <w:jc w:val="center"/>
                    <w:rPr>
                      <w:sz w:val="18"/>
                      <w:szCs w:val="18"/>
                    </w:rPr>
                  </w:pPr>
                  <w:r>
                    <w:rPr>
                      <w:rFonts w:hint="eastAsia"/>
                      <w:sz w:val="18"/>
                      <w:szCs w:val="18"/>
                    </w:rPr>
                    <w:t>1-1.026</w:t>
                  </w:r>
                </w:p>
              </w:tc>
              <w:tc>
                <w:tcPr>
                  <w:tcW w:w="891" w:type="pct"/>
                  <w:vAlign w:val="center"/>
                </w:tcPr>
                <w:p w14:paraId="45759A22">
                  <w:pPr>
                    <w:widowControl/>
                    <w:jc w:val="center"/>
                    <w:textAlignment w:val="center"/>
                    <w:rPr>
                      <w:sz w:val="18"/>
                      <w:szCs w:val="18"/>
                    </w:rPr>
                  </w:pPr>
                  <w:r>
                    <w:rPr>
                      <w:kern w:val="0"/>
                      <w:sz w:val="18"/>
                      <w:szCs w:val="18"/>
                      <w:lang w:bidi="ar"/>
                    </w:rPr>
                    <w:t>139</w:t>
                  </w:r>
                </w:p>
              </w:tc>
              <w:tc>
                <w:tcPr>
                  <w:tcW w:w="1418" w:type="pct"/>
                  <w:vAlign w:val="center"/>
                </w:tcPr>
                <w:p w14:paraId="4BA6EE88">
                  <w:pPr>
                    <w:widowControl/>
                    <w:jc w:val="center"/>
                    <w:textAlignment w:val="center"/>
                    <w:rPr>
                      <w:sz w:val="18"/>
                      <w:szCs w:val="18"/>
                    </w:rPr>
                  </w:pPr>
                  <w:r>
                    <w:rPr>
                      <w:kern w:val="0"/>
                      <w:sz w:val="18"/>
                      <w:szCs w:val="18"/>
                      <w:lang w:bidi="ar"/>
                    </w:rPr>
                    <w:t>2</w:t>
                  </w:r>
                </w:p>
              </w:tc>
            </w:tr>
            <w:tr w14:paraId="1B2BB6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615" w:type="pct"/>
                  <w:vAlign w:val="center"/>
                </w:tcPr>
                <w:p w14:paraId="19D9F943">
                  <w:pPr>
                    <w:widowControl/>
                    <w:jc w:val="center"/>
                    <w:textAlignment w:val="center"/>
                    <w:rPr>
                      <w:sz w:val="18"/>
                      <w:szCs w:val="18"/>
                    </w:rPr>
                  </w:pPr>
                  <w:r>
                    <w:rPr>
                      <w:rFonts w:hint="eastAsia" w:ascii="宋体" w:hAnsi="宋体" w:cs="宋体"/>
                      <w:kern w:val="0"/>
                      <w:sz w:val="18"/>
                      <w:szCs w:val="18"/>
                      <w:lang w:bidi="ar"/>
                    </w:rPr>
                    <w:t>苯乙烯</w:t>
                  </w:r>
                </w:p>
              </w:tc>
              <w:tc>
                <w:tcPr>
                  <w:tcW w:w="1074" w:type="pct"/>
                  <w:vAlign w:val="center"/>
                </w:tcPr>
                <w:p w14:paraId="5A3C348A">
                  <w:pPr>
                    <w:widowControl/>
                    <w:snapToGrid w:val="0"/>
                    <w:jc w:val="center"/>
                    <w:rPr>
                      <w:sz w:val="18"/>
                      <w:szCs w:val="18"/>
                    </w:rPr>
                  </w:pPr>
                  <w:r>
                    <w:rPr>
                      <w:rFonts w:hint="eastAsia"/>
                      <w:sz w:val="18"/>
                      <w:szCs w:val="18"/>
                    </w:rPr>
                    <w:t>0.828</w:t>
                  </w:r>
                </w:p>
              </w:tc>
              <w:tc>
                <w:tcPr>
                  <w:tcW w:w="891" w:type="pct"/>
                  <w:vAlign w:val="center"/>
                </w:tcPr>
                <w:p w14:paraId="52B86A9F">
                  <w:pPr>
                    <w:widowControl/>
                    <w:jc w:val="center"/>
                    <w:textAlignment w:val="center"/>
                    <w:rPr>
                      <w:sz w:val="18"/>
                      <w:szCs w:val="18"/>
                    </w:rPr>
                  </w:pPr>
                  <w:r>
                    <w:rPr>
                      <w:kern w:val="0"/>
                      <w:sz w:val="18"/>
                      <w:szCs w:val="18"/>
                      <w:lang w:bidi="ar"/>
                    </w:rPr>
                    <w:t>145.2</w:t>
                  </w:r>
                </w:p>
              </w:tc>
              <w:tc>
                <w:tcPr>
                  <w:tcW w:w="1418" w:type="pct"/>
                  <w:vAlign w:val="center"/>
                </w:tcPr>
                <w:p w14:paraId="07DF4376">
                  <w:pPr>
                    <w:widowControl/>
                    <w:jc w:val="center"/>
                    <w:textAlignment w:val="center"/>
                    <w:rPr>
                      <w:sz w:val="18"/>
                      <w:szCs w:val="18"/>
                    </w:rPr>
                  </w:pPr>
                  <w:r>
                    <w:rPr>
                      <w:kern w:val="0"/>
                      <w:sz w:val="18"/>
                      <w:szCs w:val="18"/>
                      <w:lang w:bidi="ar"/>
                    </w:rPr>
                    <w:t>2</w:t>
                  </w:r>
                </w:p>
              </w:tc>
            </w:tr>
            <w:tr w14:paraId="110F21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615" w:type="pct"/>
                  <w:vAlign w:val="center"/>
                </w:tcPr>
                <w:p w14:paraId="76FF3BD0">
                  <w:pPr>
                    <w:widowControl/>
                    <w:jc w:val="center"/>
                    <w:textAlignment w:val="center"/>
                    <w:rPr>
                      <w:sz w:val="18"/>
                      <w:szCs w:val="18"/>
                    </w:rPr>
                  </w:pPr>
                  <w:r>
                    <w:rPr>
                      <w:rFonts w:hint="eastAsia" w:ascii="宋体" w:hAnsi="宋体" w:cs="宋体"/>
                      <w:kern w:val="0"/>
                      <w:sz w:val="18"/>
                      <w:szCs w:val="18"/>
                      <w:lang w:bidi="ar"/>
                    </w:rPr>
                    <w:t>苯酚</w:t>
                  </w:r>
                </w:p>
              </w:tc>
              <w:tc>
                <w:tcPr>
                  <w:tcW w:w="1074" w:type="pct"/>
                  <w:vAlign w:val="center"/>
                </w:tcPr>
                <w:p w14:paraId="38A67F58">
                  <w:pPr>
                    <w:widowControl/>
                    <w:snapToGrid w:val="0"/>
                    <w:jc w:val="center"/>
                    <w:rPr>
                      <w:sz w:val="18"/>
                      <w:szCs w:val="18"/>
                    </w:rPr>
                  </w:pPr>
                  <w:r>
                    <w:rPr>
                      <w:rFonts w:hint="eastAsia"/>
                      <w:sz w:val="18"/>
                      <w:szCs w:val="18"/>
                    </w:rPr>
                    <w:t>0.027</w:t>
                  </w:r>
                </w:p>
              </w:tc>
              <w:tc>
                <w:tcPr>
                  <w:tcW w:w="891" w:type="pct"/>
                  <w:vAlign w:val="center"/>
                </w:tcPr>
                <w:p w14:paraId="66701248">
                  <w:pPr>
                    <w:widowControl/>
                    <w:jc w:val="center"/>
                    <w:textAlignment w:val="center"/>
                    <w:rPr>
                      <w:sz w:val="18"/>
                      <w:szCs w:val="18"/>
                    </w:rPr>
                  </w:pPr>
                  <w:r>
                    <w:rPr>
                      <w:kern w:val="0"/>
                      <w:sz w:val="18"/>
                      <w:szCs w:val="18"/>
                      <w:lang w:bidi="ar"/>
                    </w:rPr>
                    <w:t>181.9‌</w:t>
                  </w:r>
                </w:p>
              </w:tc>
              <w:tc>
                <w:tcPr>
                  <w:tcW w:w="1418" w:type="pct"/>
                  <w:vAlign w:val="center"/>
                </w:tcPr>
                <w:p w14:paraId="747A40A6">
                  <w:pPr>
                    <w:widowControl/>
                    <w:jc w:val="center"/>
                    <w:textAlignment w:val="center"/>
                    <w:rPr>
                      <w:sz w:val="18"/>
                      <w:szCs w:val="18"/>
                    </w:rPr>
                  </w:pPr>
                  <w:r>
                    <w:rPr>
                      <w:kern w:val="0"/>
                      <w:sz w:val="18"/>
                      <w:szCs w:val="18"/>
                      <w:lang w:bidi="ar"/>
                    </w:rPr>
                    <w:t>2</w:t>
                  </w:r>
                </w:p>
              </w:tc>
            </w:tr>
            <w:tr w14:paraId="286B73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615" w:type="pct"/>
                  <w:vAlign w:val="center"/>
                </w:tcPr>
                <w:p w14:paraId="0C75EBF1">
                  <w:pPr>
                    <w:widowControl/>
                    <w:jc w:val="center"/>
                    <w:textAlignment w:val="center"/>
                    <w:rPr>
                      <w:sz w:val="18"/>
                      <w:szCs w:val="18"/>
                    </w:rPr>
                  </w:pPr>
                  <w:r>
                    <w:rPr>
                      <w:rFonts w:hint="eastAsia" w:ascii="宋体" w:hAnsi="宋体" w:cs="宋体"/>
                      <w:kern w:val="0"/>
                      <w:sz w:val="18"/>
                      <w:szCs w:val="18"/>
                      <w:lang w:bidi="ar"/>
                    </w:rPr>
                    <w:t>苯胺</w:t>
                  </w:r>
                </w:p>
              </w:tc>
              <w:tc>
                <w:tcPr>
                  <w:tcW w:w="1074" w:type="pct"/>
                  <w:vAlign w:val="center"/>
                </w:tcPr>
                <w:p w14:paraId="22E93BF1">
                  <w:pPr>
                    <w:widowControl/>
                    <w:snapToGrid w:val="0"/>
                    <w:jc w:val="center"/>
                    <w:rPr>
                      <w:sz w:val="18"/>
                      <w:szCs w:val="18"/>
                    </w:rPr>
                  </w:pPr>
                  <w:r>
                    <w:rPr>
                      <w:rFonts w:hint="eastAsia"/>
                      <w:sz w:val="18"/>
                      <w:szCs w:val="18"/>
                    </w:rPr>
                    <w:t>0.053-0.133</w:t>
                  </w:r>
                </w:p>
              </w:tc>
              <w:tc>
                <w:tcPr>
                  <w:tcW w:w="891" w:type="pct"/>
                  <w:vAlign w:val="center"/>
                </w:tcPr>
                <w:p w14:paraId="68AD59A6">
                  <w:pPr>
                    <w:widowControl/>
                    <w:jc w:val="center"/>
                    <w:textAlignment w:val="center"/>
                    <w:rPr>
                      <w:sz w:val="18"/>
                      <w:szCs w:val="18"/>
                    </w:rPr>
                  </w:pPr>
                  <w:r>
                    <w:rPr>
                      <w:kern w:val="0"/>
                      <w:sz w:val="18"/>
                      <w:szCs w:val="18"/>
                      <w:lang w:bidi="ar"/>
                    </w:rPr>
                    <w:t>184</w:t>
                  </w:r>
                </w:p>
              </w:tc>
              <w:tc>
                <w:tcPr>
                  <w:tcW w:w="1418" w:type="pct"/>
                  <w:vAlign w:val="center"/>
                </w:tcPr>
                <w:p w14:paraId="5D5531FC">
                  <w:pPr>
                    <w:widowControl/>
                    <w:jc w:val="center"/>
                    <w:textAlignment w:val="center"/>
                    <w:rPr>
                      <w:sz w:val="18"/>
                      <w:szCs w:val="18"/>
                    </w:rPr>
                  </w:pPr>
                  <w:r>
                    <w:rPr>
                      <w:kern w:val="0"/>
                      <w:sz w:val="18"/>
                      <w:szCs w:val="18"/>
                      <w:lang w:bidi="ar"/>
                    </w:rPr>
                    <w:t>2</w:t>
                  </w:r>
                </w:p>
              </w:tc>
            </w:tr>
            <w:tr w14:paraId="7D6415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615" w:type="pct"/>
                  <w:vAlign w:val="center"/>
                </w:tcPr>
                <w:p w14:paraId="188FEFD6">
                  <w:pPr>
                    <w:widowControl/>
                    <w:jc w:val="center"/>
                    <w:textAlignment w:val="center"/>
                    <w:rPr>
                      <w:sz w:val="18"/>
                      <w:szCs w:val="18"/>
                    </w:rPr>
                  </w:pPr>
                  <w:r>
                    <w:rPr>
                      <w:rFonts w:hint="eastAsia" w:ascii="宋体" w:hAnsi="宋体" w:cs="宋体"/>
                      <w:kern w:val="0"/>
                      <w:sz w:val="18"/>
                      <w:szCs w:val="18"/>
                      <w:lang w:bidi="ar"/>
                    </w:rPr>
                    <w:t>β-环柠檬醛</w:t>
                  </w:r>
                </w:p>
              </w:tc>
              <w:tc>
                <w:tcPr>
                  <w:tcW w:w="1074" w:type="pct"/>
                  <w:vAlign w:val="center"/>
                </w:tcPr>
                <w:p w14:paraId="64F0AA6C">
                  <w:pPr>
                    <w:widowControl/>
                    <w:snapToGrid w:val="0"/>
                    <w:jc w:val="center"/>
                    <w:rPr>
                      <w:sz w:val="18"/>
                      <w:szCs w:val="18"/>
                    </w:rPr>
                  </w:pPr>
                  <w:r>
                    <w:rPr>
                      <w:rFonts w:hint="eastAsia"/>
                      <w:sz w:val="18"/>
                      <w:szCs w:val="18"/>
                    </w:rPr>
                    <w:t>0.0235</w:t>
                  </w:r>
                </w:p>
              </w:tc>
              <w:tc>
                <w:tcPr>
                  <w:tcW w:w="891" w:type="pct"/>
                  <w:vAlign w:val="center"/>
                </w:tcPr>
                <w:p w14:paraId="7FC6EE96">
                  <w:pPr>
                    <w:widowControl/>
                    <w:jc w:val="center"/>
                    <w:textAlignment w:val="center"/>
                    <w:rPr>
                      <w:sz w:val="18"/>
                      <w:szCs w:val="18"/>
                    </w:rPr>
                  </w:pPr>
                  <w:r>
                    <w:rPr>
                      <w:kern w:val="0"/>
                      <w:sz w:val="18"/>
                      <w:szCs w:val="18"/>
                      <w:lang w:bidi="ar"/>
                    </w:rPr>
                    <w:t>103~105</w:t>
                  </w:r>
                </w:p>
              </w:tc>
              <w:tc>
                <w:tcPr>
                  <w:tcW w:w="1418" w:type="pct"/>
                  <w:vAlign w:val="center"/>
                </w:tcPr>
                <w:p w14:paraId="0DBBEC47">
                  <w:pPr>
                    <w:widowControl/>
                    <w:jc w:val="center"/>
                    <w:textAlignment w:val="center"/>
                    <w:rPr>
                      <w:sz w:val="18"/>
                      <w:szCs w:val="18"/>
                    </w:rPr>
                  </w:pPr>
                  <w:r>
                    <w:rPr>
                      <w:kern w:val="0"/>
                      <w:sz w:val="18"/>
                      <w:szCs w:val="18"/>
                      <w:lang w:bidi="ar"/>
                    </w:rPr>
                    <w:t>0.5</w:t>
                  </w:r>
                </w:p>
              </w:tc>
            </w:tr>
            <w:tr w14:paraId="440880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615" w:type="pct"/>
                  <w:vAlign w:val="center"/>
                </w:tcPr>
                <w:p w14:paraId="03AB8B16">
                  <w:pPr>
                    <w:widowControl/>
                    <w:jc w:val="center"/>
                    <w:textAlignment w:val="center"/>
                    <w:rPr>
                      <w:sz w:val="18"/>
                      <w:szCs w:val="18"/>
                    </w:rPr>
                  </w:pPr>
                  <w:r>
                    <w:rPr>
                      <w:rFonts w:hint="eastAsia" w:ascii="宋体" w:hAnsi="宋体" w:cs="宋体"/>
                      <w:kern w:val="0"/>
                      <w:sz w:val="18"/>
                      <w:szCs w:val="18"/>
                      <w:lang w:bidi="ar"/>
                    </w:rPr>
                    <w:t>2，4-二溴酚</w:t>
                  </w:r>
                </w:p>
              </w:tc>
              <w:tc>
                <w:tcPr>
                  <w:tcW w:w="1074" w:type="pct"/>
                  <w:vAlign w:val="center"/>
                </w:tcPr>
                <w:p w14:paraId="67038343">
                  <w:pPr>
                    <w:widowControl/>
                    <w:snapToGrid w:val="0"/>
                    <w:jc w:val="center"/>
                    <w:rPr>
                      <w:sz w:val="18"/>
                      <w:szCs w:val="18"/>
                    </w:rPr>
                  </w:pPr>
                  <w:r>
                    <w:rPr>
                      <w:rFonts w:hint="eastAsia"/>
                      <w:sz w:val="18"/>
                      <w:szCs w:val="18"/>
                    </w:rPr>
                    <w:t>0.0667</w:t>
                  </w:r>
                </w:p>
              </w:tc>
              <w:tc>
                <w:tcPr>
                  <w:tcW w:w="891" w:type="pct"/>
                  <w:vAlign w:val="center"/>
                </w:tcPr>
                <w:p w14:paraId="0CCF8AFE">
                  <w:pPr>
                    <w:widowControl/>
                    <w:jc w:val="center"/>
                    <w:textAlignment w:val="center"/>
                    <w:rPr>
                      <w:sz w:val="18"/>
                      <w:szCs w:val="18"/>
                    </w:rPr>
                  </w:pPr>
                  <w:r>
                    <w:rPr>
                      <w:rFonts w:hint="eastAsia"/>
                      <w:kern w:val="0"/>
                      <w:sz w:val="18"/>
                      <w:szCs w:val="18"/>
                      <w:lang w:bidi="ar"/>
                    </w:rPr>
                    <w:t>154</w:t>
                  </w:r>
                </w:p>
              </w:tc>
              <w:tc>
                <w:tcPr>
                  <w:tcW w:w="1418" w:type="pct"/>
                  <w:vAlign w:val="center"/>
                </w:tcPr>
                <w:p w14:paraId="1113EA19">
                  <w:pPr>
                    <w:widowControl/>
                    <w:jc w:val="center"/>
                    <w:textAlignment w:val="center"/>
                    <w:rPr>
                      <w:sz w:val="18"/>
                      <w:szCs w:val="18"/>
                    </w:rPr>
                  </w:pPr>
                  <w:r>
                    <w:rPr>
                      <w:kern w:val="0"/>
                      <w:sz w:val="18"/>
                      <w:szCs w:val="18"/>
                      <w:lang w:bidi="ar"/>
                    </w:rPr>
                    <w:t>0.5</w:t>
                  </w:r>
                </w:p>
              </w:tc>
            </w:tr>
            <w:tr w14:paraId="40E400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615" w:type="pct"/>
                  <w:vAlign w:val="center"/>
                </w:tcPr>
                <w:p w14:paraId="1546AE49">
                  <w:pPr>
                    <w:widowControl/>
                    <w:jc w:val="center"/>
                    <w:textAlignment w:val="center"/>
                    <w:rPr>
                      <w:sz w:val="18"/>
                      <w:szCs w:val="18"/>
                    </w:rPr>
                  </w:pPr>
                  <w:r>
                    <w:rPr>
                      <w:rFonts w:hint="eastAsia" w:ascii="宋体" w:hAnsi="宋体" w:cs="宋体"/>
                      <w:kern w:val="0"/>
                      <w:sz w:val="18"/>
                      <w:szCs w:val="18"/>
                      <w:lang w:bidi="ar"/>
                    </w:rPr>
                    <w:t>1，2-二溴丙烷</w:t>
                  </w:r>
                </w:p>
              </w:tc>
              <w:tc>
                <w:tcPr>
                  <w:tcW w:w="1074" w:type="pct"/>
                  <w:vAlign w:val="center"/>
                </w:tcPr>
                <w:p w14:paraId="5398E41C">
                  <w:pPr>
                    <w:widowControl/>
                    <w:snapToGrid w:val="0"/>
                    <w:jc w:val="center"/>
                    <w:rPr>
                      <w:sz w:val="18"/>
                      <w:szCs w:val="18"/>
                    </w:rPr>
                  </w:pPr>
                  <w:r>
                    <w:rPr>
                      <w:rFonts w:hint="eastAsia"/>
                      <w:sz w:val="18"/>
                      <w:szCs w:val="18"/>
                    </w:rPr>
                    <w:t>1.024</w:t>
                  </w:r>
                </w:p>
              </w:tc>
              <w:tc>
                <w:tcPr>
                  <w:tcW w:w="891" w:type="pct"/>
                  <w:vAlign w:val="center"/>
                </w:tcPr>
                <w:p w14:paraId="2B73EBDA">
                  <w:pPr>
                    <w:widowControl/>
                    <w:jc w:val="center"/>
                    <w:textAlignment w:val="center"/>
                    <w:rPr>
                      <w:sz w:val="18"/>
                      <w:szCs w:val="18"/>
                    </w:rPr>
                  </w:pPr>
                  <w:r>
                    <w:rPr>
                      <w:kern w:val="0"/>
                      <w:sz w:val="18"/>
                      <w:szCs w:val="18"/>
                      <w:lang w:bidi="ar"/>
                    </w:rPr>
                    <w:t>140~142</w:t>
                  </w:r>
                </w:p>
              </w:tc>
              <w:tc>
                <w:tcPr>
                  <w:tcW w:w="1418" w:type="pct"/>
                  <w:vAlign w:val="center"/>
                </w:tcPr>
                <w:p w14:paraId="192BD055">
                  <w:pPr>
                    <w:widowControl/>
                    <w:jc w:val="center"/>
                    <w:textAlignment w:val="center"/>
                    <w:rPr>
                      <w:sz w:val="18"/>
                      <w:szCs w:val="18"/>
                    </w:rPr>
                  </w:pPr>
                  <w:r>
                    <w:rPr>
                      <w:kern w:val="0"/>
                      <w:sz w:val="18"/>
                      <w:szCs w:val="18"/>
                      <w:lang w:bidi="ar"/>
                    </w:rPr>
                    <w:t>0.5</w:t>
                  </w:r>
                </w:p>
              </w:tc>
            </w:tr>
            <w:tr w14:paraId="7CBF34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615" w:type="pct"/>
                  <w:vAlign w:val="center"/>
                </w:tcPr>
                <w:p w14:paraId="060573B3">
                  <w:pPr>
                    <w:widowControl/>
                    <w:jc w:val="center"/>
                    <w:textAlignment w:val="center"/>
                    <w:rPr>
                      <w:sz w:val="18"/>
                      <w:szCs w:val="18"/>
                    </w:rPr>
                  </w:pPr>
                  <w:r>
                    <w:rPr>
                      <w:rFonts w:hint="eastAsia" w:ascii="宋体" w:hAnsi="宋体" w:cs="宋体"/>
                      <w:kern w:val="0"/>
                      <w:sz w:val="18"/>
                      <w:szCs w:val="18"/>
                      <w:lang w:bidi="ar"/>
                    </w:rPr>
                    <w:t>4-溴氟苯</w:t>
                  </w:r>
                </w:p>
              </w:tc>
              <w:tc>
                <w:tcPr>
                  <w:tcW w:w="1074" w:type="pct"/>
                  <w:vAlign w:val="center"/>
                </w:tcPr>
                <w:p w14:paraId="1A345273">
                  <w:pPr>
                    <w:widowControl/>
                    <w:snapToGrid w:val="0"/>
                    <w:jc w:val="center"/>
                    <w:rPr>
                      <w:sz w:val="18"/>
                      <w:szCs w:val="18"/>
                    </w:rPr>
                  </w:pPr>
                  <w:r>
                    <w:rPr>
                      <w:rFonts w:hint="eastAsia"/>
                      <w:sz w:val="18"/>
                      <w:szCs w:val="18"/>
                    </w:rPr>
                    <w:t>0.449</w:t>
                  </w:r>
                </w:p>
              </w:tc>
              <w:tc>
                <w:tcPr>
                  <w:tcW w:w="891" w:type="pct"/>
                  <w:vAlign w:val="center"/>
                </w:tcPr>
                <w:p w14:paraId="644BD6FF">
                  <w:pPr>
                    <w:widowControl/>
                    <w:jc w:val="center"/>
                    <w:textAlignment w:val="center"/>
                    <w:rPr>
                      <w:sz w:val="18"/>
                      <w:szCs w:val="18"/>
                    </w:rPr>
                  </w:pPr>
                  <w:r>
                    <w:rPr>
                      <w:kern w:val="0"/>
                      <w:sz w:val="18"/>
                      <w:szCs w:val="18"/>
                      <w:lang w:bidi="ar"/>
                    </w:rPr>
                    <w:t>15</w:t>
                  </w:r>
                  <w:r>
                    <w:rPr>
                      <w:rFonts w:hint="eastAsia"/>
                      <w:kern w:val="0"/>
                      <w:sz w:val="18"/>
                      <w:szCs w:val="18"/>
                      <w:lang w:bidi="ar"/>
                    </w:rPr>
                    <w:t>2</w:t>
                  </w:r>
                </w:p>
              </w:tc>
              <w:tc>
                <w:tcPr>
                  <w:tcW w:w="1418" w:type="pct"/>
                  <w:vAlign w:val="center"/>
                </w:tcPr>
                <w:p w14:paraId="4C83F0F1">
                  <w:pPr>
                    <w:widowControl/>
                    <w:jc w:val="center"/>
                    <w:textAlignment w:val="center"/>
                    <w:rPr>
                      <w:sz w:val="18"/>
                      <w:szCs w:val="18"/>
                    </w:rPr>
                  </w:pPr>
                  <w:r>
                    <w:rPr>
                      <w:kern w:val="0"/>
                      <w:sz w:val="18"/>
                      <w:szCs w:val="18"/>
                      <w:lang w:bidi="ar"/>
                    </w:rPr>
                    <w:t>0.5</w:t>
                  </w:r>
                </w:p>
              </w:tc>
            </w:tr>
            <w:tr w14:paraId="666CE9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615" w:type="pct"/>
                  <w:vAlign w:val="center"/>
                </w:tcPr>
                <w:p w14:paraId="4E4E025E">
                  <w:pPr>
                    <w:widowControl/>
                    <w:jc w:val="center"/>
                    <w:textAlignment w:val="center"/>
                    <w:rPr>
                      <w:rFonts w:hint="eastAsia" w:ascii="宋体" w:hAnsi="宋体" w:cs="宋体"/>
                      <w:kern w:val="0"/>
                      <w:sz w:val="18"/>
                      <w:szCs w:val="18"/>
                      <w:lang w:bidi="ar"/>
                    </w:rPr>
                  </w:pPr>
                  <w:r>
                    <w:rPr>
                      <w:rFonts w:hint="eastAsia" w:ascii="宋体" w:hAnsi="宋体" w:cs="宋体"/>
                      <w:kern w:val="0"/>
                      <w:sz w:val="18"/>
                      <w:szCs w:val="18"/>
                      <w:lang w:bidi="ar"/>
                    </w:rPr>
                    <w:t>2-异丁基-3-甲氧基吡嗪</w:t>
                  </w:r>
                </w:p>
              </w:tc>
              <w:tc>
                <w:tcPr>
                  <w:tcW w:w="1074" w:type="pct"/>
                  <w:vAlign w:val="center"/>
                </w:tcPr>
                <w:p w14:paraId="21BDB155">
                  <w:pPr>
                    <w:widowControl/>
                    <w:snapToGrid w:val="0"/>
                    <w:jc w:val="center"/>
                    <w:rPr>
                      <w:sz w:val="18"/>
                      <w:szCs w:val="18"/>
                    </w:rPr>
                  </w:pPr>
                  <w:r>
                    <w:rPr>
                      <w:rFonts w:hint="eastAsia"/>
                      <w:sz w:val="18"/>
                      <w:szCs w:val="18"/>
                    </w:rPr>
                    <w:t>0.0403</w:t>
                  </w:r>
                </w:p>
              </w:tc>
              <w:tc>
                <w:tcPr>
                  <w:tcW w:w="891" w:type="pct"/>
                  <w:vAlign w:val="center"/>
                </w:tcPr>
                <w:p w14:paraId="0548D3E9">
                  <w:pPr>
                    <w:widowControl/>
                    <w:jc w:val="center"/>
                    <w:textAlignment w:val="center"/>
                    <w:rPr>
                      <w:sz w:val="18"/>
                      <w:szCs w:val="18"/>
                    </w:rPr>
                  </w:pPr>
                  <w:r>
                    <w:rPr>
                      <w:kern w:val="0"/>
                      <w:sz w:val="18"/>
                      <w:szCs w:val="18"/>
                      <w:lang w:bidi="ar"/>
                    </w:rPr>
                    <w:t>175.8~245.8</w:t>
                  </w:r>
                </w:p>
              </w:tc>
              <w:tc>
                <w:tcPr>
                  <w:tcW w:w="1418" w:type="pct"/>
                  <w:vAlign w:val="center"/>
                </w:tcPr>
                <w:p w14:paraId="55F656CD">
                  <w:pPr>
                    <w:widowControl/>
                    <w:jc w:val="center"/>
                    <w:textAlignment w:val="center"/>
                    <w:rPr>
                      <w:sz w:val="18"/>
                      <w:szCs w:val="18"/>
                    </w:rPr>
                  </w:pPr>
                  <w:r>
                    <w:rPr>
                      <w:kern w:val="0"/>
                      <w:sz w:val="18"/>
                      <w:szCs w:val="18"/>
                      <w:lang w:bidi="ar"/>
                    </w:rPr>
                    <w:t>0.5</w:t>
                  </w:r>
                </w:p>
              </w:tc>
            </w:tr>
            <w:tr w14:paraId="3D451C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615" w:type="pct"/>
                  <w:vAlign w:val="center"/>
                </w:tcPr>
                <w:p w14:paraId="7B435368">
                  <w:pPr>
                    <w:widowControl/>
                    <w:jc w:val="center"/>
                    <w:textAlignment w:val="center"/>
                    <w:rPr>
                      <w:rFonts w:hint="eastAsia" w:ascii="宋体" w:hAnsi="宋体" w:cs="宋体"/>
                      <w:kern w:val="0"/>
                      <w:sz w:val="18"/>
                      <w:szCs w:val="18"/>
                      <w:lang w:bidi="ar"/>
                    </w:rPr>
                  </w:pPr>
                  <w:r>
                    <w:rPr>
                      <w:rFonts w:hint="eastAsia" w:ascii="宋体" w:hAnsi="宋体" w:cs="宋体"/>
                      <w:kern w:val="0"/>
                      <w:sz w:val="18"/>
                      <w:szCs w:val="18"/>
                      <w:lang w:bidi="ar"/>
                    </w:rPr>
                    <w:t>2-异丙基-3-甲氧基吡嗪</w:t>
                  </w:r>
                </w:p>
              </w:tc>
              <w:tc>
                <w:tcPr>
                  <w:tcW w:w="1074" w:type="pct"/>
                  <w:vAlign w:val="center"/>
                </w:tcPr>
                <w:p w14:paraId="60E3BD0F">
                  <w:pPr>
                    <w:widowControl/>
                    <w:snapToGrid w:val="0"/>
                    <w:jc w:val="center"/>
                    <w:rPr>
                      <w:sz w:val="18"/>
                      <w:szCs w:val="18"/>
                    </w:rPr>
                  </w:pPr>
                  <w:r>
                    <w:rPr>
                      <w:rFonts w:hint="eastAsia"/>
                      <w:sz w:val="18"/>
                      <w:szCs w:val="18"/>
                    </w:rPr>
                    <w:t>0.106</w:t>
                  </w:r>
                </w:p>
              </w:tc>
              <w:tc>
                <w:tcPr>
                  <w:tcW w:w="891" w:type="pct"/>
                  <w:vAlign w:val="center"/>
                </w:tcPr>
                <w:p w14:paraId="1BD8C118">
                  <w:pPr>
                    <w:widowControl/>
                    <w:jc w:val="center"/>
                    <w:textAlignment w:val="center"/>
                    <w:rPr>
                      <w:sz w:val="18"/>
                      <w:szCs w:val="18"/>
                    </w:rPr>
                  </w:pPr>
                  <w:r>
                    <w:rPr>
                      <w:rFonts w:hint="eastAsia"/>
                      <w:kern w:val="0"/>
                      <w:sz w:val="18"/>
                      <w:szCs w:val="18"/>
                      <w:lang w:bidi="ar"/>
                    </w:rPr>
                    <w:t>120</w:t>
                  </w:r>
                  <w:r>
                    <w:rPr>
                      <w:kern w:val="0"/>
                      <w:sz w:val="18"/>
                      <w:szCs w:val="18"/>
                      <w:lang w:bidi="ar"/>
                    </w:rPr>
                    <w:t>~</w:t>
                  </w:r>
                  <w:r>
                    <w:rPr>
                      <w:rFonts w:hint="eastAsia"/>
                      <w:kern w:val="0"/>
                      <w:sz w:val="18"/>
                      <w:szCs w:val="18"/>
                      <w:lang w:bidi="ar"/>
                    </w:rPr>
                    <w:t>125</w:t>
                  </w:r>
                </w:p>
              </w:tc>
              <w:tc>
                <w:tcPr>
                  <w:tcW w:w="1418" w:type="pct"/>
                  <w:vAlign w:val="center"/>
                </w:tcPr>
                <w:p w14:paraId="6574649F">
                  <w:pPr>
                    <w:widowControl/>
                    <w:jc w:val="center"/>
                    <w:textAlignment w:val="center"/>
                    <w:rPr>
                      <w:sz w:val="18"/>
                      <w:szCs w:val="18"/>
                    </w:rPr>
                  </w:pPr>
                  <w:r>
                    <w:rPr>
                      <w:kern w:val="0"/>
                      <w:sz w:val="18"/>
                      <w:szCs w:val="18"/>
                      <w:lang w:bidi="ar"/>
                    </w:rPr>
                    <w:t>0.5</w:t>
                  </w:r>
                </w:p>
              </w:tc>
            </w:tr>
            <w:tr w14:paraId="54B224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615" w:type="pct"/>
                  <w:vAlign w:val="center"/>
                </w:tcPr>
                <w:p w14:paraId="1F6BD3CE">
                  <w:pPr>
                    <w:widowControl/>
                    <w:jc w:val="center"/>
                    <w:textAlignment w:val="center"/>
                    <w:rPr>
                      <w:rFonts w:hint="eastAsia" w:ascii="宋体" w:hAnsi="宋体" w:cs="宋体"/>
                      <w:kern w:val="0"/>
                      <w:sz w:val="18"/>
                      <w:szCs w:val="18"/>
                      <w:lang w:bidi="ar"/>
                    </w:rPr>
                  </w:pPr>
                  <w:r>
                    <w:rPr>
                      <w:rFonts w:hint="eastAsia" w:ascii="宋体" w:hAnsi="宋体" w:cs="宋体"/>
                      <w:kern w:val="0"/>
                      <w:sz w:val="18"/>
                      <w:szCs w:val="18"/>
                      <w:lang w:bidi="ar"/>
                    </w:rPr>
                    <w:t>β-紫罗兰酮</w:t>
                  </w:r>
                </w:p>
              </w:tc>
              <w:tc>
                <w:tcPr>
                  <w:tcW w:w="1074" w:type="pct"/>
                  <w:vAlign w:val="center"/>
                </w:tcPr>
                <w:p w14:paraId="06A93D36">
                  <w:pPr>
                    <w:widowControl/>
                    <w:snapToGrid w:val="0"/>
                    <w:jc w:val="center"/>
                    <w:rPr>
                      <w:sz w:val="18"/>
                      <w:szCs w:val="18"/>
                    </w:rPr>
                  </w:pPr>
                  <w:r>
                    <w:rPr>
                      <w:rFonts w:hint="eastAsia"/>
                      <w:sz w:val="18"/>
                      <w:szCs w:val="18"/>
                    </w:rPr>
                    <w:t>0.00013</w:t>
                  </w:r>
                </w:p>
              </w:tc>
              <w:tc>
                <w:tcPr>
                  <w:tcW w:w="891" w:type="pct"/>
                  <w:vAlign w:val="center"/>
                </w:tcPr>
                <w:p w14:paraId="259DFD03">
                  <w:pPr>
                    <w:widowControl/>
                    <w:jc w:val="center"/>
                    <w:textAlignment w:val="center"/>
                    <w:rPr>
                      <w:sz w:val="18"/>
                      <w:szCs w:val="18"/>
                    </w:rPr>
                  </w:pPr>
                  <w:r>
                    <w:rPr>
                      <w:rFonts w:hint="eastAsia"/>
                      <w:kern w:val="0"/>
                      <w:sz w:val="18"/>
                      <w:szCs w:val="18"/>
                      <w:lang w:bidi="ar"/>
                    </w:rPr>
                    <w:t>126</w:t>
                  </w:r>
                  <w:r>
                    <w:rPr>
                      <w:kern w:val="0"/>
                      <w:sz w:val="18"/>
                      <w:szCs w:val="18"/>
                      <w:lang w:bidi="ar"/>
                    </w:rPr>
                    <w:t>~</w:t>
                  </w:r>
                  <w:r>
                    <w:rPr>
                      <w:rFonts w:hint="eastAsia"/>
                      <w:kern w:val="0"/>
                      <w:sz w:val="18"/>
                      <w:szCs w:val="18"/>
                      <w:lang w:bidi="ar"/>
                    </w:rPr>
                    <w:t>128</w:t>
                  </w:r>
                </w:p>
              </w:tc>
              <w:tc>
                <w:tcPr>
                  <w:tcW w:w="1418" w:type="pct"/>
                  <w:vAlign w:val="center"/>
                </w:tcPr>
                <w:p w14:paraId="39001F00">
                  <w:pPr>
                    <w:widowControl/>
                    <w:jc w:val="center"/>
                    <w:textAlignment w:val="center"/>
                    <w:rPr>
                      <w:sz w:val="18"/>
                      <w:szCs w:val="18"/>
                    </w:rPr>
                  </w:pPr>
                  <w:r>
                    <w:rPr>
                      <w:kern w:val="0"/>
                      <w:sz w:val="18"/>
                      <w:szCs w:val="18"/>
                      <w:lang w:bidi="ar"/>
                    </w:rPr>
                    <w:t>0.5</w:t>
                  </w:r>
                </w:p>
              </w:tc>
            </w:tr>
            <w:tr w14:paraId="7681FD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615" w:type="pct"/>
                  <w:vAlign w:val="center"/>
                </w:tcPr>
                <w:p w14:paraId="51370833">
                  <w:pPr>
                    <w:widowControl/>
                    <w:jc w:val="center"/>
                    <w:textAlignment w:val="center"/>
                    <w:rPr>
                      <w:rFonts w:hint="eastAsia" w:ascii="宋体" w:hAnsi="宋体" w:cs="宋体"/>
                      <w:kern w:val="0"/>
                      <w:sz w:val="18"/>
                      <w:szCs w:val="18"/>
                      <w:lang w:bidi="ar"/>
                    </w:rPr>
                  </w:pPr>
                  <w:r>
                    <w:rPr>
                      <w:rFonts w:hint="eastAsia" w:ascii="宋体" w:hAnsi="宋体" w:cs="宋体"/>
                      <w:kern w:val="0"/>
                      <w:sz w:val="18"/>
                      <w:szCs w:val="18"/>
                      <w:lang w:bidi="ar"/>
                    </w:rPr>
                    <w:t>N-亚硝基正丙胺-D14</w:t>
                  </w:r>
                </w:p>
              </w:tc>
              <w:tc>
                <w:tcPr>
                  <w:tcW w:w="1074" w:type="pct"/>
                  <w:vAlign w:val="center"/>
                </w:tcPr>
                <w:p w14:paraId="47425B34">
                  <w:pPr>
                    <w:widowControl/>
                    <w:snapToGrid w:val="0"/>
                    <w:jc w:val="center"/>
                    <w:rPr>
                      <w:sz w:val="18"/>
                      <w:szCs w:val="18"/>
                    </w:rPr>
                  </w:pPr>
                  <w:r>
                    <w:rPr>
                      <w:rFonts w:hint="eastAsia"/>
                      <w:sz w:val="18"/>
                      <w:szCs w:val="18"/>
                    </w:rPr>
                    <w:t>3.37-3.43</w:t>
                  </w:r>
                </w:p>
              </w:tc>
              <w:tc>
                <w:tcPr>
                  <w:tcW w:w="891" w:type="pct"/>
                  <w:vAlign w:val="center"/>
                </w:tcPr>
                <w:p w14:paraId="57B1A917">
                  <w:pPr>
                    <w:widowControl/>
                    <w:jc w:val="center"/>
                    <w:textAlignment w:val="center"/>
                    <w:rPr>
                      <w:sz w:val="18"/>
                      <w:szCs w:val="18"/>
                    </w:rPr>
                  </w:pPr>
                  <w:r>
                    <w:rPr>
                      <w:kern w:val="0"/>
                      <w:sz w:val="18"/>
                      <w:szCs w:val="18"/>
                      <w:lang w:bidi="ar"/>
                    </w:rPr>
                    <w:t>206</w:t>
                  </w:r>
                </w:p>
              </w:tc>
              <w:tc>
                <w:tcPr>
                  <w:tcW w:w="1418" w:type="pct"/>
                  <w:vAlign w:val="center"/>
                </w:tcPr>
                <w:p w14:paraId="55B0B0F8">
                  <w:pPr>
                    <w:widowControl/>
                    <w:jc w:val="center"/>
                    <w:textAlignment w:val="center"/>
                    <w:rPr>
                      <w:sz w:val="18"/>
                      <w:szCs w:val="18"/>
                    </w:rPr>
                  </w:pPr>
                  <w:r>
                    <w:rPr>
                      <w:kern w:val="0"/>
                      <w:sz w:val="18"/>
                      <w:szCs w:val="18"/>
                      <w:lang w:bidi="ar"/>
                    </w:rPr>
                    <w:t>0.5</w:t>
                  </w:r>
                </w:p>
              </w:tc>
            </w:tr>
            <w:tr w14:paraId="04A7BF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615" w:type="pct"/>
                  <w:vAlign w:val="center"/>
                </w:tcPr>
                <w:p w14:paraId="73DC5975">
                  <w:pPr>
                    <w:widowControl/>
                    <w:jc w:val="center"/>
                    <w:textAlignment w:val="center"/>
                    <w:rPr>
                      <w:rFonts w:hint="eastAsia" w:ascii="宋体" w:hAnsi="宋体" w:cs="宋体"/>
                      <w:kern w:val="0"/>
                      <w:sz w:val="18"/>
                      <w:szCs w:val="18"/>
                      <w:lang w:bidi="ar"/>
                    </w:rPr>
                  </w:pPr>
                  <w:r>
                    <w:rPr>
                      <w:rFonts w:hint="eastAsia" w:ascii="宋体" w:hAnsi="宋体" w:cs="宋体"/>
                      <w:kern w:val="0"/>
                      <w:sz w:val="18"/>
                      <w:szCs w:val="18"/>
                      <w:lang w:bidi="ar"/>
                    </w:rPr>
                    <w:t>2,4,6-三氯苯甲醚</w:t>
                  </w:r>
                </w:p>
              </w:tc>
              <w:tc>
                <w:tcPr>
                  <w:tcW w:w="1074" w:type="pct"/>
                  <w:vAlign w:val="center"/>
                </w:tcPr>
                <w:p w14:paraId="6760D11E">
                  <w:pPr>
                    <w:widowControl/>
                    <w:snapToGrid w:val="0"/>
                    <w:jc w:val="center"/>
                    <w:rPr>
                      <w:sz w:val="18"/>
                      <w:szCs w:val="18"/>
                    </w:rPr>
                  </w:pPr>
                  <w:r>
                    <w:rPr>
                      <w:rFonts w:hint="eastAsia"/>
                      <w:sz w:val="18"/>
                      <w:szCs w:val="18"/>
                    </w:rPr>
                    <w:t>0.00581</w:t>
                  </w:r>
                </w:p>
              </w:tc>
              <w:tc>
                <w:tcPr>
                  <w:tcW w:w="891" w:type="pct"/>
                  <w:vAlign w:val="center"/>
                </w:tcPr>
                <w:p w14:paraId="0843503B">
                  <w:pPr>
                    <w:widowControl/>
                    <w:jc w:val="center"/>
                    <w:textAlignment w:val="center"/>
                    <w:rPr>
                      <w:sz w:val="18"/>
                      <w:szCs w:val="18"/>
                    </w:rPr>
                  </w:pPr>
                  <w:r>
                    <w:rPr>
                      <w:rFonts w:hint="eastAsia"/>
                      <w:kern w:val="0"/>
                      <w:sz w:val="18"/>
                      <w:szCs w:val="18"/>
                      <w:lang w:bidi="ar"/>
                    </w:rPr>
                    <w:t>132</w:t>
                  </w:r>
                </w:p>
              </w:tc>
              <w:tc>
                <w:tcPr>
                  <w:tcW w:w="1418" w:type="pct"/>
                  <w:vAlign w:val="center"/>
                </w:tcPr>
                <w:p w14:paraId="1969A33B">
                  <w:pPr>
                    <w:widowControl/>
                    <w:jc w:val="center"/>
                    <w:textAlignment w:val="center"/>
                    <w:rPr>
                      <w:sz w:val="18"/>
                      <w:szCs w:val="18"/>
                    </w:rPr>
                  </w:pPr>
                  <w:r>
                    <w:rPr>
                      <w:kern w:val="0"/>
                      <w:sz w:val="18"/>
                      <w:szCs w:val="18"/>
                      <w:lang w:bidi="ar"/>
                    </w:rPr>
                    <w:t>0.5</w:t>
                  </w:r>
                </w:p>
              </w:tc>
            </w:tr>
            <w:tr w14:paraId="7A0CCA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615" w:type="pct"/>
                  <w:vAlign w:val="center"/>
                </w:tcPr>
                <w:p w14:paraId="327C1CAE">
                  <w:pPr>
                    <w:widowControl/>
                    <w:jc w:val="center"/>
                    <w:textAlignment w:val="center"/>
                    <w:rPr>
                      <w:rFonts w:hint="eastAsia" w:ascii="宋体" w:hAnsi="宋体" w:cs="宋体"/>
                      <w:kern w:val="0"/>
                      <w:sz w:val="18"/>
                      <w:szCs w:val="18"/>
                      <w:lang w:bidi="ar"/>
                    </w:rPr>
                  </w:pPr>
                  <w:r>
                    <w:rPr>
                      <w:rFonts w:hint="eastAsia" w:ascii="宋体" w:hAnsi="宋体" w:cs="宋体"/>
                      <w:kern w:val="0"/>
                      <w:sz w:val="18"/>
                      <w:szCs w:val="18"/>
                      <w:lang w:bidi="ar"/>
                    </w:rPr>
                    <w:t>2,3,6-三氯苯甲醚</w:t>
                  </w:r>
                </w:p>
              </w:tc>
              <w:tc>
                <w:tcPr>
                  <w:tcW w:w="1074" w:type="pct"/>
                  <w:vAlign w:val="center"/>
                </w:tcPr>
                <w:p w14:paraId="5E6510A8">
                  <w:pPr>
                    <w:widowControl/>
                    <w:snapToGrid w:val="0"/>
                    <w:jc w:val="center"/>
                    <w:rPr>
                      <w:sz w:val="18"/>
                      <w:szCs w:val="18"/>
                    </w:rPr>
                  </w:pPr>
                  <w:r>
                    <w:rPr>
                      <w:rFonts w:hint="eastAsia"/>
                      <w:sz w:val="18"/>
                      <w:szCs w:val="18"/>
                    </w:rPr>
                    <w:t>0.0667</w:t>
                  </w:r>
                </w:p>
              </w:tc>
              <w:tc>
                <w:tcPr>
                  <w:tcW w:w="891" w:type="pct"/>
                  <w:vAlign w:val="center"/>
                </w:tcPr>
                <w:p w14:paraId="663CE7E1">
                  <w:pPr>
                    <w:widowControl/>
                    <w:jc w:val="center"/>
                    <w:textAlignment w:val="center"/>
                    <w:rPr>
                      <w:sz w:val="18"/>
                      <w:szCs w:val="18"/>
                    </w:rPr>
                  </w:pPr>
                  <w:r>
                    <w:rPr>
                      <w:kern w:val="0"/>
                      <w:sz w:val="18"/>
                      <w:szCs w:val="18"/>
                      <w:lang w:bidi="ar"/>
                    </w:rPr>
                    <w:t>226.6~296.6</w:t>
                  </w:r>
                </w:p>
              </w:tc>
              <w:tc>
                <w:tcPr>
                  <w:tcW w:w="1418" w:type="pct"/>
                  <w:vAlign w:val="center"/>
                </w:tcPr>
                <w:p w14:paraId="49987D54">
                  <w:pPr>
                    <w:widowControl/>
                    <w:jc w:val="center"/>
                    <w:textAlignment w:val="center"/>
                    <w:rPr>
                      <w:sz w:val="18"/>
                      <w:szCs w:val="18"/>
                    </w:rPr>
                  </w:pPr>
                  <w:r>
                    <w:rPr>
                      <w:kern w:val="0"/>
                      <w:sz w:val="18"/>
                      <w:szCs w:val="18"/>
                      <w:lang w:bidi="ar"/>
                    </w:rPr>
                    <w:t>0.5</w:t>
                  </w:r>
                </w:p>
              </w:tc>
            </w:tr>
            <w:tr w14:paraId="3BEF44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615" w:type="pct"/>
                  <w:vAlign w:val="center"/>
                </w:tcPr>
                <w:p w14:paraId="57B3C3FC">
                  <w:pPr>
                    <w:widowControl/>
                    <w:jc w:val="center"/>
                    <w:textAlignment w:val="center"/>
                    <w:rPr>
                      <w:rFonts w:hint="eastAsia" w:ascii="宋体" w:hAnsi="宋体" w:cs="宋体"/>
                      <w:kern w:val="0"/>
                      <w:sz w:val="18"/>
                      <w:szCs w:val="18"/>
                      <w:lang w:bidi="ar"/>
                    </w:rPr>
                  </w:pPr>
                  <w:r>
                    <w:rPr>
                      <w:rFonts w:hint="eastAsia" w:ascii="宋体" w:hAnsi="宋体" w:cs="宋体"/>
                      <w:kern w:val="0"/>
                      <w:sz w:val="18"/>
                      <w:szCs w:val="18"/>
                      <w:lang w:bidi="ar"/>
                    </w:rPr>
                    <w:t>2,3,4-三氯苯甲醚</w:t>
                  </w:r>
                </w:p>
              </w:tc>
              <w:tc>
                <w:tcPr>
                  <w:tcW w:w="1074" w:type="pct"/>
                  <w:vAlign w:val="center"/>
                </w:tcPr>
                <w:p w14:paraId="26726C98">
                  <w:pPr>
                    <w:widowControl/>
                    <w:snapToGrid w:val="0"/>
                    <w:jc w:val="center"/>
                    <w:rPr>
                      <w:sz w:val="18"/>
                      <w:szCs w:val="18"/>
                    </w:rPr>
                  </w:pPr>
                  <w:r>
                    <w:rPr>
                      <w:rFonts w:hint="eastAsia"/>
                      <w:sz w:val="18"/>
                      <w:szCs w:val="18"/>
                    </w:rPr>
                    <w:t>0.0667</w:t>
                  </w:r>
                </w:p>
              </w:tc>
              <w:tc>
                <w:tcPr>
                  <w:tcW w:w="891" w:type="pct"/>
                  <w:vAlign w:val="center"/>
                </w:tcPr>
                <w:p w14:paraId="0EBCD917">
                  <w:pPr>
                    <w:widowControl/>
                    <w:jc w:val="center"/>
                    <w:textAlignment w:val="center"/>
                    <w:rPr>
                      <w:sz w:val="18"/>
                      <w:szCs w:val="18"/>
                    </w:rPr>
                  </w:pPr>
                  <w:r>
                    <w:rPr>
                      <w:kern w:val="0"/>
                      <w:sz w:val="18"/>
                      <w:szCs w:val="18"/>
                      <w:lang w:bidi="ar"/>
                    </w:rPr>
                    <w:t>226.6~296.6</w:t>
                  </w:r>
                </w:p>
              </w:tc>
              <w:tc>
                <w:tcPr>
                  <w:tcW w:w="1418" w:type="pct"/>
                  <w:vAlign w:val="center"/>
                </w:tcPr>
                <w:p w14:paraId="7DE100F9">
                  <w:pPr>
                    <w:widowControl/>
                    <w:jc w:val="center"/>
                    <w:textAlignment w:val="center"/>
                    <w:rPr>
                      <w:sz w:val="18"/>
                      <w:szCs w:val="18"/>
                    </w:rPr>
                  </w:pPr>
                  <w:r>
                    <w:rPr>
                      <w:kern w:val="0"/>
                      <w:sz w:val="18"/>
                      <w:szCs w:val="18"/>
                      <w:lang w:bidi="ar"/>
                    </w:rPr>
                    <w:t>0.5</w:t>
                  </w:r>
                </w:p>
              </w:tc>
            </w:tr>
            <w:tr w14:paraId="4691C5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581" w:type="pct"/>
                  <w:gridSpan w:val="3"/>
                  <w:vAlign w:val="center"/>
                </w:tcPr>
                <w:p w14:paraId="6521AA25">
                  <w:pPr>
                    <w:widowControl/>
                    <w:jc w:val="center"/>
                    <w:textAlignment w:val="center"/>
                    <w:rPr>
                      <w:sz w:val="18"/>
                      <w:szCs w:val="18"/>
                    </w:rPr>
                  </w:pPr>
                  <w:r>
                    <w:rPr>
                      <w:rFonts w:hint="eastAsia"/>
                      <w:sz w:val="18"/>
                      <w:szCs w:val="18"/>
                    </w:rPr>
                    <w:t>合计</w:t>
                  </w:r>
                </w:p>
              </w:tc>
              <w:tc>
                <w:tcPr>
                  <w:tcW w:w="1418" w:type="pct"/>
                  <w:vAlign w:val="center"/>
                </w:tcPr>
                <w:p w14:paraId="57893A63">
                  <w:pPr>
                    <w:widowControl/>
                    <w:jc w:val="center"/>
                    <w:textAlignment w:val="center"/>
                    <w:rPr>
                      <w:rFonts w:hint="default" w:eastAsia="宋体"/>
                      <w:sz w:val="18"/>
                      <w:szCs w:val="18"/>
                      <w:lang w:val="en-US" w:eastAsia="zh-CN"/>
                    </w:rPr>
                  </w:pPr>
                  <w:r>
                    <w:rPr>
                      <w:rFonts w:hint="eastAsia"/>
                      <w:sz w:val="18"/>
                      <w:szCs w:val="18"/>
                    </w:rPr>
                    <w:t>3</w:t>
                  </w:r>
                  <w:r>
                    <w:rPr>
                      <w:rFonts w:hint="eastAsia"/>
                      <w:sz w:val="18"/>
                      <w:szCs w:val="18"/>
                      <w:lang w:val="en-US" w:eastAsia="zh-CN"/>
                    </w:rPr>
                    <w:t>68</w:t>
                  </w:r>
                </w:p>
              </w:tc>
            </w:tr>
          </w:tbl>
          <w:p w14:paraId="0FB96AA0">
            <w:pPr>
              <w:widowControl/>
              <w:shd w:val="clear" w:color="auto" w:fill="FFFFFF"/>
              <w:spacing w:line="360" w:lineRule="auto"/>
              <w:ind w:firstLine="420" w:firstLineChars="200"/>
              <w:jc w:val="left"/>
            </w:pPr>
            <w:r>
              <w:rPr>
                <w:rFonts w:hint="eastAsia"/>
                <w:color w:val="0000FF"/>
              </w:rPr>
              <w:t>实验研发及检测分析过程中挥发产生有机废气的主要试剂消耗量为 0.</w:t>
            </w:r>
            <w:r>
              <w:rPr>
                <w:rFonts w:hint="eastAsia"/>
                <w:color w:val="0000FF"/>
                <w:lang w:val="en-US" w:eastAsia="zh-CN"/>
              </w:rPr>
              <w:t>368</w:t>
            </w:r>
            <w:r>
              <w:rPr>
                <w:rFonts w:hint="eastAsia"/>
                <w:color w:val="0000FF"/>
              </w:rPr>
              <w:t>t/a，类比同类企业（常州谦龙医药科技有限公司标准物质研发中心项目），试剂中易挥发量以用量的20%计，</w:t>
            </w:r>
            <w:r>
              <w:rPr>
                <w:rFonts w:hint="eastAsia"/>
              </w:rPr>
              <w:t>则本项目产生的有机废气约为</w:t>
            </w:r>
            <w:r>
              <w:rPr>
                <w:rFonts w:hint="eastAsia"/>
                <w:lang w:eastAsia="zh-CN"/>
              </w:rPr>
              <w:t>0.0736</w:t>
            </w:r>
            <w:r>
              <w:rPr>
                <w:rFonts w:hint="eastAsia"/>
              </w:rPr>
              <w:t>t/a（全厂有机废气以非甲烷总烃计），有机废气中二甲苯产生量为0.0012t/a，甲醇产生量为0.052t/a。本项目根据研发及检测需要分别在通风橱或实验台上完成实验，通风橱采用抽风系统收集废气，实验台采用万向集气罩进行收集，本项目研发及检测过程中产生的各类有机废气均经收集+水喷淋+除雾器+二级活性炭吸附处置后通过15米高排气筒（DA001）排放。由于本项目酚类、苯胺类、苯乙烯用量极少，且实验过程较短，废气经有效处置后排放量更小，可忽略不计，故本项目不进行定量分析。</w:t>
            </w:r>
          </w:p>
          <w:p w14:paraId="3BE723B6">
            <w:pPr>
              <w:widowControl/>
              <w:shd w:val="clear" w:color="auto" w:fill="FFFFFF"/>
              <w:spacing w:line="360" w:lineRule="auto"/>
              <w:ind w:firstLine="420" w:firstLineChars="200"/>
              <w:jc w:val="left"/>
            </w:pPr>
            <w:r>
              <w:rPr>
                <w:rFonts w:hint="eastAsia"/>
              </w:rPr>
              <w:t>B、酸性废气</w:t>
            </w:r>
          </w:p>
          <w:p w14:paraId="69189DA8">
            <w:pPr>
              <w:widowControl/>
              <w:shd w:val="clear" w:color="auto" w:fill="FFFFFF"/>
              <w:spacing w:line="360" w:lineRule="auto"/>
              <w:ind w:firstLine="420" w:firstLineChars="200"/>
              <w:jc w:val="left"/>
            </w:pPr>
            <w:r>
              <w:rPr>
                <w:rFonts w:hint="eastAsia"/>
              </w:rPr>
              <w:t>本项目硝酸使用量0.004t/a；硫酸使用量0.004t/a；盐酸使用量0.006t/a；在试剂添加过程中会挥发少量的废气，在通风橱中收集</w:t>
            </w:r>
            <w:bookmarkStart w:id="16" w:name="OLE_LINK4"/>
            <w:r>
              <w:rPr>
                <w:rFonts w:hint="eastAsia"/>
              </w:rPr>
              <w:t>+水喷淋+除雾器+二级活性炭吸附处置后通过15米高排气筒（DA001）排放。</w:t>
            </w:r>
            <w:bookmarkEnd w:id="16"/>
            <w:r>
              <w:rPr>
                <w:rFonts w:hint="eastAsia"/>
              </w:rPr>
              <w:t>由于本项目氮氧化物、硫酸雾、氯化氢产生量极少，且废气经有效处置后排放量更小，可忽略不计，故本项目不进行定量分析。</w:t>
            </w:r>
          </w:p>
          <w:p w14:paraId="38FAD7CE">
            <w:pPr>
              <w:widowControl/>
              <w:shd w:val="clear" w:color="auto" w:fill="FFFFFF"/>
              <w:spacing w:line="360" w:lineRule="auto"/>
              <w:ind w:firstLine="420" w:firstLineChars="200"/>
              <w:jc w:val="left"/>
            </w:pPr>
            <w:r>
              <w:rPr>
                <w:rFonts w:hint="eastAsia"/>
              </w:rPr>
              <w:t xml:space="preserve">C、氨气 </w:t>
            </w:r>
          </w:p>
          <w:p w14:paraId="0A35C5AB">
            <w:pPr>
              <w:widowControl/>
              <w:shd w:val="clear" w:color="auto" w:fill="FFFFFF"/>
              <w:spacing w:line="360" w:lineRule="auto"/>
              <w:ind w:firstLine="420" w:firstLineChars="200"/>
              <w:jc w:val="left"/>
            </w:pPr>
            <w:r>
              <w:rPr>
                <w:rFonts w:hint="eastAsia"/>
              </w:rPr>
              <w:t>本项目使用氨水 0.0455t/a、三乙醇胺 0.002t/a，在试剂添加过程中会挥发少量的废气，根据类比分析，挥发量分别取 40%、10%，则氨气产生量分别为 0.0182t/a、0.0002t/a，共计0.0184t/a，在通风橱中收集后经水喷淋+除雾器+二级活性炭吸附处置后通过15米高排气筒（DA001）排放。</w:t>
            </w:r>
          </w:p>
          <w:p w14:paraId="4BECDDB4">
            <w:pPr>
              <w:widowControl/>
              <w:shd w:val="clear" w:color="auto" w:fill="FFFFFF"/>
              <w:spacing w:line="360" w:lineRule="auto"/>
              <w:ind w:firstLine="420" w:firstLineChars="200"/>
              <w:jc w:val="left"/>
            </w:pPr>
            <w:r>
              <w:rPr>
                <w:rFonts w:ascii="Cambria Math" w:hAnsi="Cambria Math" w:cs="Cambria Math"/>
              </w:rPr>
              <w:t>②</w:t>
            </w:r>
            <w:r>
              <w:t xml:space="preserve">危废库贮存废气 </w:t>
            </w:r>
          </w:p>
          <w:p w14:paraId="59021F27">
            <w:pPr>
              <w:widowControl/>
              <w:shd w:val="clear" w:color="auto" w:fill="FFFFFF"/>
              <w:spacing w:line="360" w:lineRule="auto"/>
              <w:ind w:firstLine="420" w:firstLineChars="200"/>
              <w:jc w:val="left"/>
            </w:pPr>
            <w:r>
              <w:t>本项目设置一座危废库，用于贮存实验研发及检测过程产生的各种危废，危废库内暂存的实验废液、废包装</w:t>
            </w:r>
            <w:r>
              <w:rPr>
                <w:rFonts w:hint="eastAsia"/>
              </w:rPr>
              <w:t>、废活性炭</w:t>
            </w:r>
            <w:r>
              <w:t>等危废，会产生有机废气（以非甲烷总烃计），产生量参照美国环保局网站 AP-42空气排放因子汇编“废物处置-工业固废处置-储存-容器逃逸排放”工序的非甲烷总烃产生因子2.22×102磅/1000个55加仑容器·年，折算为非甲烷总烃排放系数为 100.7kg/200t 固废·年，即 0.5035kg/t 固废·年，项目危废仓库贮存涉VOCs危险废物</w:t>
            </w:r>
            <w:r>
              <w:rPr>
                <w:color w:val="auto"/>
              </w:rPr>
              <w:t>量为</w:t>
            </w:r>
            <w:r>
              <w:rPr>
                <w:rFonts w:hint="eastAsia"/>
                <w:color w:val="auto"/>
                <w:lang w:eastAsia="zh-CN"/>
              </w:rPr>
              <w:t>8.5735</w:t>
            </w:r>
            <w:r>
              <w:rPr>
                <w:color w:val="auto"/>
              </w:rPr>
              <w:t>t，</w:t>
            </w:r>
            <w:r>
              <w:rPr>
                <w:color w:val="auto"/>
              </w:rPr>
              <w:t>则非甲烷总烃</w:t>
            </w:r>
            <w:r>
              <w:rPr>
                <w:color w:val="auto"/>
              </w:rPr>
              <w:t>产生量 0.0</w:t>
            </w:r>
            <w:r>
              <w:rPr>
                <w:rFonts w:hint="eastAsia"/>
                <w:color w:val="auto"/>
              </w:rPr>
              <w:t>0</w:t>
            </w:r>
            <w:r>
              <w:rPr>
                <w:rFonts w:hint="eastAsia"/>
                <w:color w:val="auto"/>
                <w:lang w:val="en-US" w:eastAsia="zh-CN"/>
              </w:rPr>
              <w:t>4</w:t>
            </w:r>
            <w:r>
              <w:rPr>
                <w:color w:val="auto"/>
              </w:rPr>
              <w:t>t/a。</w:t>
            </w:r>
            <w:r>
              <w:rPr>
                <w:color w:val="auto"/>
              </w:rPr>
              <w:t>该废气经密闭负压收集后由“活性炭吸附”装置处理后</w:t>
            </w:r>
            <w:r>
              <w:t>通过一根 1</w:t>
            </w:r>
            <w:r>
              <w:rPr>
                <w:rFonts w:hint="eastAsia"/>
              </w:rPr>
              <w:t>5</w:t>
            </w:r>
            <w:r>
              <w:t>m 高的排气筒（DA0</w:t>
            </w:r>
            <w:r>
              <w:rPr>
                <w:rFonts w:hint="eastAsia"/>
              </w:rPr>
              <w:t>02</w:t>
            </w:r>
            <w:r>
              <w:t>）排放。危废仓库废气密闭收集，收集效率取90%，采用活性炭吸附装置处理，处理效率取7</w:t>
            </w:r>
            <w:r>
              <w:rPr>
                <w:rFonts w:hint="eastAsia"/>
              </w:rPr>
              <w:t>0</w:t>
            </w:r>
            <w:r>
              <w:t>%。</w:t>
            </w:r>
          </w:p>
          <w:p w14:paraId="4171F010">
            <w:pPr>
              <w:widowControl/>
              <w:shd w:val="clear" w:color="auto" w:fill="FFFFFF"/>
              <w:spacing w:line="360" w:lineRule="auto"/>
              <w:ind w:firstLine="420" w:firstLineChars="200"/>
              <w:jc w:val="left"/>
            </w:pPr>
            <w:r>
              <w:rPr>
                <w:rFonts w:hint="eastAsia"/>
              </w:rPr>
              <w:t>本项目废气收集、处理及排放方式情况见下表。</w:t>
            </w:r>
          </w:p>
          <w:p w14:paraId="4B1367EF">
            <w:pPr>
              <w:adjustRightInd w:val="0"/>
              <w:snapToGrid w:val="0"/>
              <w:jc w:val="center"/>
              <w:rPr>
                <w:b/>
                <w:bCs/>
                <w:kern w:val="0"/>
                <w:szCs w:val="21"/>
              </w:rPr>
            </w:pPr>
            <w:r>
              <w:rPr>
                <w:b/>
                <w:bCs/>
                <w:kern w:val="0"/>
                <w:szCs w:val="21"/>
              </w:rPr>
              <w:t>表4-</w:t>
            </w:r>
            <w:r>
              <w:rPr>
                <w:rFonts w:hint="eastAsia"/>
                <w:b/>
                <w:bCs/>
                <w:kern w:val="0"/>
                <w:szCs w:val="21"/>
              </w:rPr>
              <w:t>2</w:t>
            </w:r>
            <w:r>
              <w:rPr>
                <w:b/>
                <w:bCs/>
                <w:kern w:val="0"/>
                <w:szCs w:val="21"/>
              </w:rPr>
              <w:t xml:space="preserve"> 废气源强核算、收集、处理、排放方式情况一览表</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2"/>
              <w:gridCol w:w="455"/>
              <w:gridCol w:w="649"/>
              <w:gridCol w:w="711"/>
              <w:gridCol w:w="1965"/>
              <w:gridCol w:w="660"/>
              <w:gridCol w:w="447"/>
              <w:gridCol w:w="768"/>
              <w:gridCol w:w="495"/>
              <w:gridCol w:w="705"/>
              <w:gridCol w:w="661"/>
              <w:gridCol w:w="747"/>
            </w:tblGrid>
            <w:tr w14:paraId="4C3471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318" w:type="pct"/>
                  <w:vMerge w:val="restart"/>
                  <w:tcBorders>
                    <w:tl2br w:val="nil"/>
                    <w:tr2bl w:val="nil"/>
                  </w:tcBorders>
                  <w:vAlign w:val="center"/>
                </w:tcPr>
                <w:p w14:paraId="428718A9">
                  <w:pPr>
                    <w:adjustRightInd w:val="0"/>
                    <w:snapToGrid w:val="0"/>
                    <w:jc w:val="center"/>
                    <w:rPr>
                      <w:b/>
                      <w:bCs/>
                      <w:sz w:val="18"/>
                      <w:szCs w:val="18"/>
                    </w:rPr>
                  </w:pPr>
                  <w:r>
                    <w:rPr>
                      <w:b/>
                      <w:bCs/>
                      <w:sz w:val="18"/>
                      <w:szCs w:val="18"/>
                    </w:rPr>
                    <w:t>污染源</w:t>
                  </w:r>
                </w:p>
              </w:tc>
              <w:tc>
                <w:tcPr>
                  <w:tcW w:w="257" w:type="pct"/>
                  <w:vMerge w:val="restart"/>
                  <w:tcBorders>
                    <w:tl2br w:val="nil"/>
                    <w:tr2bl w:val="nil"/>
                  </w:tcBorders>
                  <w:vAlign w:val="center"/>
                </w:tcPr>
                <w:p w14:paraId="53C9E741">
                  <w:pPr>
                    <w:adjustRightInd w:val="0"/>
                    <w:snapToGrid w:val="0"/>
                    <w:jc w:val="center"/>
                    <w:rPr>
                      <w:b/>
                      <w:bCs/>
                      <w:sz w:val="18"/>
                      <w:szCs w:val="18"/>
                    </w:rPr>
                  </w:pPr>
                  <w:r>
                    <w:rPr>
                      <w:b/>
                      <w:bCs/>
                      <w:sz w:val="18"/>
                      <w:szCs w:val="18"/>
                    </w:rPr>
                    <w:t>污染源</w:t>
                  </w:r>
                </w:p>
                <w:p w14:paraId="03B99CFB">
                  <w:pPr>
                    <w:adjustRightInd w:val="0"/>
                    <w:snapToGrid w:val="0"/>
                    <w:jc w:val="center"/>
                    <w:rPr>
                      <w:b/>
                      <w:bCs/>
                      <w:sz w:val="18"/>
                      <w:szCs w:val="18"/>
                    </w:rPr>
                  </w:pPr>
                  <w:r>
                    <w:rPr>
                      <w:b/>
                      <w:bCs/>
                      <w:sz w:val="18"/>
                      <w:szCs w:val="18"/>
                    </w:rPr>
                    <w:t>编号</w:t>
                  </w:r>
                </w:p>
              </w:tc>
              <w:tc>
                <w:tcPr>
                  <w:tcW w:w="367" w:type="pct"/>
                  <w:vMerge w:val="restart"/>
                  <w:tcBorders>
                    <w:tl2br w:val="nil"/>
                    <w:tr2bl w:val="nil"/>
                  </w:tcBorders>
                  <w:vAlign w:val="center"/>
                </w:tcPr>
                <w:p w14:paraId="02C80009">
                  <w:pPr>
                    <w:widowControl/>
                    <w:adjustRightInd w:val="0"/>
                    <w:snapToGrid w:val="0"/>
                    <w:jc w:val="center"/>
                    <w:rPr>
                      <w:b/>
                      <w:bCs/>
                      <w:kern w:val="0"/>
                      <w:sz w:val="18"/>
                      <w:szCs w:val="18"/>
                    </w:rPr>
                  </w:pPr>
                  <w:r>
                    <w:rPr>
                      <w:b/>
                      <w:bCs/>
                      <w:kern w:val="0"/>
                      <w:sz w:val="18"/>
                      <w:szCs w:val="18"/>
                    </w:rPr>
                    <w:t>污染物</w:t>
                  </w:r>
                </w:p>
                <w:p w14:paraId="4DB60B3F">
                  <w:pPr>
                    <w:widowControl/>
                    <w:adjustRightInd w:val="0"/>
                    <w:snapToGrid w:val="0"/>
                    <w:jc w:val="center"/>
                    <w:rPr>
                      <w:b/>
                      <w:bCs/>
                      <w:kern w:val="0"/>
                      <w:sz w:val="18"/>
                      <w:szCs w:val="18"/>
                    </w:rPr>
                  </w:pPr>
                  <w:r>
                    <w:rPr>
                      <w:b/>
                      <w:bCs/>
                      <w:kern w:val="0"/>
                      <w:sz w:val="18"/>
                      <w:szCs w:val="18"/>
                    </w:rPr>
                    <w:t>种类</w:t>
                  </w:r>
                </w:p>
              </w:tc>
              <w:tc>
                <w:tcPr>
                  <w:tcW w:w="402" w:type="pct"/>
                  <w:vMerge w:val="restart"/>
                  <w:tcBorders>
                    <w:tl2br w:val="nil"/>
                    <w:tr2bl w:val="nil"/>
                  </w:tcBorders>
                  <w:vAlign w:val="center"/>
                </w:tcPr>
                <w:p w14:paraId="5BDA4FA5">
                  <w:pPr>
                    <w:widowControl/>
                    <w:adjustRightInd w:val="0"/>
                    <w:snapToGrid w:val="0"/>
                    <w:jc w:val="center"/>
                    <w:rPr>
                      <w:b/>
                      <w:bCs/>
                      <w:kern w:val="0"/>
                      <w:sz w:val="18"/>
                      <w:szCs w:val="18"/>
                    </w:rPr>
                  </w:pPr>
                  <w:r>
                    <w:rPr>
                      <w:b/>
                      <w:bCs/>
                      <w:kern w:val="0"/>
                      <w:sz w:val="18"/>
                      <w:szCs w:val="18"/>
                    </w:rPr>
                    <w:t>污染源强核算（t/a）</w:t>
                  </w:r>
                </w:p>
              </w:tc>
              <w:tc>
                <w:tcPr>
                  <w:tcW w:w="1113" w:type="pct"/>
                  <w:vMerge w:val="restart"/>
                  <w:tcBorders>
                    <w:tl2br w:val="nil"/>
                    <w:tr2bl w:val="nil"/>
                  </w:tcBorders>
                  <w:vAlign w:val="center"/>
                </w:tcPr>
                <w:p w14:paraId="612E6307">
                  <w:pPr>
                    <w:widowControl/>
                    <w:adjustRightInd w:val="0"/>
                    <w:snapToGrid w:val="0"/>
                    <w:jc w:val="center"/>
                    <w:rPr>
                      <w:b/>
                      <w:bCs/>
                      <w:kern w:val="0"/>
                      <w:sz w:val="18"/>
                      <w:szCs w:val="18"/>
                    </w:rPr>
                  </w:pPr>
                  <w:r>
                    <w:rPr>
                      <w:b/>
                      <w:bCs/>
                      <w:kern w:val="0"/>
                      <w:sz w:val="18"/>
                      <w:szCs w:val="18"/>
                    </w:rPr>
                    <w:t>源强核算依据</w:t>
                  </w:r>
                </w:p>
              </w:tc>
              <w:tc>
                <w:tcPr>
                  <w:tcW w:w="373" w:type="pct"/>
                  <w:vMerge w:val="restart"/>
                  <w:tcBorders>
                    <w:tl2br w:val="nil"/>
                    <w:tr2bl w:val="nil"/>
                  </w:tcBorders>
                  <w:vAlign w:val="center"/>
                </w:tcPr>
                <w:p w14:paraId="4B99E792">
                  <w:pPr>
                    <w:widowControl/>
                    <w:adjustRightInd w:val="0"/>
                    <w:snapToGrid w:val="0"/>
                    <w:jc w:val="center"/>
                    <w:rPr>
                      <w:b/>
                      <w:bCs/>
                      <w:kern w:val="0"/>
                      <w:sz w:val="18"/>
                      <w:szCs w:val="18"/>
                    </w:rPr>
                  </w:pPr>
                  <w:r>
                    <w:rPr>
                      <w:b/>
                      <w:bCs/>
                      <w:kern w:val="0"/>
                      <w:sz w:val="18"/>
                      <w:szCs w:val="18"/>
                    </w:rPr>
                    <w:t>废气收集方式</w:t>
                  </w:r>
                </w:p>
              </w:tc>
              <w:tc>
                <w:tcPr>
                  <w:tcW w:w="253" w:type="pct"/>
                  <w:vMerge w:val="restart"/>
                  <w:tcBorders>
                    <w:tl2br w:val="nil"/>
                    <w:tr2bl w:val="nil"/>
                  </w:tcBorders>
                  <w:vAlign w:val="center"/>
                </w:tcPr>
                <w:p w14:paraId="6A55B8AF">
                  <w:pPr>
                    <w:adjustRightInd w:val="0"/>
                    <w:snapToGrid w:val="0"/>
                    <w:jc w:val="center"/>
                    <w:rPr>
                      <w:b/>
                      <w:bCs/>
                      <w:sz w:val="18"/>
                      <w:szCs w:val="18"/>
                    </w:rPr>
                  </w:pPr>
                  <w:r>
                    <w:rPr>
                      <w:b/>
                      <w:bCs/>
                      <w:sz w:val="18"/>
                      <w:szCs w:val="18"/>
                    </w:rPr>
                    <w:t>收集</w:t>
                  </w:r>
                </w:p>
                <w:p w14:paraId="759AF9F2">
                  <w:pPr>
                    <w:adjustRightInd w:val="0"/>
                    <w:snapToGrid w:val="0"/>
                    <w:jc w:val="center"/>
                    <w:rPr>
                      <w:b/>
                      <w:bCs/>
                      <w:sz w:val="18"/>
                      <w:szCs w:val="18"/>
                    </w:rPr>
                  </w:pPr>
                  <w:r>
                    <w:rPr>
                      <w:b/>
                      <w:bCs/>
                      <w:sz w:val="18"/>
                      <w:szCs w:val="18"/>
                    </w:rPr>
                    <w:t>效率</w:t>
                  </w:r>
                  <w:r>
                    <w:rPr>
                      <w:sz w:val="18"/>
                      <w:szCs w:val="18"/>
                    </w:rPr>
                    <w:t>%</w:t>
                  </w:r>
                </w:p>
              </w:tc>
              <w:tc>
                <w:tcPr>
                  <w:tcW w:w="1115" w:type="pct"/>
                  <w:gridSpan w:val="3"/>
                  <w:tcBorders>
                    <w:tl2br w:val="nil"/>
                    <w:tr2bl w:val="nil"/>
                  </w:tcBorders>
                  <w:vAlign w:val="center"/>
                </w:tcPr>
                <w:p w14:paraId="5573BA17">
                  <w:pPr>
                    <w:adjustRightInd w:val="0"/>
                    <w:snapToGrid w:val="0"/>
                    <w:jc w:val="center"/>
                    <w:rPr>
                      <w:b/>
                      <w:bCs/>
                      <w:sz w:val="18"/>
                      <w:szCs w:val="18"/>
                    </w:rPr>
                  </w:pPr>
                  <w:r>
                    <w:rPr>
                      <w:b/>
                      <w:bCs/>
                      <w:sz w:val="18"/>
                      <w:szCs w:val="18"/>
                    </w:rPr>
                    <w:t>治理措施</w:t>
                  </w:r>
                </w:p>
              </w:tc>
              <w:tc>
                <w:tcPr>
                  <w:tcW w:w="374" w:type="pct"/>
                  <w:vMerge w:val="restart"/>
                  <w:tcBorders>
                    <w:tl2br w:val="nil"/>
                    <w:tr2bl w:val="nil"/>
                  </w:tcBorders>
                  <w:vAlign w:val="center"/>
                </w:tcPr>
                <w:p w14:paraId="53B6E3E3">
                  <w:pPr>
                    <w:adjustRightInd w:val="0"/>
                    <w:snapToGrid w:val="0"/>
                    <w:jc w:val="center"/>
                    <w:rPr>
                      <w:b/>
                      <w:bCs/>
                      <w:sz w:val="18"/>
                      <w:szCs w:val="18"/>
                    </w:rPr>
                  </w:pPr>
                  <w:r>
                    <w:rPr>
                      <w:b/>
                      <w:bCs/>
                      <w:sz w:val="18"/>
                      <w:szCs w:val="18"/>
                    </w:rPr>
                    <w:t>风量</w:t>
                  </w:r>
                </w:p>
                <w:p w14:paraId="2A516C02">
                  <w:pPr>
                    <w:adjustRightInd w:val="0"/>
                    <w:snapToGrid w:val="0"/>
                    <w:jc w:val="center"/>
                    <w:rPr>
                      <w:b/>
                      <w:bCs/>
                      <w:sz w:val="18"/>
                      <w:szCs w:val="18"/>
                    </w:rPr>
                  </w:pPr>
                  <w:r>
                    <w:rPr>
                      <w:b/>
                      <w:bCs/>
                      <w:sz w:val="18"/>
                      <w:szCs w:val="18"/>
                    </w:rPr>
                    <w:t>（m</w:t>
                  </w:r>
                  <w:r>
                    <w:rPr>
                      <w:b/>
                      <w:bCs/>
                      <w:sz w:val="18"/>
                      <w:szCs w:val="18"/>
                      <w:vertAlign w:val="superscript"/>
                    </w:rPr>
                    <w:t>3</w:t>
                  </w:r>
                  <w:r>
                    <w:rPr>
                      <w:b/>
                      <w:bCs/>
                      <w:sz w:val="18"/>
                      <w:szCs w:val="18"/>
                    </w:rPr>
                    <w:t>/h）</w:t>
                  </w:r>
                </w:p>
              </w:tc>
              <w:tc>
                <w:tcPr>
                  <w:tcW w:w="423" w:type="pct"/>
                  <w:vMerge w:val="restart"/>
                  <w:tcBorders>
                    <w:tl2br w:val="nil"/>
                    <w:tr2bl w:val="nil"/>
                  </w:tcBorders>
                  <w:vAlign w:val="center"/>
                </w:tcPr>
                <w:p w14:paraId="10A95BD3">
                  <w:pPr>
                    <w:adjustRightInd w:val="0"/>
                    <w:snapToGrid w:val="0"/>
                    <w:jc w:val="center"/>
                    <w:rPr>
                      <w:b/>
                      <w:bCs/>
                      <w:sz w:val="18"/>
                      <w:szCs w:val="18"/>
                    </w:rPr>
                  </w:pPr>
                  <w:r>
                    <w:rPr>
                      <w:b/>
                      <w:bCs/>
                      <w:sz w:val="18"/>
                      <w:szCs w:val="18"/>
                    </w:rPr>
                    <w:t>排放形式</w:t>
                  </w:r>
                </w:p>
              </w:tc>
            </w:tr>
            <w:tr w14:paraId="28507C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18" w:type="pct"/>
                  <w:vMerge w:val="continue"/>
                  <w:tcBorders>
                    <w:tl2br w:val="nil"/>
                    <w:tr2bl w:val="nil"/>
                  </w:tcBorders>
                  <w:vAlign w:val="center"/>
                </w:tcPr>
                <w:p w14:paraId="1305C391">
                  <w:pPr>
                    <w:adjustRightInd w:val="0"/>
                    <w:snapToGrid w:val="0"/>
                    <w:jc w:val="center"/>
                    <w:rPr>
                      <w:b/>
                      <w:bCs/>
                      <w:sz w:val="18"/>
                      <w:szCs w:val="18"/>
                    </w:rPr>
                  </w:pPr>
                </w:p>
              </w:tc>
              <w:tc>
                <w:tcPr>
                  <w:tcW w:w="257" w:type="pct"/>
                  <w:vMerge w:val="continue"/>
                  <w:tcBorders>
                    <w:tl2br w:val="nil"/>
                    <w:tr2bl w:val="nil"/>
                  </w:tcBorders>
                  <w:vAlign w:val="center"/>
                </w:tcPr>
                <w:p w14:paraId="5F2C3E2E">
                  <w:pPr>
                    <w:adjustRightInd w:val="0"/>
                    <w:snapToGrid w:val="0"/>
                    <w:jc w:val="center"/>
                    <w:rPr>
                      <w:b/>
                      <w:bCs/>
                      <w:sz w:val="18"/>
                      <w:szCs w:val="18"/>
                    </w:rPr>
                  </w:pPr>
                </w:p>
              </w:tc>
              <w:tc>
                <w:tcPr>
                  <w:tcW w:w="367" w:type="pct"/>
                  <w:vMerge w:val="continue"/>
                  <w:tcBorders>
                    <w:tl2br w:val="nil"/>
                    <w:tr2bl w:val="nil"/>
                  </w:tcBorders>
                  <w:vAlign w:val="center"/>
                </w:tcPr>
                <w:p w14:paraId="3F5A66DE">
                  <w:pPr>
                    <w:widowControl/>
                    <w:adjustRightInd w:val="0"/>
                    <w:snapToGrid w:val="0"/>
                    <w:jc w:val="center"/>
                    <w:rPr>
                      <w:b/>
                      <w:bCs/>
                      <w:kern w:val="0"/>
                      <w:sz w:val="18"/>
                      <w:szCs w:val="18"/>
                    </w:rPr>
                  </w:pPr>
                </w:p>
              </w:tc>
              <w:tc>
                <w:tcPr>
                  <w:tcW w:w="402" w:type="pct"/>
                  <w:vMerge w:val="continue"/>
                  <w:tcBorders>
                    <w:tl2br w:val="nil"/>
                    <w:tr2bl w:val="nil"/>
                  </w:tcBorders>
                  <w:vAlign w:val="center"/>
                </w:tcPr>
                <w:p w14:paraId="0A292BAB">
                  <w:pPr>
                    <w:widowControl/>
                    <w:adjustRightInd w:val="0"/>
                    <w:snapToGrid w:val="0"/>
                    <w:jc w:val="center"/>
                    <w:rPr>
                      <w:b/>
                      <w:bCs/>
                      <w:kern w:val="0"/>
                      <w:sz w:val="18"/>
                      <w:szCs w:val="18"/>
                    </w:rPr>
                  </w:pPr>
                </w:p>
              </w:tc>
              <w:tc>
                <w:tcPr>
                  <w:tcW w:w="1113" w:type="pct"/>
                  <w:vMerge w:val="continue"/>
                  <w:tcBorders>
                    <w:tl2br w:val="nil"/>
                    <w:tr2bl w:val="nil"/>
                  </w:tcBorders>
                  <w:vAlign w:val="center"/>
                </w:tcPr>
                <w:p w14:paraId="687CEA81">
                  <w:pPr>
                    <w:widowControl/>
                    <w:adjustRightInd w:val="0"/>
                    <w:snapToGrid w:val="0"/>
                    <w:jc w:val="center"/>
                    <w:rPr>
                      <w:b/>
                      <w:bCs/>
                      <w:kern w:val="0"/>
                      <w:sz w:val="18"/>
                      <w:szCs w:val="18"/>
                    </w:rPr>
                  </w:pPr>
                </w:p>
              </w:tc>
              <w:tc>
                <w:tcPr>
                  <w:tcW w:w="373" w:type="pct"/>
                  <w:vMerge w:val="continue"/>
                  <w:tcBorders>
                    <w:tl2br w:val="nil"/>
                    <w:tr2bl w:val="nil"/>
                  </w:tcBorders>
                  <w:vAlign w:val="center"/>
                </w:tcPr>
                <w:p w14:paraId="1B3D3739">
                  <w:pPr>
                    <w:widowControl/>
                    <w:adjustRightInd w:val="0"/>
                    <w:snapToGrid w:val="0"/>
                    <w:jc w:val="center"/>
                    <w:rPr>
                      <w:b/>
                      <w:bCs/>
                      <w:kern w:val="0"/>
                      <w:sz w:val="18"/>
                      <w:szCs w:val="18"/>
                    </w:rPr>
                  </w:pPr>
                </w:p>
              </w:tc>
              <w:tc>
                <w:tcPr>
                  <w:tcW w:w="253" w:type="pct"/>
                  <w:vMerge w:val="continue"/>
                  <w:tcBorders>
                    <w:tl2br w:val="nil"/>
                    <w:tr2bl w:val="nil"/>
                  </w:tcBorders>
                  <w:vAlign w:val="center"/>
                </w:tcPr>
                <w:p w14:paraId="167C4FD0">
                  <w:pPr>
                    <w:adjustRightInd w:val="0"/>
                    <w:snapToGrid w:val="0"/>
                    <w:jc w:val="center"/>
                    <w:rPr>
                      <w:b/>
                      <w:bCs/>
                      <w:sz w:val="18"/>
                      <w:szCs w:val="18"/>
                    </w:rPr>
                  </w:pPr>
                </w:p>
              </w:tc>
              <w:tc>
                <w:tcPr>
                  <w:tcW w:w="435" w:type="pct"/>
                  <w:tcBorders>
                    <w:tl2br w:val="nil"/>
                    <w:tr2bl w:val="nil"/>
                  </w:tcBorders>
                  <w:vAlign w:val="center"/>
                </w:tcPr>
                <w:p w14:paraId="3A0EAAB1">
                  <w:pPr>
                    <w:adjustRightInd w:val="0"/>
                    <w:snapToGrid w:val="0"/>
                    <w:jc w:val="center"/>
                    <w:rPr>
                      <w:b/>
                      <w:bCs/>
                      <w:sz w:val="18"/>
                      <w:szCs w:val="18"/>
                    </w:rPr>
                  </w:pPr>
                  <w:r>
                    <w:rPr>
                      <w:b/>
                      <w:bCs/>
                      <w:sz w:val="18"/>
                      <w:szCs w:val="18"/>
                    </w:rPr>
                    <w:t>治理工艺</w:t>
                  </w:r>
                </w:p>
              </w:tc>
              <w:tc>
                <w:tcPr>
                  <w:tcW w:w="280" w:type="pct"/>
                  <w:tcBorders>
                    <w:tl2br w:val="nil"/>
                    <w:tr2bl w:val="nil"/>
                  </w:tcBorders>
                  <w:vAlign w:val="center"/>
                </w:tcPr>
                <w:p w14:paraId="5FB710C1">
                  <w:pPr>
                    <w:adjustRightInd w:val="0"/>
                    <w:snapToGrid w:val="0"/>
                    <w:jc w:val="center"/>
                    <w:rPr>
                      <w:b/>
                      <w:bCs/>
                      <w:sz w:val="18"/>
                      <w:szCs w:val="18"/>
                    </w:rPr>
                  </w:pPr>
                  <w:r>
                    <w:rPr>
                      <w:b/>
                      <w:bCs/>
                      <w:sz w:val="18"/>
                      <w:szCs w:val="18"/>
                    </w:rPr>
                    <w:t>去除效率</w:t>
                  </w:r>
                  <w:r>
                    <w:rPr>
                      <w:sz w:val="18"/>
                      <w:szCs w:val="18"/>
                    </w:rPr>
                    <w:t>%</w:t>
                  </w:r>
                </w:p>
              </w:tc>
              <w:tc>
                <w:tcPr>
                  <w:tcW w:w="399" w:type="pct"/>
                  <w:tcBorders>
                    <w:tl2br w:val="nil"/>
                    <w:tr2bl w:val="nil"/>
                  </w:tcBorders>
                  <w:vAlign w:val="center"/>
                </w:tcPr>
                <w:p w14:paraId="0D0AAEC2">
                  <w:pPr>
                    <w:adjustRightInd w:val="0"/>
                    <w:snapToGrid w:val="0"/>
                    <w:jc w:val="center"/>
                    <w:rPr>
                      <w:b/>
                      <w:bCs/>
                      <w:sz w:val="18"/>
                      <w:szCs w:val="18"/>
                    </w:rPr>
                  </w:pPr>
                  <w:r>
                    <w:rPr>
                      <w:b/>
                      <w:bCs/>
                      <w:sz w:val="18"/>
                      <w:szCs w:val="18"/>
                    </w:rPr>
                    <w:t>是否为可行技术</w:t>
                  </w:r>
                </w:p>
              </w:tc>
              <w:tc>
                <w:tcPr>
                  <w:tcW w:w="374" w:type="pct"/>
                  <w:vMerge w:val="continue"/>
                  <w:tcBorders>
                    <w:tl2br w:val="nil"/>
                    <w:tr2bl w:val="nil"/>
                  </w:tcBorders>
                  <w:vAlign w:val="center"/>
                </w:tcPr>
                <w:p w14:paraId="6DDEF881">
                  <w:pPr>
                    <w:adjustRightInd w:val="0"/>
                    <w:snapToGrid w:val="0"/>
                    <w:jc w:val="center"/>
                    <w:rPr>
                      <w:b/>
                      <w:bCs/>
                      <w:sz w:val="18"/>
                      <w:szCs w:val="18"/>
                    </w:rPr>
                  </w:pPr>
                </w:p>
              </w:tc>
              <w:tc>
                <w:tcPr>
                  <w:tcW w:w="423" w:type="pct"/>
                  <w:vMerge w:val="continue"/>
                  <w:tcBorders>
                    <w:tl2br w:val="nil"/>
                    <w:tr2bl w:val="nil"/>
                  </w:tcBorders>
                  <w:vAlign w:val="center"/>
                </w:tcPr>
                <w:p w14:paraId="1DF05744">
                  <w:pPr>
                    <w:adjustRightInd w:val="0"/>
                    <w:snapToGrid w:val="0"/>
                    <w:jc w:val="center"/>
                    <w:rPr>
                      <w:b/>
                      <w:bCs/>
                      <w:sz w:val="18"/>
                      <w:szCs w:val="18"/>
                    </w:rPr>
                  </w:pPr>
                </w:p>
              </w:tc>
            </w:tr>
            <w:tr w14:paraId="4FD9A9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318" w:type="pct"/>
                  <w:vMerge w:val="restart"/>
                  <w:tcBorders>
                    <w:tl2br w:val="nil"/>
                    <w:tr2bl w:val="nil"/>
                  </w:tcBorders>
                  <w:vAlign w:val="center"/>
                </w:tcPr>
                <w:p w14:paraId="32C45E0A">
                  <w:pPr>
                    <w:adjustRightInd w:val="0"/>
                    <w:snapToGrid w:val="0"/>
                    <w:jc w:val="center"/>
                    <w:rPr>
                      <w:sz w:val="18"/>
                      <w:szCs w:val="18"/>
                    </w:rPr>
                  </w:pPr>
                  <w:r>
                    <w:rPr>
                      <w:rFonts w:hint="eastAsia"/>
                      <w:sz w:val="18"/>
                      <w:szCs w:val="18"/>
                    </w:rPr>
                    <w:t>均质、均匀性初检、稳定性评估</w:t>
                  </w:r>
                </w:p>
              </w:tc>
              <w:tc>
                <w:tcPr>
                  <w:tcW w:w="257" w:type="pct"/>
                  <w:vMerge w:val="restart"/>
                  <w:tcBorders>
                    <w:tl2br w:val="nil"/>
                    <w:tr2bl w:val="nil"/>
                  </w:tcBorders>
                  <w:vAlign w:val="center"/>
                </w:tcPr>
                <w:p w14:paraId="325879EE">
                  <w:pPr>
                    <w:adjustRightInd w:val="0"/>
                    <w:snapToGrid w:val="0"/>
                    <w:jc w:val="center"/>
                    <w:rPr>
                      <w:sz w:val="18"/>
                      <w:szCs w:val="18"/>
                    </w:rPr>
                  </w:pPr>
                  <w:r>
                    <w:rPr>
                      <w:rFonts w:hint="eastAsia"/>
                      <w:sz w:val="18"/>
                      <w:szCs w:val="18"/>
                    </w:rPr>
                    <w:t>G1、G2、G3</w:t>
                  </w:r>
                </w:p>
              </w:tc>
              <w:tc>
                <w:tcPr>
                  <w:tcW w:w="367" w:type="pct"/>
                  <w:tcBorders>
                    <w:tl2br w:val="nil"/>
                    <w:tr2bl w:val="nil"/>
                  </w:tcBorders>
                  <w:vAlign w:val="center"/>
                </w:tcPr>
                <w:p w14:paraId="074A6034">
                  <w:pPr>
                    <w:widowControl/>
                    <w:adjustRightInd w:val="0"/>
                    <w:snapToGrid w:val="0"/>
                    <w:jc w:val="center"/>
                    <w:rPr>
                      <w:sz w:val="18"/>
                      <w:szCs w:val="18"/>
                    </w:rPr>
                  </w:pPr>
                  <w:r>
                    <w:rPr>
                      <w:rFonts w:hint="eastAsia"/>
                      <w:sz w:val="18"/>
                      <w:szCs w:val="18"/>
                    </w:rPr>
                    <w:t>非甲烷总烃</w:t>
                  </w:r>
                </w:p>
              </w:tc>
              <w:tc>
                <w:tcPr>
                  <w:tcW w:w="402" w:type="pct"/>
                  <w:tcBorders>
                    <w:tl2br w:val="nil"/>
                    <w:tr2bl w:val="nil"/>
                  </w:tcBorders>
                  <w:vAlign w:val="center"/>
                </w:tcPr>
                <w:p w14:paraId="4B595BF8">
                  <w:pPr>
                    <w:widowControl/>
                    <w:adjustRightInd w:val="0"/>
                    <w:snapToGrid w:val="0"/>
                    <w:jc w:val="center"/>
                    <w:rPr>
                      <w:rFonts w:hint="eastAsia" w:eastAsia="宋体"/>
                      <w:sz w:val="18"/>
                      <w:szCs w:val="18"/>
                      <w:lang w:eastAsia="zh-CN"/>
                    </w:rPr>
                  </w:pPr>
                  <w:r>
                    <w:rPr>
                      <w:rFonts w:hint="eastAsia"/>
                      <w:sz w:val="18"/>
                      <w:szCs w:val="18"/>
                      <w:lang w:eastAsia="zh-CN"/>
                    </w:rPr>
                    <w:t>0.0736</w:t>
                  </w:r>
                </w:p>
              </w:tc>
              <w:tc>
                <w:tcPr>
                  <w:tcW w:w="1113" w:type="pct"/>
                  <w:vMerge w:val="restart"/>
                  <w:tcBorders>
                    <w:tl2br w:val="nil"/>
                    <w:tr2bl w:val="nil"/>
                  </w:tcBorders>
                  <w:vAlign w:val="center"/>
                </w:tcPr>
                <w:p w14:paraId="3E2A11F6">
                  <w:pPr>
                    <w:widowControl/>
                    <w:adjustRightInd w:val="0"/>
                    <w:snapToGrid w:val="0"/>
                    <w:jc w:val="center"/>
                    <w:rPr>
                      <w:sz w:val="18"/>
                      <w:szCs w:val="18"/>
                    </w:rPr>
                  </w:pPr>
                  <w:r>
                    <w:rPr>
                      <w:rFonts w:hint="eastAsia"/>
                      <w:sz w:val="18"/>
                      <w:szCs w:val="18"/>
                    </w:rPr>
                    <w:t>根据同类企业类比，试剂中易挥发量以用量的 20%计</w:t>
                  </w:r>
                </w:p>
              </w:tc>
              <w:tc>
                <w:tcPr>
                  <w:tcW w:w="373" w:type="pct"/>
                  <w:vMerge w:val="restart"/>
                  <w:tcBorders>
                    <w:tl2br w:val="nil"/>
                    <w:tr2bl w:val="nil"/>
                  </w:tcBorders>
                  <w:vAlign w:val="center"/>
                </w:tcPr>
                <w:p w14:paraId="6EFFCE2D">
                  <w:pPr>
                    <w:widowControl/>
                    <w:adjustRightInd w:val="0"/>
                    <w:snapToGrid w:val="0"/>
                    <w:jc w:val="center"/>
                    <w:rPr>
                      <w:kern w:val="0"/>
                      <w:sz w:val="18"/>
                      <w:szCs w:val="18"/>
                    </w:rPr>
                  </w:pPr>
                  <w:r>
                    <w:rPr>
                      <w:rFonts w:hint="eastAsia"/>
                      <w:kern w:val="0"/>
                      <w:sz w:val="18"/>
                      <w:szCs w:val="18"/>
                    </w:rPr>
                    <w:t>万向集气罩收集、通风橱收集</w:t>
                  </w:r>
                </w:p>
              </w:tc>
              <w:tc>
                <w:tcPr>
                  <w:tcW w:w="253" w:type="pct"/>
                  <w:vMerge w:val="restart"/>
                  <w:tcBorders>
                    <w:tl2br w:val="nil"/>
                    <w:tr2bl w:val="nil"/>
                  </w:tcBorders>
                  <w:vAlign w:val="center"/>
                </w:tcPr>
                <w:p w14:paraId="66957CF2">
                  <w:pPr>
                    <w:adjustRightInd w:val="0"/>
                    <w:snapToGrid w:val="0"/>
                    <w:jc w:val="center"/>
                    <w:rPr>
                      <w:sz w:val="18"/>
                      <w:szCs w:val="18"/>
                    </w:rPr>
                  </w:pPr>
                  <w:r>
                    <w:rPr>
                      <w:sz w:val="18"/>
                      <w:szCs w:val="18"/>
                    </w:rPr>
                    <w:t>9</w:t>
                  </w:r>
                  <w:r>
                    <w:rPr>
                      <w:rFonts w:hint="eastAsia"/>
                      <w:sz w:val="18"/>
                      <w:szCs w:val="18"/>
                    </w:rPr>
                    <w:t>0</w:t>
                  </w:r>
                </w:p>
              </w:tc>
              <w:tc>
                <w:tcPr>
                  <w:tcW w:w="435" w:type="pct"/>
                  <w:vMerge w:val="restart"/>
                  <w:tcBorders>
                    <w:tl2br w:val="nil"/>
                    <w:tr2bl w:val="nil"/>
                  </w:tcBorders>
                  <w:vAlign w:val="center"/>
                </w:tcPr>
                <w:p w14:paraId="0FE73FA3">
                  <w:pPr>
                    <w:adjustRightInd w:val="0"/>
                    <w:snapToGrid w:val="0"/>
                    <w:jc w:val="center"/>
                    <w:rPr>
                      <w:sz w:val="18"/>
                      <w:szCs w:val="18"/>
                    </w:rPr>
                  </w:pPr>
                  <w:r>
                    <w:rPr>
                      <w:rFonts w:hint="eastAsia"/>
                      <w:sz w:val="18"/>
                      <w:szCs w:val="18"/>
                    </w:rPr>
                    <w:t>水喷淋+除雾器+二级活性炭吸附（</w:t>
                  </w:r>
                  <w:r>
                    <w:rPr>
                      <w:sz w:val="18"/>
                      <w:szCs w:val="18"/>
                    </w:rPr>
                    <w:t>水喷淋处理氨，活性炭处理有机废气</w:t>
                  </w:r>
                  <w:r>
                    <w:rPr>
                      <w:rFonts w:hint="eastAsia"/>
                      <w:sz w:val="18"/>
                      <w:szCs w:val="18"/>
                      <w:lang w:eastAsia="zh-CN"/>
                    </w:rPr>
                    <w:t>）</w:t>
                  </w:r>
                </w:p>
              </w:tc>
              <w:tc>
                <w:tcPr>
                  <w:tcW w:w="280" w:type="pct"/>
                  <w:vMerge w:val="restart"/>
                  <w:tcBorders>
                    <w:tl2br w:val="nil"/>
                    <w:tr2bl w:val="nil"/>
                  </w:tcBorders>
                  <w:vAlign w:val="center"/>
                </w:tcPr>
                <w:p w14:paraId="3580FD06">
                  <w:pPr>
                    <w:adjustRightInd w:val="0"/>
                    <w:snapToGrid w:val="0"/>
                    <w:jc w:val="center"/>
                    <w:rPr>
                      <w:rFonts w:hint="default" w:eastAsia="宋体"/>
                      <w:sz w:val="18"/>
                      <w:szCs w:val="18"/>
                      <w:lang w:val="en-US" w:eastAsia="zh-CN"/>
                    </w:rPr>
                  </w:pPr>
                  <w:r>
                    <w:rPr>
                      <w:rFonts w:hint="eastAsia"/>
                      <w:color w:val="0000FF"/>
                      <w:sz w:val="18"/>
                      <w:szCs w:val="18"/>
                      <w:lang w:val="en-US" w:eastAsia="zh-CN"/>
                    </w:rPr>
                    <w:t>80</w:t>
                  </w:r>
                </w:p>
              </w:tc>
              <w:tc>
                <w:tcPr>
                  <w:tcW w:w="399" w:type="pct"/>
                  <w:vMerge w:val="restart"/>
                  <w:tcBorders>
                    <w:tl2br w:val="nil"/>
                    <w:tr2bl w:val="nil"/>
                  </w:tcBorders>
                  <w:vAlign w:val="center"/>
                </w:tcPr>
                <w:p w14:paraId="30779A7C">
                  <w:pPr>
                    <w:adjustRightInd w:val="0"/>
                    <w:snapToGrid w:val="0"/>
                    <w:jc w:val="center"/>
                    <w:rPr>
                      <w:sz w:val="18"/>
                      <w:szCs w:val="18"/>
                    </w:rPr>
                  </w:pPr>
                  <w:r>
                    <w:rPr>
                      <w:sz w:val="18"/>
                      <w:szCs w:val="18"/>
                    </w:rPr>
                    <w:t>是</w:t>
                  </w:r>
                </w:p>
              </w:tc>
              <w:tc>
                <w:tcPr>
                  <w:tcW w:w="374" w:type="pct"/>
                  <w:vMerge w:val="restart"/>
                  <w:tcBorders>
                    <w:tl2br w:val="nil"/>
                    <w:tr2bl w:val="nil"/>
                  </w:tcBorders>
                  <w:vAlign w:val="center"/>
                </w:tcPr>
                <w:p w14:paraId="776E4F93">
                  <w:pPr>
                    <w:adjustRightInd w:val="0"/>
                    <w:snapToGrid w:val="0"/>
                    <w:jc w:val="center"/>
                    <w:rPr>
                      <w:sz w:val="18"/>
                      <w:szCs w:val="18"/>
                    </w:rPr>
                  </w:pPr>
                  <w:r>
                    <w:rPr>
                      <w:rFonts w:hint="eastAsia"/>
                      <w:sz w:val="18"/>
                      <w:szCs w:val="18"/>
                    </w:rPr>
                    <w:t>7000</w:t>
                  </w:r>
                </w:p>
              </w:tc>
              <w:tc>
                <w:tcPr>
                  <w:tcW w:w="423" w:type="pct"/>
                  <w:vMerge w:val="restart"/>
                  <w:tcBorders>
                    <w:tl2br w:val="nil"/>
                    <w:tr2bl w:val="nil"/>
                  </w:tcBorders>
                  <w:vAlign w:val="center"/>
                </w:tcPr>
                <w:p w14:paraId="5DEFB402">
                  <w:pPr>
                    <w:adjustRightInd w:val="0"/>
                    <w:snapToGrid w:val="0"/>
                    <w:jc w:val="center"/>
                    <w:rPr>
                      <w:sz w:val="18"/>
                      <w:szCs w:val="18"/>
                    </w:rPr>
                  </w:pPr>
                  <w:r>
                    <w:rPr>
                      <w:rFonts w:hint="eastAsia"/>
                      <w:sz w:val="18"/>
                      <w:szCs w:val="18"/>
                    </w:rPr>
                    <w:t>有组织、无组织</w:t>
                  </w:r>
                </w:p>
              </w:tc>
            </w:tr>
            <w:tr w14:paraId="042C78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318" w:type="pct"/>
                  <w:vMerge w:val="continue"/>
                  <w:tcBorders>
                    <w:tl2br w:val="nil"/>
                    <w:tr2bl w:val="nil"/>
                  </w:tcBorders>
                  <w:vAlign w:val="center"/>
                </w:tcPr>
                <w:p w14:paraId="16DB2529">
                  <w:pPr>
                    <w:adjustRightInd w:val="0"/>
                    <w:snapToGrid w:val="0"/>
                    <w:jc w:val="center"/>
                    <w:rPr>
                      <w:sz w:val="18"/>
                      <w:szCs w:val="18"/>
                    </w:rPr>
                  </w:pPr>
                </w:p>
              </w:tc>
              <w:tc>
                <w:tcPr>
                  <w:tcW w:w="257" w:type="pct"/>
                  <w:vMerge w:val="continue"/>
                  <w:tcBorders>
                    <w:tl2br w:val="nil"/>
                    <w:tr2bl w:val="nil"/>
                  </w:tcBorders>
                  <w:vAlign w:val="center"/>
                </w:tcPr>
                <w:p w14:paraId="5EAB046B">
                  <w:pPr>
                    <w:adjustRightInd w:val="0"/>
                    <w:snapToGrid w:val="0"/>
                    <w:jc w:val="center"/>
                    <w:rPr>
                      <w:sz w:val="18"/>
                      <w:szCs w:val="18"/>
                    </w:rPr>
                  </w:pPr>
                </w:p>
              </w:tc>
              <w:tc>
                <w:tcPr>
                  <w:tcW w:w="367" w:type="pct"/>
                  <w:tcBorders>
                    <w:tl2br w:val="nil"/>
                    <w:tr2bl w:val="nil"/>
                  </w:tcBorders>
                  <w:vAlign w:val="center"/>
                </w:tcPr>
                <w:p w14:paraId="39EB3961">
                  <w:pPr>
                    <w:widowControl/>
                    <w:adjustRightInd w:val="0"/>
                    <w:snapToGrid w:val="0"/>
                    <w:jc w:val="center"/>
                    <w:rPr>
                      <w:sz w:val="18"/>
                      <w:szCs w:val="18"/>
                    </w:rPr>
                  </w:pPr>
                  <w:r>
                    <w:rPr>
                      <w:rFonts w:hint="eastAsia"/>
                      <w:sz w:val="18"/>
                      <w:szCs w:val="18"/>
                    </w:rPr>
                    <w:t>二甲苯</w:t>
                  </w:r>
                </w:p>
              </w:tc>
              <w:tc>
                <w:tcPr>
                  <w:tcW w:w="402" w:type="pct"/>
                  <w:tcBorders>
                    <w:tl2br w:val="nil"/>
                    <w:tr2bl w:val="nil"/>
                  </w:tcBorders>
                  <w:vAlign w:val="center"/>
                </w:tcPr>
                <w:p w14:paraId="4CDC14EF">
                  <w:pPr>
                    <w:widowControl/>
                    <w:adjustRightInd w:val="0"/>
                    <w:snapToGrid w:val="0"/>
                    <w:jc w:val="center"/>
                    <w:rPr>
                      <w:sz w:val="18"/>
                      <w:szCs w:val="18"/>
                    </w:rPr>
                  </w:pPr>
                  <w:r>
                    <w:rPr>
                      <w:rFonts w:hint="eastAsia"/>
                      <w:sz w:val="18"/>
                      <w:szCs w:val="18"/>
                    </w:rPr>
                    <w:t>0.0012</w:t>
                  </w:r>
                </w:p>
              </w:tc>
              <w:tc>
                <w:tcPr>
                  <w:tcW w:w="1113" w:type="pct"/>
                  <w:vMerge w:val="continue"/>
                  <w:tcBorders>
                    <w:tl2br w:val="nil"/>
                    <w:tr2bl w:val="nil"/>
                  </w:tcBorders>
                  <w:vAlign w:val="center"/>
                </w:tcPr>
                <w:p w14:paraId="014EAD70">
                  <w:pPr>
                    <w:widowControl/>
                    <w:adjustRightInd w:val="0"/>
                    <w:snapToGrid w:val="0"/>
                    <w:jc w:val="center"/>
                    <w:rPr>
                      <w:sz w:val="18"/>
                      <w:szCs w:val="18"/>
                    </w:rPr>
                  </w:pPr>
                </w:p>
              </w:tc>
              <w:tc>
                <w:tcPr>
                  <w:tcW w:w="373" w:type="pct"/>
                  <w:vMerge w:val="continue"/>
                  <w:tcBorders>
                    <w:tl2br w:val="nil"/>
                    <w:tr2bl w:val="nil"/>
                  </w:tcBorders>
                  <w:vAlign w:val="center"/>
                </w:tcPr>
                <w:p w14:paraId="4CF49A3F">
                  <w:pPr>
                    <w:widowControl/>
                    <w:adjustRightInd w:val="0"/>
                    <w:snapToGrid w:val="0"/>
                    <w:jc w:val="center"/>
                    <w:rPr>
                      <w:kern w:val="0"/>
                      <w:sz w:val="18"/>
                      <w:szCs w:val="18"/>
                    </w:rPr>
                  </w:pPr>
                </w:p>
              </w:tc>
              <w:tc>
                <w:tcPr>
                  <w:tcW w:w="253" w:type="pct"/>
                  <w:vMerge w:val="continue"/>
                  <w:tcBorders>
                    <w:tl2br w:val="nil"/>
                    <w:tr2bl w:val="nil"/>
                  </w:tcBorders>
                  <w:vAlign w:val="center"/>
                </w:tcPr>
                <w:p w14:paraId="486D8AB0">
                  <w:pPr>
                    <w:adjustRightInd w:val="0"/>
                    <w:snapToGrid w:val="0"/>
                    <w:jc w:val="center"/>
                    <w:rPr>
                      <w:sz w:val="18"/>
                      <w:szCs w:val="18"/>
                    </w:rPr>
                  </w:pPr>
                </w:p>
              </w:tc>
              <w:tc>
                <w:tcPr>
                  <w:tcW w:w="435" w:type="pct"/>
                  <w:vMerge w:val="continue"/>
                  <w:tcBorders>
                    <w:tl2br w:val="nil"/>
                    <w:tr2bl w:val="nil"/>
                  </w:tcBorders>
                  <w:vAlign w:val="center"/>
                </w:tcPr>
                <w:p w14:paraId="1CAA2868">
                  <w:pPr>
                    <w:adjustRightInd w:val="0"/>
                    <w:snapToGrid w:val="0"/>
                    <w:jc w:val="center"/>
                    <w:rPr>
                      <w:sz w:val="18"/>
                      <w:szCs w:val="18"/>
                    </w:rPr>
                  </w:pPr>
                </w:p>
              </w:tc>
              <w:tc>
                <w:tcPr>
                  <w:tcW w:w="280" w:type="pct"/>
                  <w:vMerge w:val="continue"/>
                  <w:tcBorders>
                    <w:tl2br w:val="nil"/>
                    <w:tr2bl w:val="nil"/>
                  </w:tcBorders>
                  <w:vAlign w:val="center"/>
                </w:tcPr>
                <w:p w14:paraId="59055238">
                  <w:pPr>
                    <w:adjustRightInd w:val="0"/>
                    <w:snapToGrid w:val="0"/>
                    <w:jc w:val="center"/>
                    <w:rPr>
                      <w:sz w:val="18"/>
                      <w:szCs w:val="18"/>
                    </w:rPr>
                  </w:pPr>
                </w:p>
              </w:tc>
              <w:tc>
                <w:tcPr>
                  <w:tcW w:w="399" w:type="pct"/>
                  <w:vMerge w:val="continue"/>
                  <w:tcBorders>
                    <w:tl2br w:val="nil"/>
                    <w:tr2bl w:val="nil"/>
                  </w:tcBorders>
                  <w:vAlign w:val="center"/>
                </w:tcPr>
                <w:p w14:paraId="40FD7BC8">
                  <w:pPr>
                    <w:adjustRightInd w:val="0"/>
                    <w:snapToGrid w:val="0"/>
                    <w:jc w:val="center"/>
                    <w:rPr>
                      <w:sz w:val="18"/>
                      <w:szCs w:val="18"/>
                    </w:rPr>
                  </w:pPr>
                </w:p>
              </w:tc>
              <w:tc>
                <w:tcPr>
                  <w:tcW w:w="374" w:type="pct"/>
                  <w:vMerge w:val="continue"/>
                  <w:tcBorders>
                    <w:tl2br w:val="nil"/>
                    <w:tr2bl w:val="nil"/>
                  </w:tcBorders>
                  <w:vAlign w:val="center"/>
                </w:tcPr>
                <w:p w14:paraId="278B49AA">
                  <w:pPr>
                    <w:adjustRightInd w:val="0"/>
                    <w:snapToGrid w:val="0"/>
                    <w:jc w:val="center"/>
                    <w:rPr>
                      <w:sz w:val="18"/>
                      <w:szCs w:val="18"/>
                    </w:rPr>
                  </w:pPr>
                </w:p>
              </w:tc>
              <w:tc>
                <w:tcPr>
                  <w:tcW w:w="423" w:type="pct"/>
                  <w:vMerge w:val="continue"/>
                  <w:tcBorders>
                    <w:tl2br w:val="nil"/>
                    <w:tr2bl w:val="nil"/>
                  </w:tcBorders>
                  <w:vAlign w:val="center"/>
                </w:tcPr>
                <w:p w14:paraId="3E513309">
                  <w:pPr>
                    <w:adjustRightInd w:val="0"/>
                    <w:snapToGrid w:val="0"/>
                    <w:jc w:val="center"/>
                    <w:rPr>
                      <w:sz w:val="18"/>
                      <w:szCs w:val="18"/>
                    </w:rPr>
                  </w:pPr>
                </w:p>
              </w:tc>
            </w:tr>
            <w:tr w14:paraId="188E84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318" w:type="pct"/>
                  <w:vMerge w:val="continue"/>
                  <w:tcBorders>
                    <w:tl2br w:val="nil"/>
                    <w:tr2bl w:val="nil"/>
                  </w:tcBorders>
                  <w:vAlign w:val="center"/>
                </w:tcPr>
                <w:p w14:paraId="4E5AC80B">
                  <w:pPr>
                    <w:adjustRightInd w:val="0"/>
                    <w:snapToGrid w:val="0"/>
                    <w:jc w:val="center"/>
                    <w:rPr>
                      <w:sz w:val="18"/>
                      <w:szCs w:val="18"/>
                    </w:rPr>
                  </w:pPr>
                </w:p>
              </w:tc>
              <w:tc>
                <w:tcPr>
                  <w:tcW w:w="257" w:type="pct"/>
                  <w:vMerge w:val="continue"/>
                  <w:tcBorders>
                    <w:tl2br w:val="nil"/>
                    <w:tr2bl w:val="nil"/>
                  </w:tcBorders>
                  <w:vAlign w:val="center"/>
                </w:tcPr>
                <w:p w14:paraId="6FA45845">
                  <w:pPr>
                    <w:adjustRightInd w:val="0"/>
                    <w:snapToGrid w:val="0"/>
                    <w:jc w:val="center"/>
                    <w:rPr>
                      <w:sz w:val="18"/>
                      <w:szCs w:val="18"/>
                    </w:rPr>
                  </w:pPr>
                </w:p>
              </w:tc>
              <w:tc>
                <w:tcPr>
                  <w:tcW w:w="367" w:type="pct"/>
                  <w:tcBorders>
                    <w:tl2br w:val="nil"/>
                    <w:tr2bl w:val="nil"/>
                  </w:tcBorders>
                  <w:vAlign w:val="center"/>
                </w:tcPr>
                <w:p w14:paraId="0EDB41C9">
                  <w:pPr>
                    <w:widowControl/>
                    <w:adjustRightInd w:val="0"/>
                    <w:snapToGrid w:val="0"/>
                    <w:jc w:val="center"/>
                    <w:rPr>
                      <w:sz w:val="18"/>
                      <w:szCs w:val="18"/>
                    </w:rPr>
                  </w:pPr>
                  <w:r>
                    <w:rPr>
                      <w:rFonts w:hint="eastAsia"/>
                      <w:sz w:val="18"/>
                      <w:szCs w:val="18"/>
                    </w:rPr>
                    <w:t>甲醇</w:t>
                  </w:r>
                </w:p>
              </w:tc>
              <w:tc>
                <w:tcPr>
                  <w:tcW w:w="402" w:type="pct"/>
                  <w:tcBorders>
                    <w:tl2br w:val="nil"/>
                    <w:tr2bl w:val="nil"/>
                  </w:tcBorders>
                  <w:vAlign w:val="center"/>
                </w:tcPr>
                <w:p w14:paraId="0C777318">
                  <w:pPr>
                    <w:widowControl/>
                    <w:adjustRightInd w:val="0"/>
                    <w:snapToGrid w:val="0"/>
                    <w:jc w:val="center"/>
                    <w:rPr>
                      <w:sz w:val="18"/>
                      <w:szCs w:val="18"/>
                    </w:rPr>
                  </w:pPr>
                  <w:r>
                    <w:rPr>
                      <w:rFonts w:hint="eastAsia"/>
                      <w:sz w:val="18"/>
                      <w:szCs w:val="18"/>
                    </w:rPr>
                    <w:t>0.052</w:t>
                  </w:r>
                </w:p>
              </w:tc>
              <w:tc>
                <w:tcPr>
                  <w:tcW w:w="1113" w:type="pct"/>
                  <w:vMerge w:val="continue"/>
                  <w:tcBorders>
                    <w:tl2br w:val="nil"/>
                    <w:tr2bl w:val="nil"/>
                  </w:tcBorders>
                  <w:vAlign w:val="center"/>
                </w:tcPr>
                <w:p w14:paraId="5D872699">
                  <w:pPr>
                    <w:widowControl/>
                    <w:adjustRightInd w:val="0"/>
                    <w:snapToGrid w:val="0"/>
                    <w:jc w:val="center"/>
                    <w:rPr>
                      <w:sz w:val="18"/>
                      <w:szCs w:val="18"/>
                    </w:rPr>
                  </w:pPr>
                </w:p>
              </w:tc>
              <w:tc>
                <w:tcPr>
                  <w:tcW w:w="373" w:type="pct"/>
                  <w:vMerge w:val="continue"/>
                  <w:tcBorders>
                    <w:tl2br w:val="nil"/>
                    <w:tr2bl w:val="nil"/>
                  </w:tcBorders>
                  <w:vAlign w:val="center"/>
                </w:tcPr>
                <w:p w14:paraId="24E0B558">
                  <w:pPr>
                    <w:widowControl/>
                    <w:adjustRightInd w:val="0"/>
                    <w:snapToGrid w:val="0"/>
                    <w:jc w:val="center"/>
                    <w:rPr>
                      <w:kern w:val="0"/>
                      <w:sz w:val="18"/>
                      <w:szCs w:val="18"/>
                    </w:rPr>
                  </w:pPr>
                </w:p>
              </w:tc>
              <w:tc>
                <w:tcPr>
                  <w:tcW w:w="253" w:type="pct"/>
                  <w:vMerge w:val="continue"/>
                  <w:tcBorders>
                    <w:tl2br w:val="nil"/>
                    <w:tr2bl w:val="nil"/>
                  </w:tcBorders>
                  <w:vAlign w:val="center"/>
                </w:tcPr>
                <w:p w14:paraId="5B99AAD0">
                  <w:pPr>
                    <w:adjustRightInd w:val="0"/>
                    <w:snapToGrid w:val="0"/>
                    <w:jc w:val="center"/>
                    <w:rPr>
                      <w:sz w:val="18"/>
                      <w:szCs w:val="18"/>
                    </w:rPr>
                  </w:pPr>
                </w:p>
              </w:tc>
              <w:tc>
                <w:tcPr>
                  <w:tcW w:w="435" w:type="pct"/>
                  <w:vMerge w:val="continue"/>
                  <w:tcBorders>
                    <w:tl2br w:val="nil"/>
                    <w:tr2bl w:val="nil"/>
                  </w:tcBorders>
                  <w:vAlign w:val="center"/>
                </w:tcPr>
                <w:p w14:paraId="313AD018">
                  <w:pPr>
                    <w:adjustRightInd w:val="0"/>
                    <w:snapToGrid w:val="0"/>
                    <w:jc w:val="center"/>
                    <w:rPr>
                      <w:sz w:val="18"/>
                      <w:szCs w:val="18"/>
                    </w:rPr>
                  </w:pPr>
                </w:p>
              </w:tc>
              <w:tc>
                <w:tcPr>
                  <w:tcW w:w="280" w:type="pct"/>
                  <w:vMerge w:val="continue"/>
                  <w:tcBorders>
                    <w:tl2br w:val="nil"/>
                    <w:tr2bl w:val="nil"/>
                  </w:tcBorders>
                  <w:vAlign w:val="center"/>
                </w:tcPr>
                <w:p w14:paraId="384DFD17">
                  <w:pPr>
                    <w:adjustRightInd w:val="0"/>
                    <w:snapToGrid w:val="0"/>
                    <w:jc w:val="center"/>
                    <w:rPr>
                      <w:sz w:val="18"/>
                      <w:szCs w:val="18"/>
                    </w:rPr>
                  </w:pPr>
                </w:p>
              </w:tc>
              <w:tc>
                <w:tcPr>
                  <w:tcW w:w="399" w:type="pct"/>
                  <w:vMerge w:val="continue"/>
                  <w:tcBorders>
                    <w:tl2br w:val="nil"/>
                    <w:tr2bl w:val="nil"/>
                  </w:tcBorders>
                  <w:vAlign w:val="center"/>
                </w:tcPr>
                <w:p w14:paraId="22F32310">
                  <w:pPr>
                    <w:adjustRightInd w:val="0"/>
                    <w:snapToGrid w:val="0"/>
                    <w:jc w:val="center"/>
                    <w:rPr>
                      <w:sz w:val="18"/>
                      <w:szCs w:val="18"/>
                    </w:rPr>
                  </w:pPr>
                </w:p>
              </w:tc>
              <w:tc>
                <w:tcPr>
                  <w:tcW w:w="374" w:type="pct"/>
                  <w:vMerge w:val="continue"/>
                  <w:tcBorders>
                    <w:tl2br w:val="nil"/>
                    <w:tr2bl w:val="nil"/>
                  </w:tcBorders>
                  <w:vAlign w:val="center"/>
                </w:tcPr>
                <w:p w14:paraId="6494F021">
                  <w:pPr>
                    <w:adjustRightInd w:val="0"/>
                    <w:snapToGrid w:val="0"/>
                    <w:jc w:val="center"/>
                    <w:rPr>
                      <w:sz w:val="18"/>
                      <w:szCs w:val="18"/>
                    </w:rPr>
                  </w:pPr>
                </w:p>
              </w:tc>
              <w:tc>
                <w:tcPr>
                  <w:tcW w:w="423" w:type="pct"/>
                  <w:vMerge w:val="continue"/>
                  <w:tcBorders>
                    <w:tl2br w:val="nil"/>
                    <w:tr2bl w:val="nil"/>
                  </w:tcBorders>
                  <w:vAlign w:val="center"/>
                </w:tcPr>
                <w:p w14:paraId="40CD2197">
                  <w:pPr>
                    <w:adjustRightInd w:val="0"/>
                    <w:snapToGrid w:val="0"/>
                    <w:jc w:val="center"/>
                    <w:rPr>
                      <w:sz w:val="18"/>
                      <w:szCs w:val="18"/>
                    </w:rPr>
                  </w:pPr>
                </w:p>
              </w:tc>
            </w:tr>
            <w:tr w14:paraId="08784A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318" w:type="pct"/>
                  <w:vMerge w:val="continue"/>
                  <w:tcBorders>
                    <w:tl2br w:val="nil"/>
                    <w:tr2bl w:val="nil"/>
                  </w:tcBorders>
                  <w:vAlign w:val="center"/>
                </w:tcPr>
                <w:p w14:paraId="2861006E">
                  <w:pPr>
                    <w:adjustRightInd w:val="0"/>
                    <w:snapToGrid w:val="0"/>
                    <w:jc w:val="center"/>
                    <w:rPr>
                      <w:sz w:val="18"/>
                      <w:szCs w:val="18"/>
                    </w:rPr>
                  </w:pPr>
                </w:p>
              </w:tc>
              <w:tc>
                <w:tcPr>
                  <w:tcW w:w="257" w:type="pct"/>
                  <w:vMerge w:val="continue"/>
                  <w:tcBorders>
                    <w:tl2br w:val="nil"/>
                    <w:tr2bl w:val="nil"/>
                  </w:tcBorders>
                  <w:vAlign w:val="center"/>
                </w:tcPr>
                <w:p w14:paraId="2C5A4F22">
                  <w:pPr>
                    <w:adjustRightInd w:val="0"/>
                    <w:snapToGrid w:val="0"/>
                    <w:jc w:val="center"/>
                    <w:rPr>
                      <w:sz w:val="18"/>
                      <w:szCs w:val="18"/>
                    </w:rPr>
                  </w:pPr>
                </w:p>
              </w:tc>
              <w:tc>
                <w:tcPr>
                  <w:tcW w:w="367" w:type="pct"/>
                  <w:tcBorders>
                    <w:tl2br w:val="nil"/>
                    <w:tr2bl w:val="nil"/>
                  </w:tcBorders>
                  <w:vAlign w:val="center"/>
                </w:tcPr>
                <w:p w14:paraId="1F9A96A8">
                  <w:pPr>
                    <w:widowControl/>
                    <w:adjustRightInd w:val="0"/>
                    <w:snapToGrid w:val="0"/>
                    <w:jc w:val="center"/>
                    <w:rPr>
                      <w:sz w:val="18"/>
                      <w:szCs w:val="18"/>
                    </w:rPr>
                  </w:pPr>
                  <w:r>
                    <w:rPr>
                      <w:rFonts w:hint="eastAsia"/>
                      <w:sz w:val="18"/>
                      <w:szCs w:val="18"/>
                    </w:rPr>
                    <w:t>氨气</w:t>
                  </w:r>
                </w:p>
              </w:tc>
              <w:tc>
                <w:tcPr>
                  <w:tcW w:w="402" w:type="pct"/>
                  <w:tcBorders>
                    <w:tl2br w:val="nil"/>
                    <w:tr2bl w:val="nil"/>
                  </w:tcBorders>
                  <w:vAlign w:val="center"/>
                </w:tcPr>
                <w:p w14:paraId="08927391">
                  <w:pPr>
                    <w:adjustRightInd w:val="0"/>
                    <w:snapToGrid w:val="0"/>
                    <w:jc w:val="center"/>
                    <w:rPr>
                      <w:sz w:val="18"/>
                      <w:szCs w:val="18"/>
                    </w:rPr>
                  </w:pPr>
                  <w:r>
                    <w:rPr>
                      <w:rFonts w:hint="eastAsia"/>
                      <w:sz w:val="18"/>
                      <w:szCs w:val="18"/>
                    </w:rPr>
                    <w:t>0.0184</w:t>
                  </w:r>
                </w:p>
              </w:tc>
              <w:tc>
                <w:tcPr>
                  <w:tcW w:w="1113" w:type="pct"/>
                  <w:tcBorders>
                    <w:tl2br w:val="nil"/>
                    <w:tr2bl w:val="nil"/>
                  </w:tcBorders>
                  <w:vAlign w:val="center"/>
                </w:tcPr>
                <w:p w14:paraId="75682E8E">
                  <w:pPr>
                    <w:adjustRightInd w:val="0"/>
                    <w:snapToGrid w:val="0"/>
                    <w:jc w:val="center"/>
                    <w:rPr>
                      <w:sz w:val="18"/>
                      <w:szCs w:val="18"/>
                    </w:rPr>
                  </w:pPr>
                  <w:r>
                    <w:rPr>
                      <w:rFonts w:hint="eastAsia"/>
                      <w:sz w:val="18"/>
                      <w:szCs w:val="18"/>
                    </w:rPr>
                    <w:t>根据同类企业类比，氨水挥发量按40%计，三乙醇胺挥发量按10%计</w:t>
                  </w:r>
                </w:p>
              </w:tc>
              <w:tc>
                <w:tcPr>
                  <w:tcW w:w="373" w:type="pct"/>
                  <w:vMerge w:val="continue"/>
                  <w:tcBorders>
                    <w:tl2br w:val="nil"/>
                    <w:tr2bl w:val="nil"/>
                  </w:tcBorders>
                  <w:vAlign w:val="center"/>
                </w:tcPr>
                <w:p w14:paraId="38CEF639">
                  <w:pPr>
                    <w:widowControl/>
                    <w:adjustRightInd w:val="0"/>
                    <w:snapToGrid w:val="0"/>
                    <w:jc w:val="center"/>
                    <w:rPr>
                      <w:kern w:val="0"/>
                      <w:sz w:val="18"/>
                      <w:szCs w:val="18"/>
                    </w:rPr>
                  </w:pPr>
                </w:p>
              </w:tc>
              <w:tc>
                <w:tcPr>
                  <w:tcW w:w="253" w:type="pct"/>
                  <w:vMerge w:val="continue"/>
                  <w:tcBorders>
                    <w:tl2br w:val="nil"/>
                    <w:tr2bl w:val="nil"/>
                  </w:tcBorders>
                  <w:vAlign w:val="center"/>
                </w:tcPr>
                <w:p w14:paraId="76C8AD43">
                  <w:pPr>
                    <w:adjustRightInd w:val="0"/>
                    <w:snapToGrid w:val="0"/>
                    <w:jc w:val="center"/>
                    <w:rPr>
                      <w:sz w:val="18"/>
                      <w:szCs w:val="18"/>
                    </w:rPr>
                  </w:pPr>
                </w:p>
              </w:tc>
              <w:tc>
                <w:tcPr>
                  <w:tcW w:w="435" w:type="pct"/>
                  <w:vMerge w:val="continue"/>
                  <w:tcBorders>
                    <w:tl2br w:val="nil"/>
                    <w:tr2bl w:val="nil"/>
                  </w:tcBorders>
                  <w:vAlign w:val="center"/>
                </w:tcPr>
                <w:p w14:paraId="0BABEB43">
                  <w:pPr>
                    <w:adjustRightInd w:val="0"/>
                    <w:snapToGrid w:val="0"/>
                    <w:jc w:val="center"/>
                    <w:rPr>
                      <w:sz w:val="18"/>
                      <w:szCs w:val="18"/>
                    </w:rPr>
                  </w:pPr>
                </w:p>
              </w:tc>
              <w:tc>
                <w:tcPr>
                  <w:tcW w:w="280" w:type="pct"/>
                  <w:vMerge w:val="continue"/>
                  <w:tcBorders>
                    <w:tl2br w:val="nil"/>
                    <w:tr2bl w:val="nil"/>
                  </w:tcBorders>
                  <w:vAlign w:val="center"/>
                </w:tcPr>
                <w:p w14:paraId="5D6D2FFF">
                  <w:pPr>
                    <w:adjustRightInd w:val="0"/>
                    <w:snapToGrid w:val="0"/>
                    <w:jc w:val="center"/>
                    <w:rPr>
                      <w:sz w:val="18"/>
                      <w:szCs w:val="18"/>
                    </w:rPr>
                  </w:pPr>
                </w:p>
              </w:tc>
              <w:tc>
                <w:tcPr>
                  <w:tcW w:w="399" w:type="pct"/>
                  <w:vMerge w:val="continue"/>
                  <w:tcBorders>
                    <w:tl2br w:val="nil"/>
                    <w:tr2bl w:val="nil"/>
                  </w:tcBorders>
                  <w:vAlign w:val="center"/>
                </w:tcPr>
                <w:p w14:paraId="40D72E7E">
                  <w:pPr>
                    <w:adjustRightInd w:val="0"/>
                    <w:snapToGrid w:val="0"/>
                    <w:jc w:val="center"/>
                    <w:rPr>
                      <w:sz w:val="18"/>
                      <w:szCs w:val="18"/>
                    </w:rPr>
                  </w:pPr>
                </w:p>
              </w:tc>
              <w:tc>
                <w:tcPr>
                  <w:tcW w:w="374" w:type="pct"/>
                  <w:vMerge w:val="continue"/>
                  <w:tcBorders>
                    <w:tl2br w:val="nil"/>
                    <w:tr2bl w:val="nil"/>
                  </w:tcBorders>
                  <w:vAlign w:val="center"/>
                </w:tcPr>
                <w:p w14:paraId="1A1F5DFC">
                  <w:pPr>
                    <w:adjustRightInd w:val="0"/>
                    <w:snapToGrid w:val="0"/>
                    <w:jc w:val="center"/>
                    <w:rPr>
                      <w:sz w:val="18"/>
                      <w:szCs w:val="18"/>
                    </w:rPr>
                  </w:pPr>
                </w:p>
              </w:tc>
              <w:tc>
                <w:tcPr>
                  <w:tcW w:w="423" w:type="pct"/>
                  <w:vMerge w:val="continue"/>
                  <w:tcBorders>
                    <w:tl2br w:val="nil"/>
                    <w:tr2bl w:val="nil"/>
                  </w:tcBorders>
                  <w:vAlign w:val="center"/>
                </w:tcPr>
                <w:p w14:paraId="40654797">
                  <w:pPr>
                    <w:adjustRightInd w:val="0"/>
                    <w:snapToGrid w:val="0"/>
                    <w:jc w:val="center"/>
                    <w:rPr>
                      <w:sz w:val="18"/>
                      <w:szCs w:val="18"/>
                    </w:rPr>
                  </w:pPr>
                </w:p>
              </w:tc>
            </w:tr>
            <w:tr w14:paraId="52924F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4" w:hRule="atLeast"/>
                <w:jc w:val="center"/>
              </w:trPr>
              <w:tc>
                <w:tcPr>
                  <w:tcW w:w="318" w:type="pct"/>
                  <w:tcBorders>
                    <w:tl2br w:val="nil"/>
                    <w:tr2bl w:val="nil"/>
                  </w:tcBorders>
                  <w:vAlign w:val="center"/>
                </w:tcPr>
                <w:p w14:paraId="09DA068C">
                  <w:pPr>
                    <w:adjustRightInd w:val="0"/>
                    <w:snapToGrid w:val="0"/>
                    <w:jc w:val="center"/>
                    <w:rPr>
                      <w:sz w:val="18"/>
                      <w:szCs w:val="18"/>
                    </w:rPr>
                  </w:pPr>
                  <w:r>
                    <w:rPr>
                      <w:rFonts w:hint="eastAsia"/>
                      <w:sz w:val="18"/>
                      <w:szCs w:val="18"/>
                    </w:rPr>
                    <w:t>危废仓库</w:t>
                  </w:r>
                </w:p>
              </w:tc>
              <w:tc>
                <w:tcPr>
                  <w:tcW w:w="257" w:type="pct"/>
                  <w:tcBorders>
                    <w:tl2br w:val="nil"/>
                    <w:tr2bl w:val="nil"/>
                  </w:tcBorders>
                  <w:vAlign w:val="center"/>
                </w:tcPr>
                <w:p w14:paraId="0C39D033">
                  <w:pPr>
                    <w:adjustRightInd w:val="0"/>
                    <w:snapToGrid w:val="0"/>
                    <w:jc w:val="center"/>
                    <w:rPr>
                      <w:sz w:val="18"/>
                      <w:szCs w:val="18"/>
                    </w:rPr>
                  </w:pPr>
                  <w:r>
                    <w:rPr>
                      <w:rFonts w:hint="eastAsia"/>
                      <w:sz w:val="18"/>
                      <w:szCs w:val="18"/>
                    </w:rPr>
                    <w:t>/</w:t>
                  </w:r>
                </w:p>
              </w:tc>
              <w:tc>
                <w:tcPr>
                  <w:tcW w:w="367" w:type="pct"/>
                  <w:tcBorders>
                    <w:tl2br w:val="nil"/>
                    <w:tr2bl w:val="nil"/>
                  </w:tcBorders>
                  <w:vAlign w:val="center"/>
                </w:tcPr>
                <w:p w14:paraId="20F4F5DE">
                  <w:pPr>
                    <w:widowControl/>
                    <w:adjustRightInd w:val="0"/>
                    <w:snapToGrid w:val="0"/>
                    <w:jc w:val="center"/>
                    <w:rPr>
                      <w:sz w:val="18"/>
                      <w:szCs w:val="18"/>
                    </w:rPr>
                  </w:pPr>
                  <w:r>
                    <w:rPr>
                      <w:rFonts w:hint="eastAsia"/>
                      <w:sz w:val="18"/>
                      <w:szCs w:val="18"/>
                    </w:rPr>
                    <w:t>非甲烷总烃</w:t>
                  </w:r>
                </w:p>
              </w:tc>
              <w:tc>
                <w:tcPr>
                  <w:tcW w:w="402" w:type="pct"/>
                  <w:tcBorders>
                    <w:tl2br w:val="nil"/>
                    <w:tr2bl w:val="nil"/>
                  </w:tcBorders>
                  <w:vAlign w:val="center"/>
                </w:tcPr>
                <w:p w14:paraId="7089081B">
                  <w:pPr>
                    <w:adjustRightInd w:val="0"/>
                    <w:snapToGrid w:val="0"/>
                    <w:jc w:val="center"/>
                    <w:rPr>
                      <w:rFonts w:hint="eastAsia" w:eastAsia="宋体"/>
                      <w:color w:val="auto"/>
                      <w:sz w:val="18"/>
                      <w:szCs w:val="18"/>
                      <w:lang w:eastAsia="zh-CN"/>
                    </w:rPr>
                  </w:pPr>
                  <w:r>
                    <w:rPr>
                      <w:rFonts w:hint="eastAsia"/>
                      <w:color w:val="auto"/>
                      <w:sz w:val="18"/>
                      <w:szCs w:val="18"/>
                      <w:lang w:eastAsia="zh-CN"/>
                    </w:rPr>
                    <w:t>0.004</w:t>
                  </w:r>
                </w:p>
              </w:tc>
              <w:tc>
                <w:tcPr>
                  <w:tcW w:w="1113" w:type="pct"/>
                  <w:tcBorders>
                    <w:tl2br w:val="nil"/>
                    <w:tr2bl w:val="nil"/>
                  </w:tcBorders>
                  <w:vAlign w:val="center"/>
                </w:tcPr>
                <w:p w14:paraId="5408F86E">
                  <w:pPr>
                    <w:adjustRightInd w:val="0"/>
                    <w:snapToGrid w:val="0"/>
                    <w:jc w:val="center"/>
                    <w:rPr>
                      <w:color w:val="auto"/>
                      <w:sz w:val="18"/>
                      <w:szCs w:val="18"/>
                    </w:rPr>
                  </w:pPr>
                  <w:r>
                    <w:rPr>
                      <w:rFonts w:hint="eastAsia"/>
                      <w:color w:val="auto"/>
                      <w:sz w:val="18"/>
                      <w:szCs w:val="18"/>
                    </w:rPr>
                    <w:t>参照美国环保局网站AP-42空气排放因子汇编中“废物处置-工业固废处置-储存-容器逃逸排放”工序的VOCs产生因子222磅/1000个55加仑容器·年，折算为VOCs排放系数为100.7kg/200t固废·年，即0.5035kg/t固废·年</w:t>
                  </w:r>
                </w:p>
              </w:tc>
              <w:tc>
                <w:tcPr>
                  <w:tcW w:w="373" w:type="pct"/>
                  <w:tcBorders>
                    <w:tl2br w:val="nil"/>
                    <w:tr2bl w:val="nil"/>
                  </w:tcBorders>
                  <w:vAlign w:val="center"/>
                </w:tcPr>
                <w:p w14:paraId="772F8147">
                  <w:pPr>
                    <w:widowControl/>
                    <w:spacing w:line="280" w:lineRule="exact"/>
                    <w:jc w:val="center"/>
                    <w:rPr>
                      <w:sz w:val="18"/>
                      <w:szCs w:val="18"/>
                    </w:rPr>
                  </w:pPr>
                  <w:r>
                    <w:rPr>
                      <w:sz w:val="18"/>
                      <w:szCs w:val="18"/>
                    </w:rPr>
                    <w:t>气体导出口</w:t>
                  </w:r>
                </w:p>
              </w:tc>
              <w:tc>
                <w:tcPr>
                  <w:tcW w:w="253" w:type="pct"/>
                  <w:tcBorders>
                    <w:tl2br w:val="nil"/>
                    <w:tr2bl w:val="nil"/>
                  </w:tcBorders>
                  <w:vAlign w:val="center"/>
                </w:tcPr>
                <w:p w14:paraId="747F8184">
                  <w:pPr>
                    <w:adjustRightInd w:val="0"/>
                    <w:snapToGrid w:val="0"/>
                    <w:spacing w:line="280" w:lineRule="exact"/>
                    <w:jc w:val="center"/>
                    <w:rPr>
                      <w:sz w:val="18"/>
                      <w:szCs w:val="18"/>
                    </w:rPr>
                  </w:pPr>
                  <w:r>
                    <w:rPr>
                      <w:sz w:val="18"/>
                      <w:szCs w:val="18"/>
                    </w:rPr>
                    <w:t>90</w:t>
                  </w:r>
                </w:p>
              </w:tc>
              <w:tc>
                <w:tcPr>
                  <w:tcW w:w="435" w:type="pct"/>
                  <w:tcBorders>
                    <w:tl2br w:val="nil"/>
                    <w:tr2bl w:val="nil"/>
                  </w:tcBorders>
                  <w:vAlign w:val="center"/>
                </w:tcPr>
                <w:p w14:paraId="5A98A78D">
                  <w:pPr>
                    <w:adjustRightInd w:val="0"/>
                    <w:snapToGrid w:val="0"/>
                    <w:spacing w:line="280" w:lineRule="exact"/>
                    <w:jc w:val="center"/>
                    <w:rPr>
                      <w:sz w:val="18"/>
                      <w:szCs w:val="18"/>
                    </w:rPr>
                  </w:pPr>
                  <w:r>
                    <w:rPr>
                      <w:sz w:val="18"/>
                      <w:szCs w:val="18"/>
                    </w:rPr>
                    <w:t>活性炭吸附</w:t>
                  </w:r>
                </w:p>
              </w:tc>
              <w:tc>
                <w:tcPr>
                  <w:tcW w:w="280" w:type="pct"/>
                  <w:tcBorders>
                    <w:tl2br w:val="nil"/>
                    <w:tr2bl w:val="nil"/>
                  </w:tcBorders>
                  <w:vAlign w:val="center"/>
                </w:tcPr>
                <w:p w14:paraId="2D60BD24">
                  <w:pPr>
                    <w:adjustRightInd w:val="0"/>
                    <w:snapToGrid w:val="0"/>
                    <w:jc w:val="center"/>
                    <w:rPr>
                      <w:sz w:val="18"/>
                      <w:szCs w:val="18"/>
                    </w:rPr>
                  </w:pPr>
                  <w:r>
                    <w:rPr>
                      <w:rFonts w:hint="eastAsia"/>
                      <w:sz w:val="18"/>
                      <w:szCs w:val="18"/>
                    </w:rPr>
                    <w:t>70</w:t>
                  </w:r>
                </w:p>
              </w:tc>
              <w:tc>
                <w:tcPr>
                  <w:tcW w:w="399" w:type="pct"/>
                  <w:tcBorders>
                    <w:tl2br w:val="nil"/>
                    <w:tr2bl w:val="nil"/>
                  </w:tcBorders>
                  <w:vAlign w:val="center"/>
                </w:tcPr>
                <w:p w14:paraId="7344DDA6">
                  <w:pPr>
                    <w:adjustRightInd w:val="0"/>
                    <w:snapToGrid w:val="0"/>
                    <w:jc w:val="center"/>
                    <w:rPr>
                      <w:sz w:val="18"/>
                      <w:szCs w:val="18"/>
                    </w:rPr>
                  </w:pPr>
                  <w:r>
                    <w:rPr>
                      <w:sz w:val="18"/>
                      <w:szCs w:val="18"/>
                    </w:rPr>
                    <w:t>是</w:t>
                  </w:r>
                </w:p>
              </w:tc>
              <w:tc>
                <w:tcPr>
                  <w:tcW w:w="374" w:type="pct"/>
                  <w:tcBorders>
                    <w:tl2br w:val="nil"/>
                    <w:tr2bl w:val="nil"/>
                  </w:tcBorders>
                  <w:vAlign w:val="center"/>
                </w:tcPr>
                <w:p w14:paraId="33F825C3">
                  <w:pPr>
                    <w:adjustRightInd w:val="0"/>
                    <w:snapToGrid w:val="0"/>
                    <w:jc w:val="center"/>
                    <w:rPr>
                      <w:sz w:val="18"/>
                      <w:szCs w:val="18"/>
                    </w:rPr>
                  </w:pPr>
                  <w:r>
                    <w:rPr>
                      <w:rFonts w:hint="eastAsia"/>
                      <w:sz w:val="18"/>
                      <w:szCs w:val="18"/>
                    </w:rPr>
                    <w:t>200</w:t>
                  </w:r>
                </w:p>
              </w:tc>
              <w:tc>
                <w:tcPr>
                  <w:tcW w:w="423" w:type="pct"/>
                  <w:tcBorders>
                    <w:tl2br w:val="nil"/>
                    <w:tr2bl w:val="nil"/>
                  </w:tcBorders>
                  <w:vAlign w:val="center"/>
                </w:tcPr>
                <w:p w14:paraId="51CD7870">
                  <w:pPr>
                    <w:adjustRightInd w:val="0"/>
                    <w:snapToGrid w:val="0"/>
                    <w:jc w:val="center"/>
                    <w:rPr>
                      <w:sz w:val="18"/>
                      <w:szCs w:val="18"/>
                    </w:rPr>
                  </w:pPr>
                  <w:r>
                    <w:rPr>
                      <w:rFonts w:hint="eastAsia"/>
                      <w:sz w:val="18"/>
                      <w:szCs w:val="18"/>
                    </w:rPr>
                    <w:t>有组织、无组织</w:t>
                  </w:r>
                </w:p>
              </w:tc>
            </w:tr>
          </w:tbl>
          <w:p w14:paraId="51F85AE4">
            <w:pPr>
              <w:adjustRightInd w:val="0"/>
              <w:snapToGrid w:val="0"/>
              <w:spacing w:line="360" w:lineRule="auto"/>
              <w:ind w:firstLine="422" w:firstLineChars="200"/>
              <w:rPr>
                <w:b/>
                <w:bCs/>
                <w:kern w:val="0"/>
                <w:szCs w:val="21"/>
              </w:rPr>
            </w:pPr>
            <w:r>
              <w:rPr>
                <w:b/>
                <w:bCs/>
                <w:kern w:val="0"/>
                <w:szCs w:val="21"/>
              </w:rPr>
              <w:t>（2）有组织废气产生和排放情况</w:t>
            </w:r>
          </w:p>
          <w:p w14:paraId="3FC3BF95">
            <w:pPr>
              <w:adjustRightInd w:val="0"/>
              <w:snapToGrid w:val="0"/>
              <w:spacing w:line="360" w:lineRule="auto"/>
              <w:ind w:firstLine="420" w:firstLineChars="200"/>
              <w:jc w:val="left"/>
              <w:rPr>
                <w:kern w:val="0"/>
                <w:szCs w:val="21"/>
              </w:rPr>
            </w:pPr>
            <w:r>
              <w:rPr>
                <w:kern w:val="0"/>
                <w:szCs w:val="21"/>
              </w:rPr>
              <w:t>建设项目有组织废气产生及排放情况一览表见表4-</w:t>
            </w:r>
            <w:r>
              <w:rPr>
                <w:rFonts w:hint="eastAsia"/>
                <w:kern w:val="0"/>
                <w:szCs w:val="21"/>
              </w:rPr>
              <w:t>3</w:t>
            </w:r>
            <w:r>
              <w:rPr>
                <w:kern w:val="0"/>
                <w:szCs w:val="21"/>
              </w:rPr>
              <w:t>。</w:t>
            </w:r>
          </w:p>
          <w:p w14:paraId="353F5A37">
            <w:pPr>
              <w:adjustRightInd w:val="0"/>
              <w:snapToGrid w:val="0"/>
              <w:jc w:val="center"/>
              <w:rPr>
                <w:b/>
                <w:bCs/>
                <w:szCs w:val="21"/>
              </w:rPr>
            </w:pPr>
            <w:r>
              <w:rPr>
                <w:b/>
                <w:bCs/>
                <w:kern w:val="0"/>
                <w:szCs w:val="21"/>
              </w:rPr>
              <w:t>表4-</w:t>
            </w:r>
            <w:r>
              <w:rPr>
                <w:rFonts w:hint="eastAsia"/>
                <w:b/>
                <w:bCs/>
                <w:kern w:val="0"/>
                <w:szCs w:val="21"/>
              </w:rPr>
              <w:t>3</w:t>
            </w:r>
            <w:r>
              <w:rPr>
                <w:b/>
                <w:bCs/>
                <w:kern w:val="0"/>
                <w:szCs w:val="21"/>
              </w:rPr>
              <w:t xml:space="preserve"> 建设项目有组织废气产生及排放情况一览表</w:t>
            </w:r>
          </w:p>
          <w:tbl>
            <w:tblPr>
              <w:tblStyle w:val="23"/>
              <w:tblW w:w="888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3"/>
              <w:gridCol w:w="331"/>
              <w:gridCol w:w="600"/>
              <w:gridCol w:w="630"/>
              <w:gridCol w:w="750"/>
              <w:gridCol w:w="720"/>
              <w:gridCol w:w="736"/>
              <w:gridCol w:w="656"/>
              <w:gridCol w:w="663"/>
              <w:gridCol w:w="780"/>
              <w:gridCol w:w="825"/>
              <w:gridCol w:w="736"/>
              <w:gridCol w:w="629"/>
            </w:tblGrid>
            <w:tr w14:paraId="6DD6D9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33" w:type="dxa"/>
                  <w:vMerge w:val="restart"/>
                  <w:tcBorders>
                    <w:tl2br w:val="nil"/>
                    <w:tr2bl w:val="nil"/>
                  </w:tcBorders>
                  <w:vAlign w:val="center"/>
                </w:tcPr>
                <w:p w14:paraId="5A74BF2E">
                  <w:pPr>
                    <w:pStyle w:val="121"/>
                    <w:widowControl/>
                    <w:rPr>
                      <w:b/>
                      <w:bCs/>
                      <w:sz w:val="18"/>
                      <w:szCs w:val="18"/>
                    </w:rPr>
                  </w:pPr>
                  <w:r>
                    <w:rPr>
                      <w:b/>
                      <w:bCs/>
                      <w:sz w:val="18"/>
                      <w:szCs w:val="18"/>
                    </w:rPr>
                    <w:t>污染源</w:t>
                  </w:r>
                </w:p>
              </w:tc>
              <w:tc>
                <w:tcPr>
                  <w:tcW w:w="931" w:type="dxa"/>
                  <w:gridSpan w:val="2"/>
                  <w:vMerge w:val="restart"/>
                  <w:tcBorders>
                    <w:tl2br w:val="nil"/>
                    <w:tr2bl w:val="nil"/>
                  </w:tcBorders>
                  <w:vAlign w:val="center"/>
                </w:tcPr>
                <w:p w14:paraId="4BD72153">
                  <w:pPr>
                    <w:pStyle w:val="121"/>
                    <w:widowControl/>
                    <w:rPr>
                      <w:b/>
                      <w:bCs/>
                      <w:sz w:val="18"/>
                      <w:szCs w:val="18"/>
                    </w:rPr>
                  </w:pPr>
                  <w:r>
                    <w:rPr>
                      <w:b/>
                      <w:bCs/>
                      <w:sz w:val="18"/>
                      <w:szCs w:val="18"/>
                    </w:rPr>
                    <w:t>污染物名称</w:t>
                  </w:r>
                </w:p>
              </w:tc>
              <w:tc>
                <w:tcPr>
                  <w:tcW w:w="630" w:type="dxa"/>
                  <w:vMerge w:val="restart"/>
                  <w:tcBorders>
                    <w:tl2br w:val="nil"/>
                    <w:tr2bl w:val="nil"/>
                  </w:tcBorders>
                  <w:vAlign w:val="center"/>
                </w:tcPr>
                <w:p w14:paraId="17265049">
                  <w:pPr>
                    <w:pStyle w:val="121"/>
                    <w:widowControl/>
                    <w:rPr>
                      <w:b/>
                      <w:bCs/>
                      <w:sz w:val="18"/>
                      <w:szCs w:val="18"/>
                    </w:rPr>
                  </w:pPr>
                  <w:r>
                    <w:rPr>
                      <w:b/>
                      <w:bCs/>
                      <w:sz w:val="18"/>
                      <w:szCs w:val="18"/>
                    </w:rPr>
                    <w:t>废气量</w:t>
                  </w:r>
                </w:p>
                <w:p w14:paraId="33E2BFE9">
                  <w:pPr>
                    <w:pStyle w:val="121"/>
                    <w:widowControl/>
                    <w:rPr>
                      <w:b/>
                      <w:bCs/>
                      <w:sz w:val="18"/>
                      <w:szCs w:val="18"/>
                    </w:rPr>
                  </w:pPr>
                  <w:r>
                    <w:rPr>
                      <w:b/>
                      <w:bCs/>
                      <w:sz w:val="18"/>
                      <w:szCs w:val="18"/>
                    </w:rPr>
                    <w:t>m</w:t>
                  </w:r>
                  <w:r>
                    <w:rPr>
                      <w:b/>
                      <w:bCs/>
                      <w:sz w:val="18"/>
                      <w:szCs w:val="18"/>
                      <w:vertAlign w:val="superscript"/>
                    </w:rPr>
                    <w:t>3</w:t>
                  </w:r>
                  <w:r>
                    <w:rPr>
                      <w:b/>
                      <w:bCs/>
                      <w:sz w:val="18"/>
                      <w:szCs w:val="18"/>
                    </w:rPr>
                    <w:t>/h</w:t>
                  </w:r>
                </w:p>
              </w:tc>
              <w:tc>
                <w:tcPr>
                  <w:tcW w:w="2206" w:type="dxa"/>
                  <w:gridSpan w:val="3"/>
                  <w:tcBorders>
                    <w:tl2br w:val="nil"/>
                    <w:tr2bl w:val="nil"/>
                  </w:tcBorders>
                  <w:vAlign w:val="center"/>
                </w:tcPr>
                <w:p w14:paraId="1CE91AC0">
                  <w:pPr>
                    <w:pStyle w:val="121"/>
                    <w:widowControl/>
                    <w:rPr>
                      <w:b/>
                      <w:bCs/>
                      <w:sz w:val="18"/>
                      <w:szCs w:val="18"/>
                    </w:rPr>
                  </w:pPr>
                  <w:r>
                    <w:rPr>
                      <w:b/>
                      <w:bCs/>
                      <w:sz w:val="18"/>
                      <w:szCs w:val="18"/>
                    </w:rPr>
                    <w:t>产生情况</w:t>
                  </w:r>
                </w:p>
              </w:tc>
              <w:tc>
                <w:tcPr>
                  <w:tcW w:w="656" w:type="dxa"/>
                  <w:vMerge w:val="restart"/>
                  <w:tcBorders>
                    <w:tl2br w:val="nil"/>
                    <w:tr2bl w:val="nil"/>
                  </w:tcBorders>
                  <w:vAlign w:val="center"/>
                </w:tcPr>
                <w:p w14:paraId="35B3E7B4">
                  <w:pPr>
                    <w:pStyle w:val="121"/>
                    <w:widowControl/>
                    <w:rPr>
                      <w:b/>
                      <w:bCs/>
                      <w:sz w:val="18"/>
                      <w:szCs w:val="18"/>
                    </w:rPr>
                  </w:pPr>
                  <w:r>
                    <w:rPr>
                      <w:b/>
                      <w:bCs/>
                      <w:sz w:val="18"/>
                      <w:szCs w:val="18"/>
                    </w:rPr>
                    <w:t>处理</w:t>
                  </w:r>
                </w:p>
                <w:p w14:paraId="51CCC7D2">
                  <w:pPr>
                    <w:pStyle w:val="121"/>
                    <w:widowControl/>
                    <w:rPr>
                      <w:b/>
                      <w:bCs/>
                      <w:sz w:val="18"/>
                      <w:szCs w:val="18"/>
                    </w:rPr>
                  </w:pPr>
                  <w:r>
                    <w:rPr>
                      <w:b/>
                      <w:bCs/>
                      <w:sz w:val="18"/>
                      <w:szCs w:val="18"/>
                    </w:rPr>
                    <w:t>方式</w:t>
                  </w:r>
                </w:p>
              </w:tc>
              <w:tc>
                <w:tcPr>
                  <w:tcW w:w="663" w:type="dxa"/>
                  <w:vMerge w:val="restart"/>
                  <w:tcBorders>
                    <w:tl2br w:val="nil"/>
                    <w:tr2bl w:val="nil"/>
                  </w:tcBorders>
                  <w:vAlign w:val="center"/>
                </w:tcPr>
                <w:p w14:paraId="381A9E8D">
                  <w:pPr>
                    <w:pStyle w:val="121"/>
                    <w:widowControl/>
                    <w:rPr>
                      <w:b/>
                      <w:bCs/>
                      <w:sz w:val="18"/>
                      <w:szCs w:val="18"/>
                    </w:rPr>
                  </w:pPr>
                  <w:r>
                    <w:rPr>
                      <w:b/>
                      <w:bCs/>
                      <w:sz w:val="18"/>
                      <w:szCs w:val="18"/>
                    </w:rPr>
                    <w:t>处理效率</w:t>
                  </w:r>
                </w:p>
                <w:p w14:paraId="70416A33">
                  <w:pPr>
                    <w:pStyle w:val="121"/>
                    <w:widowControl/>
                    <w:rPr>
                      <w:b/>
                      <w:bCs/>
                      <w:sz w:val="18"/>
                      <w:szCs w:val="18"/>
                    </w:rPr>
                  </w:pPr>
                  <w:r>
                    <w:rPr>
                      <w:b/>
                      <w:bCs/>
                      <w:sz w:val="18"/>
                      <w:szCs w:val="18"/>
                    </w:rPr>
                    <w:t>%</w:t>
                  </w:r>
                </w:p>
              </w:tc>
              <w:tc>
                <w:tcPr>
                  <w:tcW w:w="2341" w:type="dxa"/>
                  <w:gridSpan w:val="3"/>
                  <w:tcBorders>
                    <w:tl2br w:val="nil"/>
                    <w:tr2bl w:val="nil"/>
                  </w:tcBorders>
                  <w:vAlign w:val="center"/>
                </w:tcPr>
                <w:p w14:paraId="189424B6">
                  <w:pPr>
                    <w:pStyle w:val="121"/>
                    <w:widowControl/>
                    <w:rPr>
                      <w:b/>
                      <w:bCs/>
                      <w:sz w:val="18"/>
                      <w:szCs w:val="18"/>
                    </w:rPr>
                  </w:pPr>
                  <w:r>
                    <w:rPr>
                      <w:b/>
                      <w:bCs/>
                      <w:sz w:val="18"/>
                      <w:szCs w:val="18"/>
                    </w:rPr>
                    <w:t>排放情况</w:t>
                  </w:r>
                </w:p>
              </w:tc>
              <w:tc>
                <w:tcPr>
                  <w:tcW w:w="629" w:type="dxa"/>
                  <w:vMerge w:val="restart"/>
                  <w:tcBorders>
                    <w:tl2br w:val="nil"/>
                    <w:tr2bl w:val="nil"/>
                  </w:tcBorders>
                  <w:vAlign w:val="center"/>
                </w:tcPr>
                <w:p w14:paraId="0651091A">
                  <w:pPr>
                    <w:adjustRightInd w:val="0"/>
                    <w:snapToGrid w:val="0"/>
                    <w:jc w:val="center"/>
                    <w:rPr>
                      <w:b/>
                      <w:bCs/>
                      <w:sz w:val="18"/>
                      <w:szCs w:val="18"/>
                    </w:rPr>
                  </w:pPr>
                  <w:r>
                    <w:rPr>
                      <w:b/>
                      <w:bCs/>
                      <w:sz w:val="18"/>
                      <w:szCs w:val="18"/>
                    </w:rPr>
                    <w:t>排放方式</w:t>
                  </w:r>
                </w:p>
              </w:tc>
            </w:tr>
            <w:tr w14:paraId="3C230D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33" w:type="dxa"/>
                  <w:vMerge w:val="continue"/>
                  <w:tcBorders>
                    <w:tl2br w:val="nil"/>
                    <w:tr2bl w:val="nil"/>
                  </w:tcBorders>
                  <w:vAlign w:val="center"/>
                </w:tcPr>
                <w:p w14:paraId="66689FC7">
                  <w:pPr>
                    <w:widowControl/>
                    <w:jc w:val="left"/>
                    <w:rPr>
                      <w:b/>
                      <w:bCs/>
                      <w:sz w:val="18"/>
                      <w:szCs w:val="18"/>
                    </w:rPr>
                  </w:pPr>
                </w:p>
              </w:tc>
              <w:tc>
                <w:tcPr>
                  <w:tcW w:w="931" w:type="dxa"/>
                  <w:gridSpan w:val="2"/>
                  <w:vMerge w:val="continue"/>
                  <w:tcBorders>
                    <w:tl2br w:val="nil"/>
                    <w:tr2bl w:val="nil"/>
                  </w:tcBorders>
                  <w:vAlign w:val="center"/>
                </w:tcPr>
                <w:p w14:paraId="56C6737A">
                  <w:pPr>
                    <w:widowControl/>
                    <w:jc w:val="left"/>
                    <w:rPr>
                      <w:b/>
                      <w:bCs/>
                      <w:sz w:val="18"/>
                      <w:szCs w:val="18"/>
                    </w:rPr>
                  </w:pPr>
                </w:p>
              </w:tc>
              <w:tc>
                <w:tcPr>
                  <w:tcW w:w="630" w:type="dxa"/>
                  <w:vMerge w:val="continue"/>
                  <w:tcBorders>
                    <w:tl2br w:val="nil"/>
                    <w:tr2bl w:val="nil"/>
                  </w:tcBorders>
                  <w:vAlign w:val="center"/>
                </w:tcPr>
                <w:p w14:paraId="1648F586">
                  <w:pPr>
                    <w:widowControl/>
                    <w:jc w:val="left"/>
                    <w:rPr>
                      <w:b/>
                      <w:bCs/>
                      <w:sz w:val="18"/>
                      <w:szCs w:val="18"/>
                    </w:rPr>
                  </w:pPr>
                </w:p>
              </w:tc>
              <w:tc>
                <w:tcPr>
                  <w:tcW w:w="750" w:type="dxa"/>
                  <w:tcBorders>
                    <w:tl2br w:val="nil"/>
                    <w:tr2bl w:val="nil"/>
                  </w:tcBorders>
                  <w:vAlign w:val="center"/>
                </w:tcPr>
                <w:p w14:paraId="07FFE63B">
                  <w:pPr>
                    <w:pStyle w:val="121"/>
                    <w:widowControl/>
                    <w:rPr>
                      <w:b/>
                      <w:bCs/>
                      <w:sz w:val="18"/>
                      <w:szCs w:val="18"/>
                    </w:rPr>
                  </w:pPr>
                  <w:r>
                    <w:rPr>
                      <w:b/>
                      <w:bCs/>
                      <w:sz w:val="18"/>
                      <w:szCs w:val="18"/>
                    </w:rPr>
                    <w:t>产生</w:t>
                  </w:r>
                </w:p>
                <w:p w14:paraId="7F302305">
                  <w:pPr>
                    <w:pStyle w:val="121"/>
                    <w:widowControl/>
                    <w:rPr>
                      <w:b/>
                      <w:bCs/>
                      <w:sz w:val="18"/>
                      <w:szCs w:val="18"/>
                    </w:rPr>
                  </w:pPr>
                  <w:r>
                    <w:rPr>
                      <w:b/>
                      <w:bCs/>
                      <w:sz w:val="18"/>
                      <w:szCs w:val="18"/>
                    </w:rPr>
                    <w:t>浓度mg/m</w:t>
                  </w:r>
                  <w:r>
                    <w:rPr>
                      <w:b/>
                      <w:bCs/>
                      <w:sz w:val="18"/>
                      <w:szCs w:val="18"/>
                      <w:vertAlign w:val="superscript"/>
                    </w:rPr>
                    <w:t>3</w:t>
                  </w:r>
                </w:p>
              </w:tc>
              <w:tc>
                <w:tcPr>
                  <w:tcW w:w="720" w:type="dxa"/>
                  <w:tcBorders>
                    <w:tl2br w:val="nil"/>
                    <w:tr2bl w:val="nil"/>
                  </w:tcBorders>
                  <w:vAlign w:val="center"/>
                </w:tcPr>
                <w:p w14:paraId="74BC82DB">
                  <w:pPr>
                    <w:pStyle w:val="121"/>
                    <w:widowControl/>
                    <w:rPr>
                      <w:b/>
                      <w:bCs/>
                      <w:sz w:val="18"/>
                      <w:szCs w:val="18"/>
                    </w:rPr>
                  </w:pPr>
                  <w:r>
                    <w:rPr>
                      <w:b/>
                      <w:bCs/>
                      <w:sz w:val="18"/>
                      <w:szCs w:val="18"/>
                    </w:rPr>
                    <w:t>产生</w:t>
                  </w:r>
                </w:p>
                <w:p w14:paraId="7EF4F820">
                  <w:pPr>
                    <w:pStyle w:val="121"/>
                    <w:widowControl/>
                    <w:rPr>
                      <w:b/>
                      <w:bCs/>
                      <w:sz w:val="18"/>
                      <w:szCs w:val="18"/>
                    </w:rPr>
                  </w:pPr>
                  <w:r>
                    <w:rPr>
                      <w:b/>
                      <w:bCs/>
                      <w:sz w:val="18"/>
                      <w:szCs w:val="18"/>
                    </w:rPr>
                    <w:t>速率</w:t>
                  </w:r>
                </w:p>
                <w:p w14:paraId="16DFEB79">
                  <w:pPr>
                    <w:pStyle w:val="121"/>
                    <w:widowControl/>
                    <w:rPr>
                      <w:b/>
                      <w:bCs/>
                      <w:sz w:val="18"/>
                      <w:szCs w:val="18"/>
                    </w:rPr>
                  </w:pPr>
                  <w:r>
                    <w:rPr>
                      <w:b/>
                      <w:bCs/>
                      <w:sz w:val="18"/>
                      <w:szCs w:val="18"/>
                    </w:rPr>
                    <w:t>kg/h</w:t>
                  </w:r>
                </w:p>
              </w:tc>
              <w:tc>
                <w:tcPr>
                  <w:tcW w:w="736" w:type="dxa"/>
                  <w:tcBorders>
                    <w:tl2br w:val="nil"/>
                    <w:tr2bl w:val="nil"/>
                  </w:tcBorders>
                  <w:vAlign w:val="center"/>
                </w:tcPr>
                <w:p w14:paraId="27594093">
                  <w:pPr>
                    <w:pStyle w:val="121"/>
                    <w:widowControl/>
                    <w:rPr>
                      <w:b/>
                      <w:bCs/>
                      <w:sz w:val="18"/>
                      <w:szCs w:val="18"/>
                    </w:rPr>
                  </w:pPr>
                  <w:r>
                    <w:rPr>
                      <w:b/>
                      <w:bCs/>
                      <w:sz w:val="18"/>
                      <w:szCs w:val="18"/>
                    </w:rPr>
                    <w:t>产生量</w:t>
                  </w:r>
                </w:p>
                <w:p w14:paraId="260F030C">
                  <w:pPr>
                    <w:pStyle w:val="121"/>
                    <w:widowControl/>
                    <w:rPr>
                      <w:b/>
                      <w:bCs/>
                      <w:sz w:val="18"/>
                      <w:szCs w:val="18"/>
                    </w:rPr>
                  </w:pPr>
                  <w:r>
                    <w:rPr>
                      <w:b/>
                      <w:bCs/>
                      <w:sz w:val="18"/>
                      <w:szCs w:val="18"/>
                    </w:rPr>
                    <w:t>t/a</w:t>
                  </w:r>
                </w:p>
              </w:tc>
              <w:tc>
                <w:tcPr>
                  <w:tcW w:w="656" w:type="dxa"/>
                  <w:vMerge w:val="continue"/>
                  <w:tcBorders>
                    <w:tl2br w:val="nil"/>
                    <w:tr2bl w:val="nil"/>
                  </w:tcBorders>
                  <w:vAlign w:val="center"/>
                </w:tcPr>
                <w:p w14:paraId="28F4AD51">
                  <w:pPr>
                    <w:widowControl/>
                    <w:jc w:val="left"/>
                    <w:rPr>
                      <w:b/>
                      <w:bCs/>
                      <w:sz w:val="18"/>
                      <w:szCs w:val="18"/>
                    </w:rPr>
                  </w:pPr>
                </w:p>
              </w:tc>
              <w:tc>
                <w:tcPr>
                  <w:tcW w:w="663" w:type="dxa"/>
                  <w:vMerge w:val="continue"/>
                  <w:tcBorders>
                    <w:tl2br w:val="nil"/>
                    <w:tr2bl w:val="nil"/>
                  </w:tcBorders>
                  <w:vAlign w:val="center"/>
                </w:tcPr>
                <w:p w14:paraId="4DA9BA9E">
                  <w:pPr>
                    <w:widowControl/>
                    <w:jc w:val="left"/>
                    <w:rPr>
                      <w:b/>
                      <w:bCs/>
                      <w:sz w:val="18"/>
                      <w:szCs w:val="18"/>
                    </w:rPr>
                  </w:pPr>
                </w:p>
              </w:tc>
              <w:tc>
                <w:tcPr>
                  <w:tcW w:w="780" w:type="dxa"/>
                  <w:tcBorders>
                    <w:tl2br w:val="nil"/>
                    <w:tr2bl w:val="nil"/>
                  </w:tcBorders>
                  <w:vAlign w:val="center"/>
                </w:tcPr>
                <w:p w14:paraId="0369101A">
                  <w:pPr>
                    <w:pStyle w:val="121"/>
                    <w:widowControl/>
                    <w:rPr>
                      <w:b/>
                      <w:bCs/>
                      <w:sz w:val="18"/>
                      <w:szCs w:val="18"/>
                    </w:rPr>
                  </w:pPr>
                  <w:r>
                    <w:rPr>
                      <w:b/>
                      <w:bCs/>
                      <w:sz w:val="18"/>
                      <w:szCs w:val="18"/>
                    </w:rPr>
                    <w:t>排放</w:t>
                  </w:r>
                </w:p>
                <w:p w14:paraId="709B5A9B">
                  <w:pPr>
                    <w:pStyle w:val="121"/>
                    <w:widowControl/>
                    <w:rPr>
                      <w:b/>
                      <w:bCs/>
                      <w:sz w:val="18"/>
                      <w:szCs w:val="18"/>
                    </w:rPr>
                  </w:pPr>
                  <w:r>
                    <w:rPr>
                      <w:b/>
                      <w:bCs/>
                      <w:sz w:val="18"/>
                      <w:szCs w:val="18"/>
                    </w:rPr>
                    <w:t>浓度</w:t>
                  </w:r>
                </w:p>
                <w:p w14:paraId="12EFF01C">
                  <w:pPr>
                    <w:pStyle w:val="121"/>
                    <w:widowControl/>
                    <w:rPr>
                      <w:b/>
                      <w:bCs/>
                      <w:sz w:val="18"/>
                      <w:szCs w:val="18"/>
                    </w:rPr>
                  </w:pPr>
                  <w:r>
                    <w:rPr>
                      <w:b/>
                      <w:bCs/>
                      <w:sz w:val="18"/>
                      <w:szCs w:val="18"/>
                    </w:rPr>
                    <w:t>mg/m</w:t>
                  </w:r>
                  <w:r>
                    <w:rPr>
                      <w:b/>
                      <w:bCs/>
                      <w:sz w:val="18"/>
                      <w:szCs w:val="18"/>
                      <w:vertAlign w:val="superscript"/>
                    </w:rPr>
                    <w:t>3</w:t>
                  </w:r>
                </w:p>
              </w:tc>
              <w:tc>
                <w:tcPr>
                  <w:tcW w:w="825" w:type="dxa"/>
                  <w:tcBorders>
                    <w:tl2br w:val="nil"/>
                    <w:tr2bl w:val="nil"/>
                  </w:tcBorders>
                  <w:vAlign w:val="center"/>
                </w:tcPr>
                <w:p w14:paraId="19DB2922">
                  <w:pPr>
                    <w:pStyle w:val="121"/>
                    <w:widowControl/>
                    <w:rPr>
                      <w:b/>
                      <w:bCs/>
                      <w:sz w:val="18"/>
                      <w:szCs w:val="18"/>
                    </w:rPr>
                  </w:pPr>
                  <w:r>
                    <w:rPr>
                      <w:b/>
                      <w:bCs/>
                      <w:sz w:val="18"/>
                      <w:szCs w:val="18"/>
                    </w:rPr>
                    <w:t>排放</w:t>
                  </w:r>
                </w:p>
                <w:p w14:paraId="07C5B15B">
                  <w:pPr>
                    <w:pStyle w:val="121"/>
                    <w:widowControl/>
                    <w:rPr>
                      <w:b/>
                      <w:bCs/>
                      <w:sz w:val="18"/>
                      <w:szCs w:val="18"/>
                    </w:rPr>
                  </w:pPr>
                  <w:r>
                    <w:rPr>
                      <w:b/>
                      <w:bCs/>
                      <w:sz w:val="18"/>
                      <w:szCs w:val="18"/>
                    </w:rPr>
                    <w:t>速率</w:t>
                  </w:r>
                </w:p>
                <w:p w14:paraId="4631A5C8">
                  <w:pPr>
                    <w:pStyle w:val="121"/>
                    <w:widowControl/>
                    <w:rPr>
                      <w:b/>
                      <w:bCs/>
                      <w:sz w:val="18"/>
                      <w:szCs w:val="18"/>
                    </w:rPr>
                  </w:pPr>
                  <w:r>
                    <w:rPr>
                      <w:b/>
                      <w:bCs/>
                      <w:sz w:val="18"/>
                      <w:szCs w:val="18"/>
                    </w:rPr>
                    <w:t>kg/h</w:t>
                  </w:r>
                </w:p>
              </w:tc>
              <w:tc>
                <w:tcPr>
                  <w:tcW w:w="736" w:type="dxa"/>
                  <w:tcBorders>
                    <w:tl2br w:val="nil"/>
                    <w:tr2bl w:val="nil"/>
                  </w:tcBorders>
                  <w:vAlign w:val="center"/>
                </w:tcPr>
                <w:p w14:paraId="79B1CC8F">
                  <w:pPr>
                    <w:pStyle w:val="121"/>
                    <w:widowControl/>
                    <w:rPr>
                      <w:b/>
                      <w:bCs/>
                      <w:sz w:val="18"/>
                      <w:szCs w:val="18"/>
                    </w:rPr>
                  </w:pPr>
                  <w:r>
                    <w:rPr>
                      <w:b/>
                      <w:bCs/>
                      <w:sz w:val="18"/>
                      <w:szCs w:val="18"/>
                    </w:rPr>
                    <w:t>排放量</w:t>
                  </w:r>
                </w:p>
                <w:p w14:paraId="35018129">
                  <w:pPr>
                    <w:pStyle w:val="121"/>
                    <w:widowControl/>
                    <w:rPr>
                      <w:b/>
                      <w:bCs/>
                      <w:sz w:val="18"/>
                      <w:szCs w:val="18"/>
                    </w:rPr>
                  </w:pPr>
                  <w:r>
                    <w:rPr>
                      <w:b/>
                      <w:bCs/>
                      <w:sz w:val="18"/>
                      <w:szCs w:val="18"/>
                    </w:rPr>
                    <w:t>t/a</w:t>
                  </w:r>
                </w:p>
              </w:tc>
              <w:tc>
                <w:tcPr>
                  <w:tcW w:w="629" w:type="dxa"/>
                  <w:vMerge w:val="continue"/>
                  <w:tcBorders>
                    <w:tl2br w:val="nil"/>
                    <w:tr2bl w:val="nil"/>
                  </w:tcBorders>
                  <w:vAlign w:val="center"/>
                </w:tcPr>
                <w:p w14:paraId="15C4DB70">
                  <w:pPr>
                    <w:widowControl/>
                    <w:jc w:val="left"/>
                    <w:rPr>
                      <w:b/>
                      <w:bCs/>
                      <w:sz w:val="18"/>
                      <w:szCs w:val="18"/>
                    </w:rPr>
                  </w:pPr>
                </w:p>
              </w:tc>
            </w:tr>
            <w:tr w14:paraId="27B417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33" w:type="dxa"/>
                  <w:vMerge w:val="restart"/>
                  <w:tcBorders>
                    <w:tl2br w:val="nil"/>
                    <w:tr2bl w:val="nil"/>
                  </w:tcBorders>
                  <w:vAlign w:val="center"/>
                </w:tcPr>
                <w:p w14:paraId="27C937EC">
                  <w:pPr>
                    <w:widowControl/>
                    <w:adjustRightInd w:val="0"/>
                    <w:snapToGrid w:val="0"/>
                    <w:jc w:val="center"/>
                    <w:textAlignment w:val="center"/>
                    <w:rPr>
                      <w:kern w:val="0"/>
                      <w:sz w:val="18"/>
                      <w:szCs w:val="18"/>
                      <w:lang w:bidi="ar"/>
                    </w:rPr>
                  </w:pPr>
                  <w:r>
                    <w:rPr>
                      <w:rFonts w:hint="eastAsia"/>
                      <w:sz w:val="18"/>
                      <w:szCs w:val="18"/>
                    </w:rPr>
                    <w:t>均质、均匀性初检、稳定性评估</w:t>
                  </w:r>
                </w:p>
              </w:tc>
              <w:tc>
                <w:tcPr>
                  <w:tcW w:w="931" w:type="dxa"/>
                  <w:gridSpan w:val="2"/>
                  <w:tcBorders>
                    <w:tl2br w:val="nil"/>
                    <w:tr2bl w:val="nil"/>
                  </w:tcBorders>
                  <w:vAlign w:val="center"/>
                </w:tcPr>
                <w:p w14:paraId="6D732575">
                  <w:pPr>
                    <w:widowControl/>
                    <w:adjustRightInd w:val="0"/>
                    <w:snapToGrid w:val="0"/>
                    <w:jc w:val="center"/>
                    <w:rPr>
                      <w:sz w:val="18"/>
                      <w:szCs w:val="18"/>
                    </w:rPr>
                  </w:pPr>
                  <w:r>
                    <w:rPr>
                      <w:rFonts w:hint="eastAsia"/>
                      <w:sz w:val="18"/>
                      <w:szCs w:val="18"/>
                    </w:rPr>
                    <w:t>非甲烷总烃</w:t>
                  </w:r>
                </w:p>
              </w:tc>
              <w:tc>
                <w:tcPr>
                  <w:tcW w:w="630" w:type="dxa"/>
                  <w:vMerge w:val="restart"/>
                  <w:tcBorders>
                    <w:tl2br w:val="nil"/>
                    <w:tr2bl w:val="nil"/>
                  </w:tcBorders>
                  <w:vAlign w:val="center"/>
                </w:tcPr>
                <w:p w14:paraId="7570F9B4">
                  <w:pPr>
                    <w:widowControl/>
                    <w:jc w:val="center"/>
                    <w:textAlignment w:val="center"/>
                    <w:rPr>
                      <w:sz w:val="18"/>
                      <w:szCs w:val="18"/>
                    </w:rPr>
                  </w:pPr>
                  <w:r>
                    <w:rPr>
                      <w:rFonts w:hint="eastAsia"/>
                      <w:sz w:val="18"/>
                      <w:szCs w:val="18"/>
                    </w:rPr>
                    <w:t>7000</w:t>
                  </w:r>
                </w:p>
              </w:tc>
              <w:tc>
                <w:tcPr>
                  <w:tcW w:w="750" w:type="dxa"/>
                  <w:tcBorders>
                    <w:tl2br w:val="nil"/>
                    <w:tr2bl w:val="nil"/>
                  </w:tcBorders>
                  <w:vAlign w:val="center"/>
                </w:tcPr>
                <w:p w14:paraId="0A286681">
                  <w:pPr>
                    <w:widowControl/>
                    <w:jc w:val="center"/>
                    <w:textAlignment w:val="center"/>
                    <w:rPr>
                      <w:rFonts w:hint="eastAsia" w:eastAsia="宋体"/>
                      <w:color w:val="auto"/>
                      <w:sz w:val="18"/>
                      <w:szCs w:val="18"/>
                      <w:lang w:eastAsia="zh-CN"/>
                    </w:rPr>
                  </w:pPr>
                  <w:r>
                    <w:rPr>
                      <w:rFonts w:hint="eastAsia"/>
                      <w:color w:val="auto"/>
                      <w:sz w:val="18"/>
                      <w:szCs w:val="18"/>
                    </w:rPr>
                    <w:t>4.</w:t>
                  </w:r>
                  <w:r>
                    <w:rPr>
                      <w:rFonts w:hint="eastAsia"/>
                      <w:color w:val="auto"/>
                      <w:sz w:val="18"/>
                      <w:szCs w:val="18"/>
                      <w:lang w:val="en-US" w:eastAsia="zh-CN"/>
                    </w:rPr>
                    <w:t>7</w:t>
                  </w:r>
                </w:p>
              </w:tc>
              <w:tc>
                <w:tcPr>
                  <w:tcW w:w="720" w:type="dxa"/>
                  <w:tcBorders>
                    <w:tl2br w:val="nil"/>
                    <w:tr2bl w:val="nil"/>
                  </w:tcBorders>
                  <w:vAlign w:val="center"/>
                </w:tcPr>
                <w:p w14:paraId="4AF11CEF">
                  <w:pPr>
                    <w:widowControl/>
                    <w:jc w:val="center"/>
                    <w:textAlignment w:val="center"/>
                    <w:rPr>
                      <w:rFonts w:hint="default" w:eastAsia="宋体"/>
                      <w:color w:val="auto"/>
                      <w:sz w:val="18"/>
                      <w:szCs w:val="18"/>
                      <w:lang w:val="en-US" w:eastAsia="zh-CN"/>
                    </w:rPr>
                  </w:pPr>
                  <w:r>
                    <w:rPr>
                      <w:rFonts w:hint="eastAsia"/>
                      <w:color w:val="auto"/>
                      <w:sz w:val="18"/>
                      <w:szCs w:val="18"/>
                    </w:rPr>
                    <w:t>0.03</w:t>
                  </w:r>
                  <w:r>
                    <w:rPr>
                      <w:rFonts w:hint="eastAsia"/>
                      <w:color w:val="auto"/>
                      <w:sz w:val="18"/>
                      <w:szCs w:val="18"/>
                      <w:lang w:val="en-US" w:eastAsia="zh-CN"/>
                    </w:rPr>
                    <w:t>31</w:t>
                  </w:r>
                </w:p>
              </w:tc>
              <w:tc>
                <w:tcPr>
                  <w:tcW w:w="736" w:type="dxa"/>
                  <w:tcBorders>
                    <w:tl2br w:val="nil"/>
                    <w:tr2bl w:val="nil"/>
                  </w:tcBorders>
                  <w:vAlign w:val="center"/>
                </w:tcPr>
                <w:p w14:paraId="1EEFCDE6">
                  <w:pPr>
                    <w:widowControl/>
                    <w:jc w:val="center"/>
                    <w:textAlignment w:val="center"/>
                    <w:rPr>
                      <w:rFonts w:hint="default" w:eastAsia="宋体"/>
                      <w:color w:val="auto"/>
                      <w:sz w:val="18"/>
                      <w:szCs w:val="18"/>
                      <w:lang w:val="en-US" w:eastAsia="zh-CN"/>
                    </w:rPr>
                  </w:pPr>
                  <w:r>
                    <w:rPr>
                      <w:rFonts w:hint="eastAsia"/>
                      <w:color w:val="auto"/>
                      <w:sz w:val="18"/>
                      <w:szCs w:val="18"/>
                    </w:rPr>
                    <w:t>0.06</w:t>
                  </w:r>
                  <w:r>
                    <w:rPr>
                      <w:rFonts w:hint="eastAsia"/>
                      <w:color w:val="auto"/>
                      <w:sz w:val="18"/>
                      <w:szCs w:val="18"/>
                      <w:lang w:val="en-US" w:eastAsia="zh-CN"/>
                    </w:rPr>
                    <w:t>62</w:t>
                  </w:r>
                </w:p>
              </w:tc>
              <w:tc>
                <w:tcPr>
                  <w:tcW w:w="656" w:type="dxa"/>
                  <w:vMerge w:val="restart"/>
                  <w:tcBorders>
                    <w:tl2br w:val="nil"/>
                    <w:tr2bl w:val="nil"/>
                  </w:tcBorders>
                  <w:vAlign w:val="center"/>
                </w:tcPr>
                <w:p w14:paraId="70BAB88F">
                  <w:pPr>
                    <w:pStyle w:val="121"/>
                    <w:widowControl/>
                    <w:rPr>
                      <w:color w:val="auto"/>
                      <w:sz w:val="18"/>
                      <w:szCs w:val="18"/>
                    </w:rPr>
                  </w:pPr>
                  <w:r>
                    <w:rPr>
                      <w:rFonts w:hint="eastAsia"/>
                      <w:color w:val="auto"/>
                      <w:sz w:val="18"/>
                      <w:szCs w:val="18"/>
                    </w:rPr>
                    <w:t>水喷淋+除雾器+二级活性炭吸附</w:t>
                  </w:r>
                </w:p>
              </w:tc>
              <w:tc>
                <w:tcPr>
                  <w:tcW w:w="663" w:type="dxa"/>
                  <w:vMerge w:val="restart"/>
                  <w:tcBorders>
                    <w:tl2br w:val="nil"/>
                    <w:tr2bl w:val="nil"/>
                  </w:tcBorders>
                  <w:vAlign w:val="center"/>
                </w:tcPr>
                <w:p w14:paraId="46473525">
                  <w:pPr>
                    <w:widowControl/>
                    <w:jc w:val="center"/>
                    <w:textAlignment w:val="center"/>
                    <w:rPr>
                      <w:rFonts w:hint="default" w:eastAsia="宋体"/>
                      <w:color w:val="auto"/>
                      <w:spacing w:val="-10"/>
                      <w:sz w:val="18"/>
                      <w:szCs w:val="18"/>
                      <w:lang w:val="en-US" w:eastAsia="zh-CN"/>
                    </w:rPr>
                  </w:pPr>
                  <w:r>
                    <w:rPr>
                      <w:rFonts w:hint="eastAsia"/>
                      <w:color w:val="0000FF"/>
                      <w:spacing w:val="-10"/>
                      <w:sz w:val="18"/>
                      <w:szCs w:val="18"/>
                      <w:lang w:val="en-US" w:eastAsia="zh-CN"/>
                    </w:rPr>
                    <w:t>80</w:t>
                  </w:r>
                </w:p>
              </w:tc>
              <w:tc>
                <w:tcPr>
                  <w:tcW w:w="780" w:type="dxa"/>
                  <w:tcBorders>
                    <w:tl2br w:val="nil"/>
                    <w:tr2bl w:val="nil"/>
                  </w:tcBorders>
                  <w:vAlign w:val="center"/>
                </w:tcPr>
                <w:p w14:paraId="34CE9533">
                  <w:pPr>
                    <w:widowControl/>
                    <w:jc w:val="center"/>
                    <w:textAlignment w:val="center"/>
                    <w:rPr>
                      <w:rFonts w:hint="default" w:eastAsia="宋体"/>
                      <w:color w:val="0000FF"/>
                      <w:sz w:val="18"/>
                      <w:szCs w:val="18"/>
                      <w:lang w:val="en-US" w:eastAsia="zh-CN"/>
                    </w:rPr>
                  </w:pPr>
                  <w:r>
                    <w:rPr>
                      <w:rFonts w:hint="eastAsia"/>
                      <w:color w:val="0000FF"/>
                      <w:sz w:val="18"/>
                      <w:szCs w:val="18"/>
                      <w:lang w:val="en-US" w:eastAsia="zh-CN"/>
                    </w:rPr>
                    <w:t>0.94</w:t>
                  </w:r>
                </w:p>
              </w:tc>
              <w:tc>
                <w:tcPr>
                  <w:tcW w:w="825" w:type="dxa"/>
                  <w:tcBorders>
                    <w:tl2br w:val="nil"/>
                    <w:tr2bl w:val="nil"/>
                  </w:tcBorders>
                  <w:vAlign w:val="center"/>
                </w:tcPr>
                <w:p w14:paraId="743E8750">
                  <w:pPr>
                    <w:widowControl/>
                    <w:jc w:val="center"/>
                    <w:textAlignment w:val="center"/>
                    <w:rPr>
                      <w:rFonts w:hint="default" w:eastAsia="宋体"/>
                      <w:color w:val="0000FF"/>
                      <w:sz w:val="18"/>
                      <w:szCs w:val="18"/>
                      <w:lang w:val="en-US" w:eastAsia="zh-CN"/>
                    </w:rPr>
                  </w:pPr>
                  <w:r>
                    <w:rPr>
                      <w:rFonts w:hint="eastAsia"/>
                      <w:color w:val="0000FF"/>
                      <w:sz w:val="18"/>
                      <w:szCs w:val="18"/>
                    </w:rPr>
                    <w:t>0.00</w:t>
                  </w:r>
                  <w:r>
                    <w:rPr>
                      <w:rFonts w:hint="eastAsia"/>
                      <w:color w:val="0000FF"/>
                      <w:sz w:val="18"/>
                      <w:szCs w:val="18"/>
                      <w:lang w:val="en-US" w:eastAsia="zh-CN"/>
                    </w:rPr>
                    <w:t>66</w:t>
                  </w:r>
                </w:p>
              </w:tc>
              <w:tc>
                <w:tcPr>
                  <w:tcW w:w="736" w:type="dxa"/>
                  <w:tcBorders>
                    <w:tl2br w:val="nil"/>
                    <w:tr2bl w:val="nil"/>
                  </w:tcBorders>
                  <w:vAlign w:val="center"/>
                </w:tcPr>
                <w:p w14:paraId="1DD9F456">
                  <w:pPr>
                    <w:widowControl/>
                    <w:jc w:val="center"/>
                    <w:textAlignment w:val="center"/>
                    <w:rPr>
                      <w:rFonts w:hint="default" w:eastAsia="宋体"/>
                      <w:color w:val="0000FF"/>
                      <w:sz w:val="18"/>
                      <w:szCs w:val="18"/>
                      <w:lang w:val="en-US" w:eastAsia="zh-CN"/>
                    </w:rPr>
                  </w:pPr>
                  <w:r>
                    <w:rPr>
                      <w:rFonts w:hint="eastAsia"/>
                      <w:color w:val="0000FF"/>
                      <w:sz w:val="18"/>
                      <w:szCs w:val="18"/>
                      <w:lang w:eastAsia="zh-CN"/>
                    </w:rPr>
                    <w:t>0.01</w:t>
                  </w:r>
                  <w:r>
                    <w:rPr>
                      <w:rFonts w:hint="eastAsia"/>
                      <w:color w:val="0000FF"/>
                      <w:sz w:val="18"/>
                      <w:szCs w:val="18"/>
                      <w:lang w:val="en-US" w:eastAsia="zh-CN"/>
                    </w:rPr>
                    <w:t>32</w:t>
                  </w:r>
                </w:p>
              </w:tc>
              <w:tc>
                <w:tcPr>
                  <w:tcW w:w="629" w:type="dxa"/>
                  <w:vMerge w:val="restart"/>
                  <w:tcBorders>
                    <w:tl2br w:val="nil"/>
                    <w:tr2bl w:val="nil"/>
                  </w:tcBorders>
                  <w:vAlign w:val="center"/>
                </w:tcPr>
                <w:p w14:paraId="4D7F4CDA">
                  <w:pPr>
                    <w:adjustRightInd w:val="0"/>
                    <w:snapToGrid w:val="0"/>
                    <w:jc w:val="center"/>
                    <w:rPr>
                      <w:sz w:val="18"/>
                      <w:szCs w:val="18"/>
                    </w:rPr>
                  </w:pPr>
                  <w:r>
                    <w:rPr>
                      <w:rFonts w:hint="eastAsia"/>
                      <w:sz w:val="18"/>
                      <w:szCs w:val="18"/>
                    </w:rPr>
                    <w:t>15m排气筒DA001</w:t>
                  </w:r>
                </w:p>
              </w:tc>
            </w:tr>
            <w:tr w14:paraId="59CC86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833" w:type="dxa"/>
                  <w:vMerge w:val="continue"/>
                  <w:tcBorders>
                    <w:tl2br w:val="nil"/>
                    <w:tr2bl w:val="nil"/>
                  </w:tcBorders>
                  <w:vAlign w:val="center"/>
                </w:tcPr>
                <w:p w14:paraId="47CC99D2">
                  <w:pPr>
                    <w:widowControl/>
                    <w:adjustRightInd w:val="0"/>
                    <w:snapToGrid w:val="0"/>
                    <w:jc w:val="center"/>
                    <w:textAlignment w:val="center"/>
                    <w:rPr>
                      <w:sz w:val="18"/>
                      <w:szCs w:val="18"/>
                    </w:rPr>
                  </w:pPr>
                </w:p>
              </w:tc>
              <w:tc>
                <w:tcPr>
                  <w:tcW w:w="331" w:type="dxa"/>
                  <w:vMerge w:val="restart"/>
                  <w:tcBorders>
                    <w:tl2br w:val="nil"/>
                    <w:tr2bl w:val="nil"/>
                  </w:tcBorders>
                  <w:vAlign w:val="center"/>
                </w:tcPr>
                <w:p w14:paraId="0F7772F3">
                  <w:pPr>
                    <w:widowControl/>
                    <w:adjustRightInd w:val="0"/>
                    <w:snapToGrid w:val="0"/>
                    <w:jc w:val="center"/>
                    <w:rPr>
                      <w:sz w:val="18"/>
                      <w:szCs w:val="18"/>
                    </w:rPr>
                  </w:pPr>
                  <w:r>
                    <w:rPr>
                      <w:rFonts w:hint="eastAsia"/>
                      <w:sz w:val="18"/>
                      <w:szCs w:val="18"/>
                    </w:rPr>
                    <w:t>其中</w:t>
                  </w:r>
                </w:p>
              </w:tc>
              <w:tc>
                <w:tcPr>
                  <w:tcW w:w="600" w:type="dxa"/>
                  <w:tcBorders>
                    <w:tl2br w:val="nil"/>
                    <w:tr2bl w:val="nil"/>
                  </w:tcBorders>
                  <w:vAlign w:val="center"/>
                </w:tcPr>
                <w:p w14:paraId="78F9D474">
                  <w:pPr>
                    <w:widowControl/>
                    <w:adjustRightInd w:val="0"/>
                    <w:snapToGrid w:val="0"/>
                    <w:jc w:val="center"/>
                    <w:rPr>
                      <w:sz w:val="18"/>
                      <w:szCs w:val="18"/>
                    </w:rPr>
                  </w:pPr>
                  <w:r>
                    <w:rPr>
                      <w:rFonts w:hint="eastAsia"/>
                      <w:sz w:val="18"/>
                      <w:szCs w:val="18"/>
                    </w:rPr>
                    <w:t>二甲苯</w:t>
                  </w:r>
                </w:p>
              </w:tc>
              <w:tc>
                <w:tcPr>
                  <w:tcW w:w="630" w:type="dxa"/>
                  <w:vMerge w:val="continue"/>
                  <w:tcBorders>
                    <w:tl2br w:val="nil"/>
                    <w:tr2bl w:val="nil"/>
                  </w:tcBorders>
                  <w:vAlign w:val="center"/>
                </w:tcPr>
                <w:p w14:paraId="397A37D3">
                  <w:pPr>
                    <w:widowControl/>
                    <w:jc w:val="center"/>
                    <w:textAlignment w:val="center"/>
                    <w:rPr>
                      <w:sz w:val="18"/>
                      <w:szCs w:val="18"/>
                    </w:rPr>
                  </w:pPr>
                </w:p>
              </w:tc>
              <w:tc>
                <w:tcPr>
                  <w:tcW w:w="750" w:type="dxa"/>
                  <w:tcBorders>
                    <w:tl2br w:val="nil"/>
                    <w:tr2bl w:val="nil"/>
                  </w:tcBorders>
                  <w:vAlign w:val="center"/>
                </w:tcPr>
                <w:p w14:paraId="57C0D97D">
                  <w:pPr>
                    <w:widowControl/>
                    <w:jc w:val="center"/>
                    <w:textAlignment w:val="center"/>
                    <w:rPr>
                      <w:sz w:val="18"/>
                      <w:szCs w:val="18"/>
                    </w:rPr>
                  </w:pPr>
                  <w:r>
                    <w:rPr>
                      <w:rFonts w:hint="eastAsia"/>
                      <w:sz w:val="18"/>
                      <w:szCs w:val="18"/>
                    </w:rPr>
                    <w:t>0.08</w:t>
                  </w:r>
                </w:p>
              </w:tc>
              <w:tc>
                <w:tcPr>
                  <w:tcW w:w="720" w:type="dxa"/>
                  <w:tcBorders>
                    <w:tl2br w:val="nil"/>
                    <w:tr2bl w:val="nil"/>
                  </w:tcBorders>
                  <w:vAlign w:val="center"/>
                </w:tcPr>
                <w:p w14:paraId="7787201F">
                  <w:pPr>
                    <w:widowControl/>
                    <w:jc w:val="center"/>
                    <w:textAlignment w:val="center"/>
                    <w:rPr>
                      <w:sz w:val="18"/>
                      <w:szCs w:val="18"/>
                    </w:rPr>
                  </w:pPr>
                  <w:r>
                    <w:rPr>
                      <w:rFonts w:hint="eastAsia"/>
                      <w:sz w:val="18"/>
                      <w:szCs w:val="18"/>
                    </w:rPr>
                    <w:t>0.00055</w:t>
                  </w:r>
                </w:p>
              </w:tc>
              <w:tc>
                <w:tcPr>
                  <w:tcW w:w="736" w:type="dxa"/>
                  <w:tcBorders>
                    <w:tl2br w:val="nil"/>
                    <w:tr2bl w:val="nil"/>
                  </w:tcBorders>
                  <w:vAlign w:val="center"/>
                </w:tcPr>
                <w:p w14:paraId="170621FA">
                  <w:pPr>
                    <w:widowControl/>
                    <w:jc w:val="center"/>
                    <w:textAlignment w:val="center"/>
                    <w:rPr>
                      <w:sz w:val="18"/>
                      <w:szCs w:val="18"/>
                    </w:rPr>
                  </w:pPr>
                  <w:r>
                    <w:rPr>
                      <w:rFonts w:hint="eastAsia"/>
                      <w:sz w:val="18"/>
                      <w:szCs w:val="18"/>
                    </w:rPr>
                    <w:t>0.0011</w:t>
                  </w:r>
                </w:p>
              </w:tc>
              <w:tc>
                <w:tcPr>
                  <w:tcW w:w="656" w:type="dxa"/>
                  <w:vMerge w:val="continue"/>
                  <w:tcBorders>
                    <w:tl2br w:val="nil"/>
                    <w:tr2bl w:val="nil"/>
                  </w:tcBorders>
                  <w:vAlign w:val="center"/>
                </w:tcPr>
                <w:p w14:paraId="4DE06C8E">
                  <w:pPr>
                    <w:pStyle w:val="121"/>
                    <w:widowControl/>
                    <w:rPr>
                      <w:sz w:val="18"/>
                      <w:szCs w:val="18"/>
                    </w:rPr>
                  </w:pPr>
                </w:p>
              </w:tc>
              <w:tc>
                <w:tcPr>
                  <w:tcW w:w="663" w:type="dxa"/>
                  <w:vMerge w:val="continue"/>
                  <w:tcBorders>
                    <w:tl2br w:val="nil"/>
                    <w:tr2bl w:val="nil"/>
                  </w:tcBorders>
                  <w:vAlign w:val="center"/>
                </w:tcPr>
                <w:p w14:paraId="0589C131">
                  <w:pPr>
                    <w:widowControl/>
                    <w:jc w:val="center"/>
                    <w:textAlignment w:val="center"/>
                    <w:rPr>
                      <w:spacing w:val="-10"/>
                      <w:sz w:val="18"/>
                      <w:szCs w:val="18"/>
                    </w:rPr>
                  </w:pPr>
                </w:p>
              </w:tc>
              <w:tc>
                <w:tcPr>
                  <w:tcW w:w="780" w:type="dxa"/>
                  <w:tcBorders>
                    <w:tl2br w:val="nil"/>
                    <w:tr2bl w:val="nil"/>
                  </w:tcBorders>
                  <w:vAlign w:val="center"/>
                </w:tcPr>
                <w:p w14:paraId="05576145">
                  <w:pPr>
                    <w:widowControl/>
                    <w:jc w:val="center"/>
                    <w:textAlignment w:val="center"/>
                    <w:rPr>
                      <w:rFonts w:hint="default" w:eastAsia="宋体"/>
                      <w:color w:val="0000FF"/>
                      <w:sz w:val="18"/>
                      <w:szCs w:val="18"/>
                      <w:lang w:val="en-US" w:eastAsia="zh-CN"/>
                    </w:rPr>
                  </w:pPr>
                  <w:r>
                    <w:rPr>
                      <w:rFonts w:hint="eastAsia"/>
                      <w:color w:val="0000FF"/>
                      <w:sz w:val="18"/>
                      <w:szCs w:val="18"/>
                    </w:rPr>
                    <w:t>0.0</w:t>
                  </w:r>
                  <w:r>
                    <w:rPr>
                      <w:rFonts w:hint="eastAsia"/>
                      <w:color w:val="0000FF"/>
                      <w:sz w:val="18"/>
                      <w:szCs w:val="18"/>
                      <w:lang w:val="en-US" w:eastAsia="zh-CN"/>
                    </w:rPr>
                    <w:t>14</w:t>
                  </w:r>
                </w:p>
              </w:tc>
              <w:tc>
                <w:tcPr>
                  <w:tcW w:w="825" w:type="dxa"/>
                  <w:tcBorders>
                    <w:tl2br w:val="nil"/>
                    <w:tr2bl w:val="nil"/>
                  </w:tcBorders>
                  <w:vAlign w:val="center"/>
                </w:tcPr>
                <w:p w14:paraId="193434E9">
                  <w:pPr>
                    <w:widowControl/>
                    <w:jc w:val="center"/>
                    <w:textAlignment w:val="center"/>
                    <w:rPr>
                      <w:rFonts w:hint="eastAsia" w:eastAsia="宋体"/>
                      <w:color w:val="0000FF"/>
                      <w:sz w:val="18"/>
                      <w:szCs w:val="18"/>
                      <w:lang w:eastAsia="zh-CN"/>
                    </w:rPr>
                  </w:pPr>
                  <w:r>
                    <w:rPr>
                      <w:rFonts w:hint="eastAsia"/>
                      <w:color w:val="0000FF"/>
                      <w:sz w:val="18"/>
                      <w:szCs w:val="18"/>
                    </w:rPr>
                    <w:t>0.000</w:t>
                  </w:r>
                  <w:r>
                    <w:rPr>
                      <w:rFonts w:hint="eastAsia"/>
                      <w:color w:val="0000FF"/>
                      <w:sz w:val="18"/>
                      <w:szCs w:val="18"/>
                      <w:lang w:val="en-US" w:eastAsia="zh-CN"/>
                    </w:rPr>
                    <w:t>1</w:t>
                  </w:r>
                </w:p>
              </w:tc>
              <w:tc>
                <w:tcPr>
                  <w:tcW w:w="736" w:type="dxa"/>
                  <w:tcBorders>
                    <w:tl2br w:val="nil"/>
                    <w:tr2bl w:val="nil"/>
                  </w:tcBorders>
                  <w:vAlign w:val="center"/>
                </w:tcPr>
                <w:p w14:paraId="79000867">
                  <w:pPr>
                    <w:widowControl/>
                    <w:jc w:val="center"/>
                    <w:textAlignment w:val="center"/>
                    <w:rPr>
                      <w:rFonts w:hint="eastAsia" w:eastAsia="宋体"/>
                      <w:color w:val="0000FF"/>
                      <w:sz w:val="18"/>
                      <w:szCs w:val="18"/>
                      <w:lang w:eastAsia="zh-CN"/>
                    </w:rPr>
                  </w:pPr>
                  <w:r>
                    <w:rPr>
                      <w:rFonts w:hint="eastAsia"/>
                      <w:color w:val="0000FF"/>
                      <w:sz w:val="18"/>
                      <w:szCs w:val="18"/>
                    </w:rPr>
                    <w:t>0.000</w:t>
                  </w:r>
                  <w:r>
                    <w:rPr>
                      <w:rFonts w:hint="eastAsia"/>
                      <w:color w:val="0000FF"/>
                      <w:sz w:val="18"/>
                      <w:szCs w:val="18"/>
                      <w:lang w:val="en-US" w:eastAsia="zh-CN"/>
                    </w:rPr>
                    <w:t>2</w:t>
                  </w:r>
                </w:p>
              </w:tc>
              <w:tc>
                <w:tcPr>
                  <w:tcW w:w="629" w:type="dxa"/>
                  <w:vMerge w:val="continue"/>
                  <w:tcBorders>
                    <w:tl2br w:val="nil"/>
                    <w:tr2bl w:val="nil"/>
                  </w:tcBorders>
                  <w:vAlign w:val="center"/>
                </w:tcPr>
                <w:p w14:paraId="3FB34F91">
                  <w:pPr>
                    <w:adjustRightInd w:val="0"/>
                    <w:snapToGrid w:val="0"/>
                    <w:jc w:val="center"/>
                    <w:rPr>
                      <w:sz w:val="18"/>
                      <w:szCs w:val="18"/>
                    </w:rPr>
                  </w:pPr>
                </w:p>
              </w:tc>
            </w:tr>
            <w:tr w14:paraId="7830C4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33" w:type="dxa"/>
                  <w:vMerge w:val="continue"/>
                  <w:tcBorders>
                    <w:tl2br w:val="nil"/>
                    <w:tr2bl w:val="nil"/>
                  </w:tcBorders>
                  <w:vAlign w:val="center"/>
                </w:tcPr>
                <w:p w14:paraId="7801C245">
                  <w:pPr>
                    <w:widowControl/>
                    <w:adjustRightInd w:val="0"/>
                    <w:snapToGrid w:val="0"/>
                    <w:jc w:val="center"/>
                    <w:textAlignment w:val="center"/>
                    <w:rPr>
                      <w:sz w:val="18"/>
                      <w:szCs w:val="18"/>
                    </w:rPr>
                  </w:pPr>
                </w:p>
              </w:tc>
              <w:tc>
                <w:tcPr>
                  <w:tcW w:w="331" w:type="dxa"/>
                  <w:vMerge w:val="continue"/>
                  <w:tcBorders>
                    <w:tl2br w:val="nil"/>
                    <w:tr2bl w:val="nil"/>
                  </w:tcBorders>
                  <w:vAlign w:val="center"/>
                </w:tcPr>
                <w:p w14:paraId="249EA52A">
                  <w:pPr>
                    <w:widowControl/>
                    <w:adjustRightInd w:val="0"/>
                    <w:snapToGrid w:val="0"/>
                    <w:jc w:val="center"/>
                    <w:rPr>
                      <w:sz w:val="18"/>
                      <w:szCs w:val="18"/>
                    </w:rPr>
                  </w:pPr>
                </w:p>
              </w:tc>
              <w:tc>
                <w:tcPr>
                  <w:tcW w:w="600" w:type="dxa"/>
                  <w:tcBorders>
                    <w:tl2br w:val="nil"/>
                    <w:tr2bl w:val="nil"/>
                  </w:tcBorders>
                  <w:vAlign w:val="center"/>
                </w:tcPr>
                <w:p w14:paraId="19E54EBC">
                  <w:pPr>
                    <w:widowControl/>
                    <w:adjustRightInd w:val="0"/>
                    <w:snapToGrid w:val="0"/>
                    <w:jc w:val="center"/>
                    <w:rPr>
                      <w:sz w:val="18"/>
                      <w:szCs w:val="18"/>
                    </w:rPr>
                  </w:pPr>
                  <w:r>
                    <w:rPr>
                      <w:rFonts w:hint="eastAsia"/>
                      <w:sz w:val="18"/>
                      <w:szCs w:val="18"/>
                    </w:rPr>
                    <w:t>甲醇</w:t>
                  </w:r>
                </w:p>
              </w:tc>
              <w:tc>
                <w:tcPr>
                  <w:tcW w:w="630" w:type="dxa"/>
                  <w:vMerge w:val="continue"/>
                  <w:tcBorders>
                    <w:tl2br w:val="nil"/>
                    <w:tr2bl w:val="nil"/>
                  </w:tcBorders>
                  <w:vAlign w:val="center"/>
                </w:tcPr>
                <w:p w14:paraId="7532FE57">
                  <w:pPr>
                    <w:widowControl/>
                    <w:jc w:val="center"/>
                    <w:textAlignment w:val="center"/>
                    <w:rPr>
                      <w:sz w:val="18"/>
                      <w:szCs w:val="18"/>
                    </w:rPr>
                  </w:pPr>
                </w:p>
              </w:tc>
              <w:tc>
                <w:tcPr>
                  <w:tcW w:w="750" w:type="dxa"/>
                  <w:tcBorders>
                    <w:tl2br w:val="nil"/>
                    <w:tr2bl w:val="nil"/>
                  </w:tcBorders>
                  <w:vAlign w:val="center"/>
                </w:tcPr>
                <w:p w14:paraId="405457C0">
                  <w:pPr>
                    <w:widowControl/>
                    <w:jc w:val="center"/>
                    <w:textAlignment w:val="center"/>
                    <w:rPr>
                      <w:sz w:val="18"/>
                      <w:szCs w:val="18"/>
                    </w:rPr>
                  </w:pPr>
                  <w:r>
                    <w:rPr>
                      <w:rFonts w:hint="eastAsia"/>
                      <w:sz w:val="18"/>
                      <w:szCs w:val="18"/>
                    </w:rPr>
                    <w:t>3.3</w:t>
                  </w:r>
                </w:p>
              </w:tc>
              <w:tc>
                <w:tcPr>
                  <w:tcW w:w="720" w:type="dxa"/>
                  <w:tcBorders>
                    <w:tl2br w:val="nil"/>
                    <w:tr2bl w:val="nil"/>
                  </w:tcBorders>
                  <w:vAlign w:val="center"/>
                </w:tcPr>
                <w:p w14:paraId="7EB73C3C">
                  <w:pPr>
                    <w:widowControl/>
                    <w:jc w:val="center"/>
                    <w:textAlignment w:val="center"/>
                    <w:rPr>
                      <w:sz w:val="18"/>
                      <w:szCs w:val="18"/>
                    </w:rPr>
                  </w:pPr>
                  <w:r>
                    <w:rPr>
                      <w:rFonts w:hint="eastAsia"/>
                      <w:sz w:val="18"/>
                      <w:szCs w:val="18"/>
                    </w:rPr>
                    <w:t>0.0234</w:t>
                  </w:r>
                </w:p>
              </w:tc>
              <w:tc>
                <w:tcPr>
                  <w:tcW w:w="736" w:type="dxa"/>
                  <w:tcBorders>
                    <w:tl2br w:val="nil"/>
                    <w:tr2bl w:val="nil"/>
                  </w:tcBorders>
                  <w:vAlign w:val="center"/>
                </w:tcPr>
                <w:p w14:paraId="568EC1AE">
                  <w:pPr>
                    <w:widowControl/>
                    <w:jc w:val="center"/>
                    <w:textAlignment w:val="center"/>
                    <w:rPr>
                      <w:sz w:val="18"/>
                      <w:szCs w:val="18"/>
                    </w:rPr>
                  </w:pPr>
                  <w:r>
                    <w:rPr>
                      <w:rFonts w:hint="eastAsia"/>
                      <w:sz w:val="18"/>
                      <w:szCs w:val="18"/>
                    </w:rPr>
                    <w:t>0.0468</w:t>
                  </w:r>
                </w:p>
              </w:tc>
              <w:tc>
                <w:tcPr>
                  <w:tcW w:w="656" w:type="dxa"/>
                  <w:vMerge w:val="continue"/>
                  <w:tcBorders>
                    <w:tl2br w:val="nil"/>
                    <w:tr2bl w:val="nil"/>
                  </w:tcBorders>
                  <w:vAlign w:val="center"/>
                </w:tcPr>
                <w:p w14:paraId="3DA92207">
                  <w:pPr>
                    <w:pStyle w:val="121"/>
                    <w:widowControl/>
                    <w:rPr>
                      <w:sz w:val="18"/>
                      <w:szCs w:val="18"/>
                    </w:rPr>
                  </w:pPr>
                </w:p>
              </w:tc>
              <w:tc>
                <w:tcPr>
                  <w:tcW w:w="663" w:type="dxa"/>
                  <w:vMerge w:val="continue"/>
                  <w:tcBorders>
                    <w:tl2br w:val="nil"/>
                    <w:tr2bl w:val="nil"/>
                  </w:tcBorders>
                  <w:vAlign w:val="center"/>
                </w:tcPr>
                <w:p w14:paraId="1C8B3D03">
                  <w:pPr>
                    <w:jc w:val="center"/>
                    <w:textAlignment w:val="center"/>
                    <w:rPr>
                      <w:spacing w:val="-10"/>
                      <w:sz w:val="18"/>
                      <w:szCs w:val="18"/>
                    </w:rPr>
                  </w:pPr>
                </w:p>
              </w:tc>
              <w:tc>
                <w:tcPr>
                  <w:tcW w:w="780" w:type="dxa"/>
                  <w:tcBorders>
                    <w:tl2br w:val="nil"/>
                    <w:tr2bl w:val="nil"/>
                  </w:tcBorders>
                  <w:vAlign w:val="center"/>
                </w:tcPr>
                <w:p w14:paraId="24B06718">
                  <w:pPr>
                    <w:widowControl/>
                    <w:jc w:val="center"/>
                    <w:textAlignment w:val="center"/>
                    <w:rPr>
                      <w:rFonts w:hint="eastAsia" w:eastAsia="宋体"/>
                      <w:color w:val="0000FF"/>
                      <w:sz w:val="18"/>
                      <w:szCs w:val="18"/>
                      <w:lang w:eastAsia="zh-CN"/>
                    </w:rPr>
                  </w:pPr>
                  <w:r>
                    <w:rPr>
                      <w:rFonts w:hint="eastAsia"/>
                      <w:color w:val="0000FF"/>
                      <w:sz w:val="18"/>
                      <w:szCs w:val="18"/>
                    </w:rPr>
                    <w:t>0.</w:t>
                  </w:r>
                  <w:r>
                    <w:rPr>
                      <w:rFonts w:hint="eastAsia"/>
                      <w:color w:val="0000FF"/>
                      <w:sz w:val="18"/>
                      <w:szCs w:val="18"/>
                      <w:lang w:val="en-US" w:eastAsia="zh-CN"/>
                    </w:rPr>
                    <w:t>7</w:t>
                  </w:r>
                </w:p>
              </w:tc>
              <w:tc>
                <w:tcPr>
                  <w:tcW w:w="825" w:type="dxa"/>
                  <w:tcBorders>
                    <w:tl2br w:val="nil"/>
                    <w:tr2bl w:val="nil"/>
                  </w:tcBorders>
                  <w:vAlign w:val="center"/>
                </w:tcPr>
                <w:p w14:paraId="1E6FD6BE">
                  <w:pPr>
                    <w:widowControl/>
                    <w:jc w:val="center"/>
                    <w:textAlignment w:val="center"/>
                    <w:rPr>
                      <w:rFonts w:hint="default" w:eastAsia="宋体"/>
                      <w:color w:val="0000FF"/>
                      <w:sz w:val="18"/>
                      <w:szCs w:val="18"/>
                      <w:lang w:val="en-US" w:eastAsia="zh-CN"/>
                    </w:rPr>
                  </w:pPr>
                  <w:r>
                    <w:rPr>
                      <w:rFonts w:hint="eastAsia"/>
                      <w:color w:val="0000FF"/>
                      <w:sz w:val="18"/>
                      <w:szCs w:val="18"/>
                    </w:rPr>
                    <w:t>0.00</w:t>
                  </w:r>
                  <w:r>
                    <w:rPr>
                      <w:rFonts w:hint="eastAsia"/>
                      <w:color w:val="0000FF"/>
                      <w:sz w:val="18"/>
                      <w:szCs w:val="18"/>
                      <w:lang w:val="en-US" w:eastAsia="zh-CN"/>
                    </w:rPr>
                    <w:t>47</w:t>
                  </w:r>
                </w:p>
              </w:tc>
              <w:tc>
                <w:tcPr>
                  <w:tcW w:w="736" w:type="dxa"/>
                  <w:tcBorders>
                    <w:tl2br w:val="nil"/>
                    <w:tr2bl w:val="nil"/>
                  </w:tcBorders>
                  <w:vAlign w:val="center"/>
                </w:tcPr>
                <w:p w14:paraId="438DF464">
                  <w:pPr>
                    <w:widowControl/>
                    <w:jc w:val="center"/>
                    <w:textAlignment w:val="center"/>
                    <w:rPr>
                      <w:rFonts w:hint="default" w:eastAsia="宋体"/>
                      <w:color w:val="0000FF"/>
                      <w:sz w:val="18"/>
                      <w:szCs w:val="18"/>
                      <w:lang w:val="en-US" w:eastAsia="zh-CN"/>
                    </w:rPr>
                  </w:pPr>
                  <w:r>
                    <w:rPr>
                      <w:rFonts w:hint="eastAsia"/>
                      <w:color w:val="0000FF"/>
                      <w:sz w:val="18"/>
                      <w:szCs w:val="18"/>
                    </w:rPr>
                    <w:t>0.0</w:t>
                  </w:r>
                  <w:r>
                    <w:rPr>
                      <w:rFonts w:hint="eastAsia"/>
                      <w:color w:val="0000FF"/>
                      <w:sz w:val="18"/>
                      <w:szCs w:val="18"/>
                      <w:lang w:val="en-US" w:eastAsia="zh-CN"/>
                    </w:rPr>
                    <w:t>094</w:t>
                  </w:r>
                </w:p>
              </w:tc>
              <w:tc>
                <w:tcPr>
                  <w:tcW w:w="629" w:type="dxa"/>
                  <w:vMerge w:val="continue"/>
                  <w:tcBorders>
                    <w:tl2br w:val="nil"/>
                    <w:tr2bl w:val="nil"/>
                  </w:tcBorders>
                  <w:vAlign w:val="center"/>
                </w:tcPr>
                <w:p w14:paraId="37E5711A">
                  <w:pPr>
                    <w:adjustRightInd w:val="0"/>
                    <w:snapToGrid w:val="0"/>
                    <w:jc w:val="center"/>
                    <w:rPr>
                      <w:sz w:val="18"/>
                      <w:szCs w:val="18"/>
                    </w:rPr>
                  </w:pPr>
                </w:p>
              </w:tc>
            </w:tr>
            <w:tr w14:paraId="0D258A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33" w:type="dxa"/>
                  <w:vMerge w:val="continue"/>
                  <w:tcBorders>
                    <w:tl2br w:val="nil"/>
                    <w:tr2bl w:val="nil"/>
                  </w:tcBorders>
                  <w:vAlign w:val="center"/>
                </w:tcPr>
                <w:p w14:paraId="3715558C">
                  <w:pPr>
                    <w:widowControl/>
                    <w:adjustRightInd w:val="0"/>
                    <w:snapToGrid w:val="0"/>
                    <w:jc w:val="center"/>
                    <w:rPr>
                      <w:sz w:val="18"/>
                      <w:szCs w:val="18"/>
                    </w:rPr>
                  </w:pPr>
                </w:p>
              </w:tc>
              <w:tc>
                <w:tcPr>
                  <w:tcW w:w="931" w:type="dxa"/>
                  <w:gridSpan w:val="2"/>
                  <w:tcBorders>
                    <w:tl2br w:val="nil"/>
                    <w:tr2bl w:val="nil"/>
                  </w:tcBorders>
                  <w:vAlign w:val="center"/>
                </w:tcPr>
                <w:p w14:paraId="487F9A33">
                  <w:pPr>
                    <w:widowControl/>
                    <w:adjustRightInd w:val="0"/>
                    <w:snapToGrid w:val="0"/>
                    <w:jc w:val="center"/>
                    <w:rPr>
                      <w:sz w:val="18"/>
                      <w:szCs w:val="18"/>
                    </w:rPr>
                  </w:pPr>
                  <w:r>
                    <w:rPr>
                      <w:rFonts w:hint="eastAsia"/>
                      <w:sz w:val="18"/>
                      <w:szCs w:val="18"/>
                    </w:rPr>
                    <w:t>氨气</w:t>
                  </w:r>
                </w:p>
              </w:tc>
              <w:tc>
                <w:tcPr>
                  <w:tcW w:w="630" w:type="dxa"/>
                  <w:vMerge w:val="continue"/>
                  <w:tcBorders>
                    <w:tl2br w:val="nil"/>
                    <w:tr2bl w:val="nil"/>
                  </w:tcBorders>
                  <w:vAlign w:val="center"/>
                </w:tcPr>
                <w:p w14:paraId="624B7529">
                  <w:pPr>
                    <w:widowControl/>
                    <w:jc w:val="center"/>
                    <w:textAlignment w:val="center"/>
                    <w:rPr>
                      <w:sz w:val="18"/>
                      <w:szCs w:val="18"/>
                    </w:rPr>
                  </w:pPr>
                </w:p>
              </w:tc>
              <w:tc>
                <w:tcPr>
                  <w:tcW w:w="750" w:type="dxa"/>
                  <w:tcBorders>
                    <w:tl2br w:val="nil"/>
                    <w:tr2bl w:val="nil"/>
                  </w:tcBorders>
                  <w:vAlign w:val="center"/>
                </w:tcPr>
                <w:p w14:paraId="03DA8F8C">
                  <w:pPr>
                    <w:widowControl/>
                    <w:jc w:val="center"/>
                    <w:textAlignment w:val="center"/>
                    <w:rPr>
                      <w:sz w:val="18"/>
                      <w:szCs w:val="18"/>
                    </w:rPr>
                  </w:pPr>
                  <w:r>
                    <w:rPr>
                      <w:rFonts w:hint="eastAsia"/>
                      <w:sz w:val="18"/>
                      <w:szCs w:val="18"/>
                    </w:rPr>
                    <w:t>1.2</w:t>
                  </w:r>
                </w:p>
              </w:tc>
              <w:tc>
                <w:tcPr>
                  <w:tcW w:w="720" w:type="dxa"/>
                  <w:tcBorders>
                    <w:tl2br w:val="nil"/>
                    <w:tr2bl w:val="nil"/>
                  </w:tcBorders>
                  <w:vAlign w:val="center"/>
                </w:tcPr>
                <w:p w14:paraId="72C1A5AE">
                  <w:pPr>
                    <w:widowControl/>
                    <w:jc w:val="center"/>
                    <w:textAlignment w:val="center"/>
                    <w:rPr>
                      <w:sz w:val="18"/>
                      <w:szCs w:val="18"/>
                    </w:rPr>
                  </w:pPr>
                  <w:r>
                    <w:rPr>
                      <w:rFonts w:hint="eastAsia"/>
                      <w:sz w:val="18"/>
                      <w:szCs w:val="18"/>
                    </w:rPr>
                    <w:t>0.0083</w:t>
                  </w:r>
                </w:p>
              </w:tc>
              <w:tc>
                <w:tcPr>
                  <w:tcW w:w="736" w:type="dxa"/>
                  <w:tcBorders>
                    <w:tl2br w:val="nil"/>
                    <w:tr2bl w:val="nil"/>
                  </w:tcBorders>
                  <w:vAlign w:val="center"/>
                </w:tcPr>
                <w:p w14:paraId="09FDEA6B">
                  <w:pPr>
                    <w:widowControl/>
                    <w:jc w:val="center"/>
                    <w:textAlignment w:val="center"/>
                    <w:rPr>
                      <w:sz w:val="18"/>
                      <w:szCs w:val="18"/>
                    </w:rPr>
                  </w:pPr>
                  <w:r>
                    <w:rPr>
                      <w:rFonts w:hint="eastAsia"/>
                      <w:sz w:val="18"/>
                      <w:szCs w:val="18"/>
                    </w:rPr>
                    <w:t>0.0166</w:t>
                  </w:r>
                </w:p>
              </w:tc>
              <w:tc>
                <w:tcPr>
                  <w:tcW w:w="656" w:type="dxa"/>
                  <w:vMerge w:val="continue"/>
                  <w:tcBorders>
                    <w:tl2br w:val="nil"/>
                    <w:tr2bl w:val="nil"/>
                  </w:tcBorders>
                  <w:vAlign w:val="center"/>
                </w:tcPr>
                <w:p w14:paraId="6D16B50E">
                  <w:pPr>
                    <w:pStyle w:val="121"/>
                    <w:widowControl/>
                    <w:rPr>
                      <w:sz w:val="18"/>
                      <w:szCs w:val="18"/>
                    </w:rPr>
                  </w:pPr>
                </w:p>
              </w:tc>
              <w:tc>
                <w:tcPr>
                  <w:tcW w:w="663" w:type="dxa"/>
                  <w:vMerge w:val="continue"/>
                  <w:tcBorders>
                    <w:tl2br w:val="nil"/>
                    <w:tr2bl w:val="nil"/>
                  </w:tcBorders>
                  <w:vAlign w:val="center"/>
                </w:tcPr>
                <w:p w14:paraId="1B2CBE0B">
                  <w:pPr>
                    <w:widowControl/>
                    <w:jc w:val="center"/>
                    <w:textAlignment w:val="center"/>
                    <w:rPr>
                      <w:spacing w:val="-10"/>
                      <w:sz w:val="18"/>
                      <w:szCs w:val="18"/>
                    </w:rPr>
                  </w:pPr>
                </w:p>
              </w:tc>
              <w:tc>
                <w:tcPr>
                  <w:tcW w:w="780" w:type="dxa"/>
                  <w:tcBorders>
                    <w:tl2br w:val="nil"/>
                    <w:tr2bl w:val="nil"/>
                  </w:tcBorders>
                  <w:vAlign w:val="center"/>
                </w:tcPr>
                <w:p w14:paraId="1E836B76">
                  <w:pPr>
                    <w:widowControl/>
                    <w:jc w:val="center"/>
                    <w:textAlignment w:val="center"/>
                    <w:rPr>
                      <w:rFonts w:hint="eastAsia" w:eastAsia="宋体"/>
                      <w:color w:val="0000FF"/>
                      <w:sz w:val="18"/>
                      <w:szCs w:val="18"/>
                      <w:lang w:eastAsia="zh-CN"/>
                    </w:rPr>
                  </w:pPr>
                  <w:r>
                    <w:rPr>
                      <w:rFonts w:hint="eastAsia"/>
                      <w:color w:val="0000FF"/>
                      <w:sz w:val="18"/>
                      <w:szCs w:val="18"/>
                    </w:rPr>
                    <w:t>0.</w:t>
                  </w:r>
                  <w:r>
                    <w:rPr>
                      <w:rFonts w:hint="eastAsia"/>
                      <w:color w:val="0000FF"/>
                      <w:sz w:val="18"/>
                      <w:szCs w:val="18"/>
                      <w:lang w:val="en-US" w:eastAsia="zh-CN"/>
                    </w:rPr>
                    <w:t>2</w:t>
                  </w:r>
                </w:p>
              </w:tc>
              <w:tc>
                <w:tcPr>
                  <w:tcW w:w="825" w:type="dxa"/>
                  <w:tcBorders>
                    <w:tl2br w:val="nil"/>
                    <w:tr2bl w:val="nil"/>
                  </w:tcBorders>
                  <w:vAlign w:val="center"/>
                </w:tcPr>
                <w:p w14:paraId="32BE61F0">
                  <w:pPr>
                    <w:widowControl/>
                    <w:jc w:val="center"/>
                    <w:textAlignment w:val="center"/>
                    <w:rPr>
                      <w:rFonts w:hint="default" w:eastAsia="宋体"/>
                      <w:color w:val="0000FF"/>
                      <w:sz w:val="18"/>
                      <w:szCs w:val="18"/>
                      <w:lang w:val="en-US" w:eastAsia="zh-CN"/>
                    </w:rPr>
                  </w:pPr>
                  <w:r>
                    <w:rPr>
                      <w:rFonts w:hint="eastAsia"/>
                      <w:color w:val="0000FF"/>
                      <w:sz w:val="18"/>
                      <w:szCs w:val="18"/>
                    </w:rPr>
                    <w:t>0.00</w:t>
                  </w:r>
                  <w:r>
                    <w:rPr>
                      <w:rFonts w:hint="eastAsia"/>
                      <w:color w:val="0000FF"/>
                      <w:sz w:val="18"/>
                      <w:szCs w:val="18"/>
                      <w:lang w:val="en-US" w:eastAsia="zh-CN"/>
                    </w:rPr>
                    <w:t>17</w:t>
                  </w:r>
                </w:p>
              </w:tc>
              <w:tc>
                <w:tcPr>
                  <w:tcW w:w="736" w:type="dxa"/>
                  <w:tcBorders>
                    <w:tl2br w:val="nil"/>
                    <w:tr2bl w:val="nil"/>
                  </w:tcBorders>
                  <w:vAlign w:val="center"/>
                </w:tcPr>
                <w:p w14:paraId="4CC00662">
                  <w:pPr>
                    <w:widowControl/>
                    <w:jc w:val="center"/>
                    <w:textAlignment w:val="center"/>
                    <w:rPr>
                      <w:rFonts w:hint="default" w:eastAsia="宋体"/>
                      <w:color w:val="0000FF"/>
                      <w:sz w:val="18"/>
                      <w:szCs w:val="18"/>
                      <w:lang w:val="en-US" w:eastAsia="zh-CN"/>
                    </w:rPr>
                  </w:pPr>
                  <w:r>
                    <w:rPr>
                      <w:rFonts w:hint="eastAsia"/>
                      <w:color w:val="0000FF"/>
                      <w:sz w:val="18"/>
                      <w:szCs w:val="18"/>
                    </w:rPr>
                    <w:t>0.00</w:t>
                  </w:r>
                  <w:r>
                    <w:rPr>
                      <w:rFonts w:hint="eastAsia"/>
                      <w:color w:val="0000FF"/>
                      <w:sz w:val="18"/>
                      <w:szCs w:val="18"/>
                      <w:lang w:val="en-US" w:eastAsia="zh-CN"/>
                    </w:rPr>
                    <w:t>33</w:t>
                  </w:r>
                </w:p>
              </w:tc>
              <w:tc>
                <w:tcPr>
                  <w:tcW w:w="629" w:type="dxa"/>
                  <w:vMerge w:val="continue"/>
                  <w:tcBorders>
                    <w:tl2br w:val="nil"/>
                    <w:tr2bl w:val="nil"/>
                  </w:tcBorders>
                  <w:vAlign w:val="center"/>
                </w:tcPr>
                <w:p w14:paraId="7DC1C167">
                  <w:pPr>
                    <w:adjustRightInd w:val="0"/>
                    <w:snapToGrid w:val="0"/>
                    <w:jc w:val="center"/>
                    <w:rPr>
                      <w:sz w:val="18"/>
                      <w:szCs w:val="18"/>
                    </w:rPr>
                  </w:pPr>
                </w:p>
              </w:tc>
            </w:tr>
            <w:tr w14:paraId="1E7133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3" w:type="dxa"/>
                  <w:tcBorders>
                    <w:tl2br w:val="nil"/>
                    <w:tr2bl w:val="nil"/>
                  </w:tcBorders>
                  <w:vAlign w:val="center"/>
                </w:tcPr>
                <w:p w14:paraId="74400520">
                  <w:pPr>
                    <w:widowControl/>
                    <w:adjustRightInd w:val="0"/>
                    <w:snapToGrid w:val="0"/>
                    <w:jc w:val="center"/>
                    <w:rPr>
                      <w:sz w:val="18"/>
                      <w:szCs w:val="18"/>
                    </w:rPr>
                  </w:pPr>
                  <w:r>
                    <w:rPr>
                      <w:rFonts w:hint="eastAsia"/>
                      <w:sz w:val="18"/>
                      <w:szCs w:val="18"/>
                    </w:rPr>
                    <w:t>危废仓库</w:t>
                  </w:r>
                </w:p>
              </w:tc>
              <w:tc>
                <w:tcPr>
                  <w:tcW w:w="931" w:type="dxa"/>
                  <w:gridSpan w:val="2"/>
                  <w:tcBorders>
                    <w:tl2br w:val="nil"/>
                    <w:tr2bl w:val="nil"/>
                  </w:tcBorders>
                  <w:vAlign w:val="center"/>
                </w:tcPr>
                <w:p w14:paraId="5711A3A5">
                  <w:pPr>
                    <w:widowControl/>
                    <w:adjustRightInd w:val="0"/>
                    <w:snapToGrid w:val="0"/>
                    <w:jc w:val="center"/>
                    <w:rPr>
                      <w:sz w:val="18"/>
                      <w:szCs w:val="18"/>
                    </w:rPr>
                  </w:pPr>
                  <w:r>
                    <w:rPr>
                      <w:rFonts w:hint="eastAsia"/>
                      <w:sz w:val="18"/>
                      <w:szCs w:val="18"/>
                    </w:rPr>
                    <w:t>非甲烷总烃</w:t>
                  </w:r>
                </w:p>
              </w:tc>
              <w:tc>
                <w:tcPr>
                  <w:tcW w:w="630" w:type="dxa"/>
                  <w:tcBorders>
                    <w:tl2br w:val="nil"/>
                    <w:tr2bl w:val="nil"/>
                  </w:tcBorders>
                  <w:vAlign w:val="center"/>
                </w:tcPr>
                <w:p w14:paraId="5ABFD711">
                  <w:pPr>
                    <w:widowControl/>
                    <w:jc w:val="center"/>
                    <w:textAlignment w:val="center"/>
                    <w:rPr>
                      <w:color w:val="auto"/>
                      <w:sz w:val="18"/>
                      <w:szCs w:val="18"/>
                    </w:rPr>
                  </w:pPr>
                  <w:r>
                    <w:rPr>
                      <w:rFonts w:hint="eastAsia"/>
                      <w:color w:val="auto"/>
                      <w:sz w:val="18"/>
                      <w:szCs w:val="18"/>
                    </w:rPr>
                    <w:t>200</w:t>
                  </w:r>
                </w:p>
              </w:tc>
              <w:tc>
                <w:tcPr>
                  <w:tcW w:w="750" w:type="dxa"/>
                  <w:tcBorders>
                    <w:tl2br w:val="nil"/>
                    <w:tr2bl w:val="nil"/>
                  </w:tcBorders>
                  <w:vAlign w:val="center"/>
                </w:tcPr>
                <w:p w14:paraId="0CAA971F">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2.0</w:t>
                  </w:r>
                </w:p>
              </w:tc>
              <w:tc>
                <w:tcPr>
                  <w:tcW w:w="720" w:type="dxa"/>
                  <w:tcBorders>
                    <w:tl2br w:val="nil"/>
                    <w:tr2bl w:val="nil"/>
                  </w:tcBorders>
                  <w:vAlign w:val="center"/>
                </w:tcPr>
                <w:p w14:paraId="077441FA">
                  <w:pPr>
                    <w:widowControl/>
                    <w:jc w:val="center"/>
                    <w:textAlignment w:val="center"/>
                    <w:rPr>
                      <w:rFonts w:hint="eastAsia" w:eastAsia="宋体"/>
                      <w:color w:val="auto"/>
                      <w:sz w:val="18"/>
                      <w:szCs w:val="18"/>
                      <w:lang w:val="en-US" w:eastAsia="zh-CN"/>
                    </w:rPr>
                  </w:pPr>
                  <w:r>
                    <w:rPr>
                      <w:rFonts w:hint="eastAsia"/>
                      <w:color w:val="auto"/>
                      <w:sz w:val="18"/>
                      <w:szCs w:val="18"/>
                    </w:rPr>
                    <w:t>0.000</w:t>
                  </w:r>
                  <w:r>
                    <w:rPr>
                      <w:rFonts w:hint="eastAsia"/>
                      <w:color w:val="auto"/>
                      <w:sz w:val="18"/>
                      <w:szCs w:val="18"/>
                      <w:lang w:val="en-US" w:eastAsia="zh-CN"/>
                    </w:rPr>
                    <w:t>4</w:t>
                  </w:r>
                </w:p>
              </w:tc>
              <w:tc>
                <w:tcPr>
                  <w:tcW w:w="736" w:type="dxa"/>
                  <w:tcBorders>
                    <w:tl2br w:val="nil"/>
                    <w:tr2bl w:val="nil"/>
                  </w:tcBorders>
                  <w:vAlign w:val="center"/>
                </w:tcPr>
                <w:p w14:paraId="1213D2C3">
                  <w:pPr>
                    <w:widowControl/>
                    <w:jc w:val="center"/>
                    <w:textAlignment w:val="center"/>
                    <w:rPr>
                      <w:rFonts w:hint="default" w:eastAsia="宋体"/>
                      <w:color w:val="auto"/>
                      <w:sz w:val="18"/>
                      <w:szCs w:val="18"/>
                      <w:lang w:val="en-US" w:eastAsia="zh-CN"/>
                    </w:rPr>
                  </w:pPr>
                  <w:r>
                    <w:rPr>
                      <w:rFonts w:hint="eastAsia"/>
                      <w:color w:val="auto"/>
                      <w:sz w:val="18"/>
                      <w:szCs w:val="18"/>
                    </w:rPr>
                    <w:t>0.00</w:t>
                  </w:r>
                  <w:r>
                    <w:rPr>
                      <w:rFonts w:hint="eastAsia"/>
                      <w:color w:val="auto"/>
                      <w:sz w:val="18"/>
                      <w:szCs w:val="18"/>
                      <w:lang w:val="en-US" w:eastAsia="zh-CN"/>
                    </w:rPr>
                    <w:t>36</w:t>
                  </w:r>
                </w:p>
              </w:tc>
              <w:tc>
                <w:tcPr>
                  <w:tcW w:w="656" w:type="dxa"/>
                  <w:tcBorders>
                    <w:tl2br w:val="nil"/>
                    <w:tr2bl w:val="nil"/>
                  </w:tcBorders>
                  <w:vAlign w:val="center"/>
                </w:tcPr>
                <w:p w14:paraId="1D894C7F">
                  <w:pPr>
                    <w:pStyle w:val="121"/>
                    <w:widowControl/>
                    <w:rPr>
                      <w:color w:val="auto"/>
                      <w:sz w:val="18"/>
                      <w:szCs w:val="18"/>
                    </w:rPr>
                  </w:pPr>
                  <w:r>
                    <w:rPr>
                      <w:color w:val="auto"/>
                      <w:sz w:val="18"/>
                      <w:szCs w:val="18"/>
                    </w:rPr>
                    <w:t>活性炭吸附</w:t>
                  </w:r>
                </w:p>
              </w:tc>
              <w:tc>
                <w:tcPr>
                  <w:tcW w:w="663" w:type="dxa"/>
                  <w:tcBorders>
                    <w:tl2br w:val="nil"/>
                    <w:tr2bl w:val="nil"/>
                  </w:tcBorders>
                  <w:vAlign w:val="center"/>
                </w:tcPr>
                <w:p w14:paraId="37486CD1">
                  <w:pPr>
                    <w:widowControl/>
                    <w:jc w:val="center"/>
                    <w:textAlignment w:val="center"/>
                    <w:rPr>
                      <w:color w:val="auto"/>
                      <w:spacing w:val="-10"/>
                      <w:sz w:val="18"/>
                      <w:szCs w:val="18"/>
                    </w:rPr>
                  </w:pPr>
                  <w:r>
                    <w:rPr>
                      <w:rFonts w:hint="eastAsia"/>
                      <w:color w:val="auto"/>
                      <w:spacing w:val="-10"/>
                      <w:sz w:val="18"/>
                      <w:szCs w:val="18"/>
                    </w:rPr>
                    <w:t>70</w:t>
                  </w:r>
                </w:p>
              </w:tc>
              <w:tc>
                <w:tcPr>
                  <w:tcW w:w="780" w:type="dxa"/>
                  <w:tcBorders>
                    <w:tl2br w:val="nil"/>
                    <w:tr2bl w:val="nil"/>
                  </w:tcBorders>
                  <w:vAlign w:val="center"/>
                </w:tcPr>
                <w:p w14:paraId="70836F1B">
                  <w:pPr>
                    <w:widowControl/>
                    <w:jc w:val="center"/>
                    <w:textAlignment w:val="center"/>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.6</w:t>
                  </w:r>
                </w:p>
              </w:tc>
              <w:tc>
                <w:tcPr>
                  <w:tcW w:w="825" w:type="dxa"/>
                  <w:tcBorders>
                    <w:tl2br w:val="nil"/>
                    <w:tr2bl w:val="nil"/>
                  </w:tcBorders>
                  <w:vAlign w:val="center"/>
                </w:tcPr>
                <w:p w14:paraId="7D4A4F33">
                  <w:pPr>
                    <w:widowControl/>
                    <w:jc w:val="center"/>
                    <w:textAlignment w:val="center"/>
                    <w:rPr>
                      <w:rFonts w:hint="default" w:eastAsia="宋体"/>
                      <w:color w:val="auto"/>
                      <w:sz w:val="18"/>
                      <w:szCs w:val="18"/>
                      <w:lang w:val="en-US" w:eastAsia="zh-CN"/>
                    </w:rPr>
                  </w:pPr>
                  <w:r>
                    <w:rPr>
                      <w:rFonts w:hint="eastAsia"/>
                      <w:color w:val="auto"/>
                      <w:sz w:val="18"/>
                      <w:szCs w:val="18"/>
                    </w:rPr>
                    <w:t>0.000</w:t>
                  </w:r>
                  <w:r>
                    <w:rPr>
                      <w:rFonts w:hint="eastAsia"/>
                      <w:color w:val="auto"/>
                      <w:sz w:val="18"/>
                      <w:szCs w:val="18"/>
                      <w:lang w:val="en-US" w:eastAsia="zh-CN"/>
                    </w:rPr>
                    <w:t>12</w:t>
                  </w:r>
                </w:p>
              </w:tc>
              <w:tc>
                <w:tcPr>
                  <w:tcW w:w="736" w:type="dxa"/>
                  <w:tcBorders>
                    <w:tl2br w:val="nil"/>
                    <w:tr2bl w:val="nil"/>
                  </w:tcBorders>
                  <w:vAlign w:val="center"/>
                </w:tcPr>
                <w:p w14:paraId="26CD430D">
                  <w:pPr>
                    <w:widowControl/>
                    <w:jc w:val="center"/>
                    <w:textAlignment w:val="center"/>
                    <w:rPr>
                      <w:rFonts w:hint="default" w:eastAsia="宋体"/>
                      <w:color w:val="auto"/>
                      <w:sz w:val="18"/>
                      <w:szCs w:val="18"/>
                      <w:lang w:val="en-US" w:eastAsia="zh-CN"/>
                    </w:rPr>
                  </w:pPr>
                  <w:r>
                    <w:rPr>
                      <w:rFonts w:hint="eastAsia"/>
                      <w:color w:val="auto"/>
                      <w:sz w:val="18"/>
                      <w:szCs w:val="18"/>
                    </w:rPr>
                    <w:t>0.00</w:t>
                  </w:r>
                  <w:r>
                    <w:rPr>
                      <w:rFonts w:hint="eastAsia"/>
                      <w:color w:val="auto"/>
                      <w:sz w:val="18"/>
                      <w:szCs w:val="18"/>
                      <w:lang w:val="en-US" w:eastAsia="zh-CN"/>
                    </w:rPr>
                    <w:t>11</w:t>
                  </w:r>
                </w:p>
              </w:tc>
              <w:tc>
                <w:tcPr>
                  <w:tcW w:w="629" w:type="dxa"/>
                  <w:tcBorders>
                    <w:tl2br w:val="nil"/>
                    <w:tr2bl w:val="nil"/>
                  </w:tcBorders>
                  <w:vAlign w:val="center"/>
                </w:tcPr>
                <w:p w14:paraId="2B921660">
                  <w:pPr>
                    <w:adjustRightInd w:val="0"/>
                    <w:snapToGrid w:val="0"/>
                    <w:jc w:val="center"/>
                    <w:rPr>
                      <w:color w:val="auto"/>
                      <w:sz w:val="18"/>
                      <w:szCs w:val="18"/>
                    </w:rPr>
                  </w:pPr>
                  <w:r>
                    <w:rPr>
                      <w:rFonts w:hint="eastAsia"/>
                      <w:color w:val="auto"/>
                      <w:sz w:val="18"/>
                      <w:szCs w:val="18"/>
                    </w:rPr>
                    <w:t>15m排气筒DA002</w:t>
                  </w:r>
                </w:p>
              </w:tc>
            </w:tr>
          </w:tbl>
          <w:p w14:paraId="77DAFC2D">
            <w:pPr>
              <w:adjustRightInd w:val="0"/>
              <w:snapToGrid w:val="0"/>
              <w:jc w:val="center"/>
              <w:rPr>
                <w:b/>
                <w:bCs/>
                <w:szCs w:val="21"/>
              </w:rPr>
            </w:pPr>
            <w:r>
              <w:rPr>
                <w:b/>
                <w:bCs/>
                <w:snapToGrid w:val="0"/>
                <w:kern w:val="0"/>
                <w:szCs w:val="21"/>
              </w:rPr>
              <w:t>表4-</w:t>
            </w:r>
            <w:r>
              <w:rPr>
                <w:rFonts w:hint="eastAsia"/>
                <w:b/>
                <w:bCs/>
                <w:snapToGrid w:val="0"/>
                <w:kern w:val="0"/>
                <w:szCs w:val="21"/>
              </w:rPr>
              <w:t>4</w:t>
            </w:r>
            <w:r>
              <w:rPr>
                <w:b/>
                <w:bCs/>
                <w:snapToGrid w:val="0"/>
                <w:kern w:val="0"/>
                <w:szCs w:val="21"/>
              </w:rPr>
              <w:t xml:space="preserve"> 建设项目有组织</w:t>
            </w:r>
            <w:r>
              <w:rPr>
                <w:rFonts w:hint="eastAsia"/>
                <w:b/>
                <w:bCs/>
                <w:snapToGrid w:val="0"/>
                <w:kern w:val="0"/>
                <w:szCs w:val="21"/>
              </w:rPr>
              <w:t>排放口基本情况</w:t>
            </w:r>
            <w:r>
              <w:rPr>
                <w:b/>
                <w:bCs/>
                <w:snapToGrid w:val="0"/>
                <w:kern w:val="0"/>
                <w:szCs w:val="21"/>
              </w:rPr>
              <w:t>一览表</w:t>
            </w:r>
          </w:p>
          <w:tbl>
            <w:tblPr>
              <w:tblStyle w:val="23"/>
              <w:tblW w:w="886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6"/>
              <w:gridCol w:w="979"/>
              <w:gridCol w:w="1656"/>
              <w:gridCol w:w="776"/>
              <w:gridCol w:w="761"/>
              <w:gridCol w:w="796"/>
              <w:gridCol w:w="1128"/>
              <w:gridCol w:w="1186"/>
              <w:gridCol w:w="1130"/>
            </w:tblGrid>
            <w:tr w14:paraId="7B56A1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57" w:type="pct"/>
                  <w:vMerge w:val="restart"/>
                  <w:tcBorders>
                    <w:tl2br w:val="nil"/>
                    <w:tr2bl w:val="nil"/>
                  </w:tcBorders>
                  <w:vAlign w:val="center"/>
                </w:tcPr>
                <w:p w14:paraId="270949BA">
                  <w:pPr>
                    <w:adjustRightInd w:val="0"/>
                    <w:snapToGrid w:val="0"/>
                    <w:jc w:val="center"/>
                    <w:rPr>
                      <w:b/>
                      <w:bCs/>
                      <w:sz w:val="18"/>
                      <w:szCs w:val="18"/>
                    </w:rPr>
                  </w:pPr>
                  <w:r>
                    <w:rPr>
                      <w:rFonts w:hint="eastAsia"/>
                      <w:b/>
                      <w:bCs/>
                      <w:sz w:val="18"/>
                      <w:szCs w:val="18"/>
                    </w:rPr>
                    <w:t>序号</w:t>
                  </w:r>
                </w:p>
              </w:tc>
              <w:tc>
                <w:tcPr>
                  <w:tcW w:w="4742" w:type="pct"/>
                  <w:gridSpan w:val="8"/>
                  <w:tcBorders>
                    <w:tl2br w:val="nil"/>
                    <w:tr2bl w:val="nil"/>
                  </w:tcBorders>
                  <w:vAlign w:val="center"/>
                </w:tcPr>
                <w:p w14:paraId="2A5E3652">
                  <w:pPr>
                    <w:adjustRightInd w:val="0"/>
                    <w:snapToGrid w:val="0"/>
                    <w:jc w:val="center"/>
                    <w:rPr>
                      <w:b/>
                      <w:bCs/>
                      <w:sz w:val="18"/>
                      <w:szCs w:val="18"/>
                    </w:rPr>
                  </w:pPr>
                  <w:r>
                    <w:rPr>
                      <w:b/>
                      <w:bCs/>
                      <w:sz w:val="18"/>
                      <w:szCs w:val="18"/>
                    </w:rPr>
                    <w:t>排放口基本情况</w:t>
                  </w:r>
                </w:p>
              </w:tc>
            </w:tr>
            <w:tr w14:paraId="1146AF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257" w:type="pct"/>
                  <w:vMerge w:val="continue"/>
                  <w:tcBorders>
                    <w:tl2br w:val="nil"/>
                    <w:tr2bl w:val="nil"/>
                  </w:tcBorders>
                  <w:vAlign w:val="center"/>
                </w:tcPr>
                <w:p w14:paraId="45896620">
                  <w:pPr>
                    <w:adjustRightInd w:val="0"/>
                    <w:snapToGrid w:val="0"/>
                    <w:jc w:val="center"/>
                    <w:rPr>
                      <w:b/>
                      <w:bCs/>
                      <w:sz w:val="18"/>
                      <w:szCs w:val="18"/>
                    </w:rPr>
                  </w:pPr>
                </w:p>
              </w:tc>
              <w:tc>
                <w:tcPr>
                  <w:tcW w:w="551" w:type="pct"/>
                  <w:vMerge w:val="restart"/>
                  <w:tcBorders>
                    <w:tl2br w:val="nil"/>
                    <w:tr2bl w:val="nil"/>
                  </w:tcBorders>
                  <w:vAlign w:val="center"/>
                </w:tcPr>
                <w:p w14:paraId="431FA5D4">
                  <w:pPr>
                    <w:adjustRightInd w:val="0"/>
                    <w:snapToGrid w:val="0"/>
                    <w:jc w:val="center"/>
                    <w:rPr>
                      <w:b/>
                      <w:bCs/>
                      <w:sz w:val="18"/>
                      <w:szCs w:val="18"/>
                    </w:rPr>
                  </w:pPr>
                  <w:r>
                    <w:rPr>
                      <w:rFonts w:hint="eastAsia"/>
                      <w:b/>
                      <w:bCs/>
                      <w:sz w:val="18"/>
                      <w:szCs w:val="18"/>
                    </w:rPr>
                    <w:t>编号</w:t>
                  </w:r>
                </w:p>
              </w:tc>
              <w:tc>
                <w:tcPr>
                  <w:tcW w:w="933" w:type="pct"/>
                  <w:vMerge w:val="restart"/>
                  <w:tcBorders>
                    <w:tl2br w:val="nil"/>
                    <w:tr2bl w:val="nil"/>
                  </w:tcBorders>
                  <w:vAlign w:val="center"/>
                </w:tcPr>
                <w:p w14:paraId="30298571">
                  <w:pPr>
                    <w:adjustRightInd w:val="0"/>
                    <w:snapToGrid w:val="0"/>
                    <w:jc w:val="center"/>
                    <w:rPr>
                      <w:b/>
                      <w:bCs/>
                      <w:sz w:val="18"/>
                      <w:szCs w:val="18"/>
                    </w:rPr>
                  </w:pPr>
                  <w:r>
                    <w:rPr>
                      <w:rFonts w:hint="eastAsia"/>
                      <w:b/>
                      <w:bCs/>
                      <w:sz w:val="18"/>
                      <w:szCs w:val="18"/>
                    </w:rPr>
                    <w:t>名称</w:t>
                  </w:r>
                </w:p>
              </w:tc>
              <w:tc>
                <w:tcPr>
                  <w:tcW w:w="437" w:type="pct"/>
                  <w:vMerge w:val="restart"/>
                  <w:tcBorders>
                    <w:tl2br w:val="nil"/>
                    <w:tr2bl w:val="nil"/>
                  </w:tcBorders>
                  <w:vAlign w:val="center"/>
                </w:tcPr>
                <w:p w14:paraId="43F10835">
                  <w:pPr>
                    <w:adjustRightInd w:val="0"/>
                    <w:snapToGrid w:val="0"/>
                    <w:jc w:val="center"/>
                    <w:rPr>
                      <w:b/>
                      <w:bCs/>
                      <w:sz w:val="18"/>
                      <w:szCs w:val="18"/>
                    </w:rPr>
                  </w:pPr>
                  <w:r>
                    <w:rPr>
                      <w:b/>
                      <w:bCs/>
                      <w:sz w:val="18"/>
                      <w:szCs w:val="18"/>
                    </w:rPr>
                    <w:t>排气筒高度</w:t>
                  </w:r>
                  <w:r>
                    <w:rPr>
                      <w:rFonts w:hint="eastAsia"/>
                      <w:b/>
                      <w:bCs/>
                      <w:sz w:val="18"/>
                      <w:szCs w:val="18"/>
                    </w:rPr>
                    <w:t>（m）</w:t>
                  </w:r>
                </w:p>
              </w:tc>
              <w:tc>
                <w:tcPr>
                  <w:tcW w:w="429" w:type="pct"/>
                  <w:vMerge w:val="restart"/>
                  <w:tcBorders>
                    <w:tl2br w:val="nil"/>
                    <w:tr2bl w:val="nil"/>
                  </w:tcBorders>
                  <w:vAlign w:val="center"/>
                </w:tcPr>
                <w:p w14:paraId="10D4B006">
                  <w:pPr>
                    <w:adjustRightInd w:val="0"/>
                    <w:snapToGrid w:val="0"/>
                    <w:jc w:val="center"/>
                    <w:rPr>
                      <w:b/>
                      <w:bCs/>
                      <w:sz w:val="18"/>
                      <w:szCs w:val="18"/>
                    </w:rPr>
                  </w:pPr>
                  <w:r>
                    <w:rPr>
                      <w:b/>
                      <w:bCs/>
                      <w:sz w:val="18"/>
                      <w:szCs w:val="18"/>
                    </w:rPr>
                    <w:t>内径</w:t>
                  </w:r>
                  <w:r>
                    <w:rPr>
                      <w:rFonts w:hint="eastAsia"/>
                      <w:b/>
                      <w:bCs/>
                      <w:sz w:val="18"/>
                      <w:szCs w:val="18"/>
                    </w:rPr>
                    <w:t>（m）</w:t>
                  </w:r>
                </w:p>
              </w:tc>
              <w:tc>
                <w:tcPr>
                  <w:tcW w:w="448" w:type="pct"/>
                  <w:vMerge w:val="restart"/>
                  <w:tcBorders>
                    <w:tl2br w:val="nil"/>
                    <w:tr2bl w:val="nil"/>
                  </w:tcBorders>
                  <w:vAlign w:val="center"/>
                </w:tcPr>
                <w:p w14:paraId="4A7196B1">
                  <w:pPr>
                    <w:adjustRightInd w:val="0"/>
                    <w:snapToGrid w:val="0"/>
                    <w:jc w:val="center"/>
                    <w:rPr>
                      <w:b/>
                      <w:bCs/>
                      <w:sz w:val="18"/>
                      <w:szCs w:val="18"/>
                    </w:rPr>
                  </w:pPr>
                  <w:r>
                    <w:rPr>
                      <w:b/>
                      <w:bCs/>
                      <w:sz w:val="18"/>
                      <w:szCs w:val="18"/>
                    </w:rPr>
                    <w:t>温度</w:t>
                  </w:r>
                  <w:r>
                    <w:rPr>
                      <w:rFonts w:hint="eastAsia"/>
                      <w:b/>
                      <w:bCs/>
                      <w:sz w:val="18"/>
                      <w:szCs w:val="18"/>
                    </w:rPr>
                    <w:t>（</w:t>
                  </w:r>
                  <w:r>
                    <w:rPr>
                      <w:b/>
                      <w:kern w:val="0"/>
                      <w:sz w:val="18"/>
                      <w:szCs w:val="18"/>
                    </w:rPr>
                    <w:t>℃</w:t>
                  </w:r>
                  <w:r>
                    <w:rPr>
                      <w:rFonts w:hint="eastAsia"/>
                      <w:b/>
                      <w:bCs/>
                      <w:sz w:val="18"/>
                      <w:szCs w:val="18"/>
                    </w:rPr>
                    <w:t>）</w:t>
                  </w:r>
                </w:p>
              </w:tc>
              <w:tc>
                <w:tcPr>
                  <w:tcW w:w="635" w:type="pct"/>
                  <w:vMerge w:val="restart"/>
                  <w:tcBorders>
                    <w:tl2br w:val="nil"/>
                    <w:tr2bl w:val="nil"/>
                  </w:tcBorders>
                  <w:vAlign w:val="center"/>
                </w:tcPr>
                <w:p w14:paraId="02AEED34">
                  <w:pPr>
                    <w:adjustRightInd w:val="0"/>
                    <w:snapToGrid w:val="0"/>
                    <w:jc w:val="center"/>
                    <w:rPr>
                      <w:b/>
                      <w:bCs/>
                      <w:sz w:val="18"/>
                      <w:szCs w:val="18"/>
                    </w:rPr>
                  </w:pPr>
                  <w:r>
                    <w:rPr>
                      <w:b/>
                      <w:bCs/>
                      <w:sz w:val="18"/>
                      <w:szCs w:val="18"/>
                    </w:rPr>
                    <w:t>类型</w:t>
                  </w:r>
                </w:p>
              </w:tc>
              <w:tc>
                <w:tcPr>
                  <w:tcW w:w="1305" w:type="pct"/>
                  <w:gridSpan w:val="2"/>
                  <w:tcBorders>
                    <w:tl2br w:val="nil"/>
                    <w:tr2bl w:val="nil"/>
                  </w:tcBorders>
                  <w:vAlign w:val="center"/>
                </w:tcPr>
                <w:p w14:paraId="0BCEA2C2">
                  <w:pPr>
                    <w:adjustRightInd w:val="0"/>
                    <w:snapToGrid w:val="0"/>
                    <w:jc w:val="center"/>
                    <w:rPr>
                      <w:b/>
                      <w:bCs/>
                      <w:sz w:val="18"/>
                      <w:szCs w:val="18"/>
                    </w:rPr>
                  </w:pPr>
                  <w:r>
                    <w:rPr>
                      <w:b/>
                      <w:bCs/>
                      <w:sz w:val="18"/>
                      <w:szCs w:val="18"/>
                    </w:rPr>
                    <w:t>地理坐标</w:t>
                  </w:r>
                  <w:r>
                    <w:rPr>
                      <w:rFonts w:hint="eastAsia"/>
                      <w:b/>
                      <w:bCs/>
                      <w:sz w:val="18"/>
                      <w:szCs w:val="18"/>
                    </w:rPr>
                    <w:t>（</w:t>
                  </w:r>
                  <w:r>
                    <w:rPr>
                      <w:b/>
                      <w:bCs/>
                      <w:sz w:val="18"/>
                      <w:szCs w:val="18"/>
                    </w:rPr>
                    <w:t>o</w:t>
                  </w:r>
                  <w:r>
                    <w:rPr>
                      <w:rFonts w:hint="eastAsia"/>
                      <w:b/>
                      <w:bCs/>
                      <w:sz w:val="18"/>
                      <w:szCs w:val="18"/>
                    </w:rPr>
                    <w:t>）</w:t>
                  </w:r>
                </w:p>
              </w:tc>
            </w:tr>
            <w:tr w14:paraId="12F91A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57" w:type="pct"/>
                  <w:vMerge w:val="continue"/>
                  <w:tcBorders>
                    <w:tl2br w:val="nil"/>
                    <w:tr2bl w:val="nil"/>
                  </w:tcBorders>
                  <w:vAlign w:val="center"/>
                </w:tcPr>
                <w:p w14:paraId="5FBAC20D">
                  <w:pPr>
                    <w:adjustRightInd w:val="0"/>
                    <w:snapToGrid w:val="0"/>
                    <w:jc w:val="center"/>
                    <w:rPr>
                      <w:b/>
                      <w:bCs/>
                      <w:sz w:val="18"/>
                      <w:szCs w:val="18"/>
                    </w:rPr>
                  </w:pPr>
                </w:p>
              </w:tc>
              <w:tc>
                <w:tcPr>
                  <w:tcW w:w="551" w:type="pct"/>
                  <w:vMerge w:val="continue"/>
                  <w:tcBorders>
                    <w:tl2br w:val="nil"/>
                    <w:tr2bl w:val="nil"/>
                  </w:tcBorders>
                  <w:vAlign w:val="center"/>
                </w:tcPr>
                <w:p w14:paraId="1AB35B95">
                  <w:pPr>
                    <w:adjustRightInd w:val="0"/>
                    <w:snapToGrid w:val="0"/>
                    <w:jc w:val="center"/>
                    <w:rPr>
                      <w:b/>
                      <w:bCs/>
                      <w:sz w:val="18"/>
                      <w:szCs w:val="18"/>
                    </w:rPr>
                  </w:pPr>
                </w:p>
              </w:tc>
              <w:tc>
                <w:tcPr>
                  <w:tcW w:w="933" w:type="pct"/>
                  <w:vMerge w:val="continue"/>
                  <w:tcBorders>
                    <w:tl2br w:val="nil"/>
                    <w:tr2bl w:val="nil"/>
                  </w:tcBorders>
                  <w:vAlign w:val="center"/>
                </w:tcPr>
                <w:p w14:paraId="6DCD1FAB">
                  <w:pPr>
                    <w:adjustRightInd w:val="0"/>
                    <w:snapToGrid w:val="0"/>
                    <w:jc w:val="center"/>
                    <w:rPr>
                      <w:b/>
                      <w:bCs/>
                      <w:sz w:val="18"/>
                      <w:szCs w:val="18"/>
                    </w:rPr>
                  </w:pPr>
                </w:p>
              </w:tc>
              <w:tc>
                <w:tcPr>
                  <w:tcW w:w="437" w:type="pct"/>
                  <w:vMerge w:val="continue"/>
                  <w:tcBorders>
                    <w:tl2br w:val="nil"/>
                    <w:tr2bl w:val="nil"/>
                  </w:tcBorders>
                  <w:vAlign w:val="center"/>
                </w:tcPr>
                <w:p w14:paraId="7144DA54">
                  <w:pPr>
                    <w:adjustRightInd w:val="0"/>
                    <w:snapToGrid w:val="0"/>
                    <w:jc w:val="center"/>
                    <w:rPr>
                      <w:b/>
                      <w:kern w:val="0"/>
                      <w:sz w:val="18"/>
                      <w:szCs w:val="18"/>
                      <w:lang w:bidi="ar"/>
                    </w:rPr>
                  </w:pPr>
                </w:p>
              </w:tc>
              <w:tc>
                <w:tcPr>
                  <w:tcW w:w="429" w:type="pct"/>
                  <w:vMerge w:val="continue"/>
                  <w:tcBorders>
                    <w:tl2br w:val="nil"/>
                    <w:tr2bl w:val="nil"/>
                  </w:tcBorders>
                  <w:vAlign w:val="center"/>
                </w:tcPr>
                <w:p w14:paraId="7978C86A">
                  <w:pPr>
                    <w:adjustRightInd w:val="0"/>
                    <w:snapToGrid w:val="0"/>
                    <w:jc w:val="center"/>
                    <w:rPr>
                      <w:b/>
                      <w:bCs/>
                      <w:sz w:val="18"/>
                      <w:szCs w:val="18"/>
                    </w:rPr>
                  </w:pPr>
                </w:p>
              </w:tc>
              <w:tc>
                <w:tcPr>
                  <w:tcW w:w="448" w:type="pct"/>
                  <w:vMerge w:val="continue"/>
                  <w:tcBorders>
                    <w:tl2br w:val="nil"/>
                    <w:tr2bl w:val="nil"/>
                  </w:tcBorders>
                  <w:vAlign w:val="center"/>
                </w:tcPr>
                <w:p w14:paraId="29AD8D1C">
                  <w:pPr>
                    <w:adjustRightInd w:val="0"/>
                    <w:snapToGrid w:val="0"/>
                    <w:jc w:val="center"/>
                    <w:rPr>
                      <w:b/>
                      <w:bCs/>
                      <w:sz w:val="18"/>
                      <w:szCs w:val="18"/>
                    </w:rPr>
                  </w:pPr>
                </w:p>
              </w:tc>
              <w:tc>
                <w:tcPr>
                  <w:tcW w:w="635" w:type="pct"/>
                  <w:vMerge w:val="continue"/>
                  <w:tcBorders>
                    <w:tl2br w:val="nil"/>
                    <w:tr2bl w:val="nil"/>
                  </w:tcBorders>
                  <w:vAlign w:val="center"/>
                </w:tcPr>
                <w:p w14:paraId="020B35BB">
                  <w:pPr>
                    <w:adjustRightInd w:val="0"/>
                    <w:snapToGrid w:val="0"/>
                    <w:jc w:val="center"/>
                    <w:rPr>
                      <w:b/>
                      <w:bCs/>
                      <w:sz w:val="18"/>
                      <w:szCs w:val="18"/>
                    </w:rPr>
                  </w:pPr>
                </w:p>
              </w:tc>
              <w:tc>
                <w:tcPr>
                  <w:tcW w:w="668" w:type="pct"/>
                  <w:tcBorders>
                    <w:tl2br w:val="nil"/>
                    <w:tr2bl w:val="nil"/>
                  </w:tcBorders>
                  <w:vAlign w:val="center"/>
                </w:tcPr>
                <w:p w14:paraId="0318F026">
                  <w:pPr>
                    <w:adjustRightInd w:val="0"/>
                    <w:snapToGrid w:val="0"/>
                    <w:jc w:val="center"/>
                    <w:rPr>
                      <w:b/>
                      <w:bCs/>
                      <w:sz w:val="18"/>
                      <w:szCs w:val="18"/>
                    </w:rPr>
                  </w:pPr>
                  <w:r>
                    <w:rPr>
                      <w:rFonts w:hint="eastAsia"/>
                      <w:b/>
                      <w:bCs/>
                      <w:sz w:val="18"/>
                      <w:szCs w:val="18"/>
                    </w:rPr>
                    <w:t>经度</w:t>
                  </w:r>
                </w:p>
              </w:tc>
              <w:tc>
                <w:tcPr>
                  <w:tcW w:w="637" w:type="pct"/>
                  <w:tcBorders>
                    <w:tl2br w:val="nil"/>
                    <w:tr2bl w:val="nil"/>
                  </w:tcBorders>
                  <w:vAlign w:val="center"/>
                </w:tcPr>
                <w:p w14:paraId="6EC19189">
                  <w:pPr>
                    <w:adjustRightInd w:val="0"/>
                    <w:snapToGrid w:val="0"/>
                    <w:jc w:val="center"/>
                    <w:rPr>
                      <w:b/>
                      <w:bCs/>
                      <w:sz w:val="18"/>
                      <w:szCs w:val="18"/>
                    </w:rPr>
                  </w:pPr>
                  <w:r>
                    <w:rPr>
                      <w:rFonts w:hint="eastAsia"/>
                      <w:b/>
                      <w:bCs/>
                      <w:sz w:val="18"/>
                      <w:szCs w:val="18"/>
                    </w:rPr>
                    <w:t>纬度</w:t>
                  </w:r>
                </w:p>
              </w:tc>
            </w:tr>
            <w:tr w14:paraId="328864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257" w:type="pct"/>
                  <w:tcBorders>
                    <w:tl2br w:val="nil"/>
                    <w:tr2bl w:val="nil"/>
                  </w:tcBorders>
                  <w:vAlign w:val="center"/>
                </w:tcPr>
                <w:p w14:paraId="7972863C">
                  <w:pPr>
                    <w:widowControl/>
                    <w:jc w:val="center"/>
                    <w:textAlignment w:val="center"/>
                    <w:rPr>
                      <w:sz w:val="18"/>
                      <w:szCs w:val="18"/>
                    </w:rPr>
                  </w:pPr>
                  <w:r>
                    <w:rPr>
                      <w:rFonts w:hint="eastAsia"/>
                      <w:sz w:val="18"/>
                      <w:szCs w:val="18"/>
                    </w:rPr>
                    <w:t>1</w:t>
                  </w:r>
                </w:p>
              </w:tc>
              <w:tc>
                <w:tcPr>
                  <w:tcW w:w="551" w:type="pct"/>
                  <w:tcBorders>
                    <w:tl2br w:val="nil"/>
                    <w:tr2bl w:val="nil"/>
                  </w:tcBorders>
                  <w:vAlign w:val="center"/>
                </w:tcPr>
                <w:p w14:paraId="3994A794">
                  <w:pPr>
                    <w:adjustRightInd w:val="0"/>
                    <w:snapToGrid w:val="0"/>
                    <w:jc w:val="center"/>
                    <w:rPr>
                      <w:sz w:val="18"/>
                      <w:szCs w:val="18"/>
                    </w:rPr>
                  </w:pPr>
                  <w:r>
                    <w:rPr>
                      <w:rFonts w:hint="eastAsia"/>
                      <w:sz w:val="18"/>
                      <w:szCs w:val="18"/>
                    </w:rPr>
                    <w:t>DA001排气筒</w:t>
                  </w:r>
                </w:p>
              </w:tc>
              <w:tc>
                <w:tcPr>
                  <w:tcW w:w="933" w:type="pct"/>
                  <w:tcBorders>
                    <w:tl2br w:val="nil"/>
                    <w:tr2bl w:val="nil"/>
                  </w:tcBorders>
                  <w:vAlign w:val="center"/>
                </w:tcPr>
                <w:p w14:paraId="16EDB54E">
                  <w:pPr>
                    <w:adjustRightInd w:val="0"/>
                    <w:snapToGrid w:val="0"/>
                    <w:jc w:val="center"/>
                    <w:rPr>
                      <w:sz w:val="18"/>
                      <w:szCs w:val="18"/>
                    </w:rPr>
                  </w:pPr>
                  <w:r>
                    <w:rPr>
                      <w:rFonts w:hint="eastAsia"/>
                      <w:sz w:val="18"/>
                      <w:szCs w:val="18"/>
                    </w:rPr>
                    <w:t>非甲烷总烃、二甲苯、甲醇、氨气</w:t>
                  </w:r>
                </w:p>
              </w:tc>
              <w:tc>
                <w:tcPr>
                  <w:tcW w:w="437" w:type="pct"/>
                  <w:tcBorders>
                    <w:tl2br w:val="nil"/>
                    <w:tr2bl w:val="nil"/>
                  </w:tcBorders>
                  <w:vAlign w:val="center"/>
                </w:tcPr>
                <w:p w14:paraId="38513153">
                  <w:pPr>
                    <w:widowControl/>
                    <w:jc w:val="center"/>
                    <w:textAlignment w:val="center"/>
                    <w:rPr>
                      <w:sz w:val="18"/>
                      <w:szCs w:val="18"/>
                    </w:rPr>
                  </w:pPr>
                  <w:r>
                    <w:rPr>
                      <w:rFonts w:hint="eastAsia"/>
                      <w:sz w:val="18"/>
                      <w:szCs w:val="18"/>
                    </w:rPr>
                    <w:t>15</w:t>
                  </w:r>
                </w:p>
              </w:tc>
              <w:tc>
                <w:tcPr>
                  <w:tcW w:w="429" w:type="pct"/>
                  <w:tcBorders>
                    <w:tl2br w:val="nil"/>
                    <w:tr2bl w:val="nil"/>
                  </w:tcBorders>
                  <w:vAlign w:val="center"/>
                </w:tcPr>
                <w:p w14:paraId="1DDE1BA4">
                  <w:pPr>
                    <w:widowControl/>
                    <w:jc w:val="center"/>
                    <w:textAlignment w:val="center"/>
                    <w:rPr>
                      <w:sz w:val="18"/>
                      <w:szCs w:val="18"/>
                    </w:rPr>
                  </w:pPr>
                  <w:r>
                    <w:rPr>
                      <w:rFonts w:hint="eastAsia"/>
                      <w:sz w:val="18"/>
                      <w:szCs w:val="18"/>
                    </w:rPr>
                    <w:t>0.45</w:t>
                  </w:r>
                </w:p>
              </w:tc>
              <w:tc>
                <w:tcPr>
                  <w:tcW w:w="448" w:type="pct"/>
                  <w:tcBorders>
                    <w:tl2br w:val="nil"/>
                    <w:tr2bl w:val="nil"/>
                  </w:tcBorders>
                  <w:vAlign w:val="center"/>
                </w:tcPr>
                <w:p w14:paraId="6CD717ED">
                  <w:pPr>
                    <w:widowControl/>
                    <w:jc w:val="center"/>
                    <w:rPr>
                      <w:sz w:val="18"/>
                      <w:szCs w:val="18"/>
                    </w:rPr>
                  </w:pPr>
                  <w:r>
                    <w:rPr>
                      <w:rFonts w:hint="eastAsia"/>
                      <w:sz w:val="18"/>
                      <w:szCs w:val="18"/>
                    </w:rPr>
                    <w:t>25</w:t>
                  </w:r>
                </w:p>
              </w:tc>
              <w:tc>
                <w:tcPr>
                  <w:tcW w:w="635" w:type="pct"/>
                  <w:tcBorders>
                    <w:tl2br w:val="nil"/>
                    <w:tr2bl w:val="nil"/>
                  </w:tcBorders>
                  <w:vAlign w:val="center"/>
                </w:tcPr>
                <w:p w14:paraId="12BDC587">
                  <w:pPr>
                    <w:adjustRightInd w:val="0"/>
                    <w:snapToGrid w:val="0"/>
                    <w:jc w:val="center"/>
                    <w:rPr>
                      <w:sz w:val="18"/>
                      <w:szCs w:val="18"/>
                    </w:rPr>
                  </w:pPr>
                  <w:r>
                    <w:rPr>
                      <w:rFonts w:hint="eastAsia"/>
                      <w:sz w:val="18"/>
                      <w:szCs w:val="18"/>
                    </w:rPr>
                    <w:t>一般排放口</w:t>
                  </w:r>
                </w:p>
              </w:tc>
              <w:tc>
                <w:tcPr>
                  <w:tcW w:w="668" w:type="pct"/>
                  <w:tcBorders>
                    <w:tl2br w:val="nil"/>
                    <w:tr2bl w:val="nil"/>
                  </w:tcBorders>
                  <w:vAlign w:val="center"/>
                </w:tcPr>
                <w:p w14:paraId="154F8B36">
                  <w:pPr>
                    <w:adjustRightInd w:val="0"/>
                    <w:snapToGrid w:val="0"/>
                    <w:jc w:val="center"/>
                    <w:rPr>
                      <w:sz w:val="18"/>
                      <w:szCs w:val="18"/>
                    </w:rPr>
                  </w:pPr>
                  <w:r>
                    <w:rPr>
                      <w:rFonts w:hint="eastAsia"/>
                      <w:sz w:val="18"/>
                      <w:szCs w:val="18"/>
                    </w:rPr>
                    <w:t>120.688637</w:t>
                  </w:r>
                </w:p>
              </w:tc>
              <w:tc>
                <w:tcPr>
                  <w:tcW w:w="637" w:type="pct"/>
                  <w:tcBorders>
                    <w:tl2br w:val="nil"/>
                    <w:tr2bl w:val="nil"/>
                  </w:tcBorders>
                  <w:vAlign w:val="center"/>
                </w:tcPr>
                <w:p w14:paraId="279C4ED1">
                  <w:pPr>
                    <w:adjustRightInd w:val="0"/>
                    <w:snapToGrid w:val="0"/>
                    <w:jc w:val="center"/>
                    <w:rPr>
                      <w:sz w:val="18"/>
                      <w:szCs w:val="18"/>
                    </w:rPr>
                  </w:pPr>
                  <w:r>
                    <w:rPr>
                      <w:rFonts w:hint="eastAsia"/>
                      <w:sz w:val="18"/>
                      <w:szCs w:val="18"/>
                    </w:rPr>
                    <w:t>32.544310</w:t>
                  </w:r>
                </w:p>
              </w:tc>
            </w:tr>
            <w:tr w14:paraId="0072E4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57" w:type="pct"/>
                  <w:tcBorders>
                    <w:tl2br w:val="nil"/>
                    <w:tr2bl w:val="nil"/>
                  </w:tcBorders>
                  <w:vAlign w:val="center"/>
                </w:tcPr>
                <w:p w14:paraId="357A80D5">
                  <w:pPr>
                    <w:widowControl/>
                    <w:jc w:val="center"/>
                    <w:textAlignment w:val="center"/>
                    <w:rPr>
                      <w:sz w:val="18"/>
                      <w:szCs w:val="18"/>
                    </w:rPr>
                  </w:pPr>
                  <w:r>
                    <w:rPr>
                      <w:rFonts w:hint="eastAsia"/>
                      <w:sz w:val="18"/>
                      <w:szCs w:val="18"/>
                    </w:rPr>
                    <w:t>2</w:t>
                  </w:r>
                </w:p>
              </w:tc>
              <w:tc>
                <w:tcPr>
                  <w:tcW w:w="551" w:type="pct"/>
                  <w:tcBorders>
                    <w:tl2br w:val="nil"/>
                    <w:tr2bl w:val="nil"/>
                  </w:tcBorders>
                  <w:vAlign w:val="center"/>
                </w:tcPr>
                <w:p w14:paraId="37AD2AD8">
                  <w:pPr>
                    <w:adjustRightInd w:val="0"/>
                    <w:snapToGrid w:val="0"/>
                    <w:jc w:val="center"/>
                    <w:rPr>
                      <w:sz w:val="18"/>
                      <w:szCs w:val="18"/>
                    </w:rPr>
                  </w:pPr>
                  <w:r>
                    <w:rPr>
                      <w:rFonts w:hint="eastAsia"/>
                      <w:sz w:val="18"/>
                      <w:szCs w:val="18"/>
                    </w:rPr>
                    <w:t>DA002排气筒</w:t>
                  </w:r>
                </w:p>
              </w:tc>
              <w:tc>
                <w:tcPr>
                  <w:tcW w:w="933" w:type="pct"/>
                  <w:tcBorders>
                    <w:tl2br w:val="nil"/>
                    <w:tr2bl w:val="nil"/>
                  </w:tcBorders>
                  <w:vAlign w:val="center"/>
                </w:tcPr>
                <w:p w14:paraId="0951748B">
                  <w:pPr>
                    <w:adjustRightInd w:val="0"/>
                    <w:snapToGrid w:val="0"/>
                    <w:jc w:val="center"/>
                    <w:rPr>
                      <w:sz w:val="18"/>
                      <w:szCs w:val="18"/>
                    </w:rPr>
                  </w:pPr>
                  <w:r>
                    <w:rPr>
                      <w:rFonts w:hint="eastAsia"/>
                      <w:sz w:val="18"/>
                      <w:szCs w:val="18"/>
                    </w:rPr>
                    <w:t>非甲烷总烃</w:t>
                  </w:r>
                </w:p>
              </w:tc>
              <w:tc>
                <w:tcPr>
                  <w:tcW w:w="437" w:type="pct"/>
                  <w:tcBorders>
                    <w:tl2br w:val="nil"/>
                    <w:tr2bl w:val="nil"/>
                  </w:tcBorders>
                  <w:vAlign w:val="center"/>
                </w:tcPr>
                <w:p w14:paraId="14F0A455">
                  <w:pPr>
                    <w:widowControl/>
                    <w:jc w:val="center"/>
                    <w:textAlignment w:val="center"/>
                    <w:rPr>
                      <w:sz w:val="18"/>
                      <w:szCs w:val="18"/>
                    </w:rPr>
                  </w:pPr>
                  <w:r>
                    <w:rPr>
                      <w:rFonts w:hint="eastAsia"/>
                      <w:sz w:val="18"/>
                      <w:szCs w:val="18"/>
                    </w:rPr>
                    <w:t>15</w:t>
                  </w:r>
                </w:p>
              </w:tc>
              <w:tc>
                <w:tcPr>
                  <w:tcW w:w="429" w:type="pct"/>
                  <w:tcBorders>
                    <w:tl2br w:val="nil"/>
                    <w:tr2bl w:val="nil"/>
                  </w:tcBorders>
                  <w:vAlign w:val="center"/>
                </w:tcPr>
                <w:p w14:paraId="6EDD0E51">
                  <w:pPr>
                    <w:widowControl/>
                    <w:jc w:val="center"/>
                    <w:textAlignment w:val="center"/>
                    <w:rPr>
                      <w:sz w:val="18"/>
                      <w:szCs w:val="18"/>
                    </w:rPr>
                  </w:pPr>
                  <w:r>
                    <w:rPr>
                      <w:rFonts w:hint="eastAsia"/>
                      <w:sz w:val="18"/>
                      <w:szCs w:val="18"/>
                    </w:rPr>
                    <w:t>0.08</w:t>
                  </w:r>
                </w:p>
              </w:tc>
              <w:tc>
                <w:tcPr>
                  <w:tcW w:w="448" w:type="pct"/>
                  <w:tcBorders>
                    <w:tl2br w:val="nil"/>
                    <w:tr2bl w:val="nil"/>
                  </w:tcBorders>
                  <w:vAlign w:val="center"/>
                </w:tcPr>
                <w:p w14:paraId="317B3788">
                  <w:pPr>
                    <w:widowControl/>
                    <w:jc w:val="center"/>
                    <w:rPr>
                      <w:sz w:val="18"/>
                      <w:szCs w:val="18"/>
                    </w:rPr>
                  </w:pPr>
                  <w:r>
                    <w:rPr>
                      <w:rFonts w:hint="eastAsia"/>
                      <w:sz w:val="18"/>
                      <w:szCs w:val="18"/>
                    </w:rPr>
                    <w:t>25</w:t>
                  </w:r>
                </w:p>
              </w:tc>
              <w:tc>
                <w:tcPr>
                  <w:tcW w:w="635" w:type="pct"/>
                  <w:tcBorders>
                    <w:tl2br w:val="nil"/>
                    <w:tr2bl w:val="nil"/>
                  </w:tcBorders>
                  <w:vAlign w:val="center"/>
                </w:tcPr>
                <w:p w14:paraId="5F0E2ADB">
                  <w:pPr>
                    <w:adjustRightInd w:val="0"/>
                    <w:snapToGrid w:val="0"/>
                    <w:jc w:val="center"/>
                    <w:rPr>
                      <w:sz w:val="18"/>
                      <w:szCs w:val="18"/>
                    </w:rPr>
                  </w:pPr>
                  <w:r>
                    <w:rPr>
                      <w:rFonts w:hint="eastAsia"/>
                      <w:sz w:val="18"/>
                      <w:szCs w:val="18"/>
                    </w:rPr>
                    <w:t>一般排放口</w:t>
                  </w:r>
                </w:p>
              </w:tc>
              <w:tc>
                <w:tcPr>
                  <w:tcW w:w="668" w:type="pct"/>
                  <w:tcBorders>
                    <w:tl2br w:val="nil"/>
                    <w:tr2bl w:val="nil"/>
                  </w:tcBorders>
                  <w:vAlign w:val="center"/>
                </w:tcPr>
                <w:p w14:paraId="3D8EF437">
                  <w:pPr>
                    <w:adjustRightInd w:val="0"/>
                    <w:snapToGrid w:val="0"/>
                    <w:jc w:val="center"/>
                    <w:rPr>
                      <w:sz w:val="18"/>
                      <w:szCs w:val="18"/>
                    </w:rPr>
                  </w:pPr>
                  <w:r>
                    <w:rPr>
                      <w:rFonts w:hint="eastAsia"/>
                      <w:sz w:val="18"/>
                      <w:szCs w:val="18"/>
                    </w:rPr>
                    <w:t>120.688757</w:t>
                  </w:r>
                </w:p>
              </w:tc>
              <w:tc>
                <w:tcPr>
                  <w:tcW w:w="637" w:type="pct"/>
                  <w:tcBorders>
                    <w:tl2br w:val="nil"/>
                    <w:tr2bl w:val="nil"/>
                  </w:tcBorders>
                  <w:vAlign w:val="center"/>
                </w:tcPr>
                <w:p w14:paraId="303BC7F6">
                  <w:pPr>
                    <w:adjustRightInd w:val="0"/>
                    <w:snapToGrid w:val="0"/>
                    <w:jc w:val="center"/>
                    <w:rPr>
                      <w:sz w:val="18"/>
                      <w:szCs w:val="18"/>
                    </w:rPr>
                  </w:pPr>
                  <w:r>
                    <w:rPr>
                      <w:rFonts w:hint="eastAsia"/>
                      <w:sz w:val="18"/>
                      <w:szCs w:val="18"/>
                    </w:rPr>
                    <w:t>32.544328</w:t>
                  </w:r>
                </w:p>
              </w:tc>
            </w:tr>
          </w:tbl>
          <w:p w14:paraId="52A2110B">
            <w:pPr>
              <w:adjustRightInd w:val="0"/>
              <w:snapToGrid w:val="0"/>
              <w:spacing w:line="360" w:lineRule="auto"/>
              <w:ind w:firstLine="422" w:firstLineChars="200"/>
              <w:rPr>
                <w:kern w:val="0"/>
                <w:szCs w:val="21"/>
              </w:rPr>
            </w:pPr>
            <w:r>
              <w:rPr>
                <w:b/>
                <w:bCs/>
                <w:kern w:val="0"/>
                <w:szCs w:val="21"/>
              </w:rPr>
              <w:t>（</w:t>
            </w:r>
            <w:r>
              <w:rPr>
                <w:rFonts w:hint="eastAsia"/>
                <w:b/>
                <w:bCs/>
                <w:kern w:val="0"/>
                <w:szCs w:val="21"/>
              </w:rPr>
              <w:t>3</w:t>
            </w:r>
            <w:r>
              <w:rPr>
                <w:b/>
                <w:bCs/>
                <w:kern w:val="0"/>
                <w:szCs w:val="21"/>
              </w:rPr>
              <w:t>）无组织废气产生和排放情况表</w:t>
            </w:r>
          </w:p>
          <w:p w14:paraId="2E74B78D">
            <w:pPr>
              <w:adjustRightInd w:val="0"/>
              <w:snapToGrid w:val="0"/>
              <w:spacing w:line="360" w:lineRule="auto"/>
              <w:ind w:firstLine="420" w:firstLineChars="200"/>
              <w:rPr>
                <w:snapToGrid w:val="0"/>
                <w:kern w:val="0"/>
                <w:szCs w:val="21"/>
              </w:rPr>
            </w:pPr>
            <w:r>
              <w:rPr>
                <w:snapToGrid w:val="0"/>
                <w:kern w:val="0"/>
                <w:szCs w:val="21"/>
              </w:rPr>
              <w:t>建设项目无组织废气主要为</w:t>
            </w:r>
            <w:r>
              <w:rPr>
                <w:rFonts w:hint="eastAsia"/>
                <w:snapToGrid w:val="0"/>
                <w:kern w:val="0"/>
                <w:szCs w:val="21"/>
              </w:rPr>
              <w:t>未收集到的均质、均匀性初检、稳定性评估工序产生的非甲烷总烃、二甲苯、甲醇、氨气等。</w:t>
            </w:r>
            <w:r>
              <w:rPr>
                <w:snapToGrid w:val="0"/>
                <w:kern w:val="0"/>
                <w:szCs w:val="21"/>
              </w:rPr>
              <w:t>建设项目无组织废气产生及排放情况见表4-</w:t>
            </w:r>
            <w:r>
              <w:rPr>
                <w:rFonts w:hint="eastAsia"/>
                <w:snapToGrid w:val="0"/>
                <w:kern w:val="0"/>
                <w:szCs w:val="21"/>
              </w:rPr>
              <w:t>5</w:t>
            </w:r>
            <w:r>
              <w:rPr>
                <w:snapToGrid w:val="0"/>
                <w:kern w:val="0"/>
                <w:szCs w:val="21"/>
              </w:rPr>
              <w:t>。</w:t>
            </w:r>
          </w:p>
          <w:p w14:paraId="4EB27862">
            <w:pPr>
              <w:adjustRightInd w:val="0"/>
              <w:snapToGrid w:val="0"/>
              <w:jc w:val="center"/>
              <w:rPr>
                <w:b/>
                <w:bCs/>
                <w:spacing w:val="6"/>
                <w:szCs w:val="21"/>
                <w:shd w:val="clear" w:color="auto" w:fill="FFFFFF"/>
              </w:rPr>
            </w:pPr>
            <w:r>
              <w:rPr>
                <w:b/>
                <w:bCs/>
                <w:spacing w:val="6"/>
                <w:szCs w:val="21"/>
                <w:shd w:val="clear" w:color="auto" w:fill="FFFFFF"/>
              </w:rPr>
              <w:t>表4-</w:t>
            </w:r>
            <w:r>
              <w:rPr>
                <w:rFonts w:hint="eastAsia"/>
                <w:b/>
                <w:bCs/>
                <w:spacing w:val="6"/>
                <w:szCs w:val="21"/>
                <w:shd w:val="clear" w:color="auto" w:fill="FFFFFF"/>
              </w:rPr>
              <w:t>5</w:t>
            </w:r>
            <w:r>
              <w:rPr>
                <w:b/>
                <w:bCs/>
                <w:spacing w:val="6"/>
                <w:szCs w:val="21"/>
                <w:shd w:val="clear" w:color="auto" w:fill="FFFFFF"/>
              </w:rPr>
              <w:t>无组织废气产生及排放情况</w:t>
            </w:r>
          </w:p>
          <w:tbl>
            <w:tblPr>
              <w:tblStyle w:val="23"/>
              <w:tblW w:w="884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53"/>
              <w:gridCol w:w="1178"/>
              <w:gridCol w:w="1031"/>
              <w:gridCol w:w="1094"/>
              <w:gridCol w:w="975"/>
              <w:gridCol w:w="975"/>
              <w:gridCol w:w="840"/>
              <w:gridCol w:w="1027"/>
              <w:gridCol w:w="1071"/>
            </w:tblGrid>
            <w:tr w14:paraId="2C9F8C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64" w:hRule="atLeast"/>
              </w:trPr>
              <w:tc>
                <w:tcPr>
                  <w:tcW w:w="369" w:type="pct"/>
                  <w:vMerge w:val="restart"/>
                  <w:vAlign w:val="center"/>
                </w:tcPr>
                <w:p w14:paraId="2FC1317A">
                  <w:pPr>
                    <w:widowControl/>
                    <w:jc w:val="center"/>
                    <w:rPr>
                      <w:b/>
                      <w:bCs/>
                      <w:kern w:val="0"/>
                      <w:sz w:val="18"/>
                      <w:szCs w:val="18"/>
                    </w:rPr>
                  </w:pPr>
                  <w:r>
                    <w:rPr>
                      <w:b/>
                      <w:bCs/>
                      <w:kern w:val="0"/>
                      <w:sz w:val="18"/>
                      <w:szCs w:val="18"/>
                    </w:rPr>
                    <w:t>污染源</w:t>
                  </w:r>
                </w:p>
              </w:tc>
              <w:tc>
                <w:tcPr>
                  <w:tcW w:w="665" w:type="pct"/>
                  <w:vMerge w:val="restart"/>
                  <w:vAlign w:val="center"/>
                </w:tcPr>
                <w:p w14:paraId="2193E20D">
                  <w:pPr>
                    <w:widowControl/>
                    <w:jc w:val="center"/>
                    <w:rPr>
                      <w:b/>
                      <w:bCs/>
                      <w:kern w:val="0"/>
                      <w:sz w:val="18"/>
                      <w:szCs w:val="18"/>
                    </w:rPr>
                  </w:pPr>
                  <w:r>
                    <w:rPr>
                      <w:b/>
                      <w:bCs/>
                      <w:kern w:val="0"/>
                      <w:sz w:val="18"/>
                      <w:szCs w:val="18"/>
                    </w:rPr>
                    <w:t>污染物名称</w:t>
                  </w:r>
                </w:p>
              </w:tc>
              <w:tc>
                <w:tcPr>
                  <w:tcW w:w="1201" w:type="pct"/>
                  <w:gridSpan w:val="2"/>
                  <w:vAlign w:val="center"/>
                </w:tcPr>
                <w:p w14:paraId="4153C033">
                  <w:pPr>
                    <w:widowControl/>
                    <w:jc w:val="center"/>
                    <w:rPr>
                      <w:b/>
                      <w:bCs/>
                      <w:kern w:val="0"/>
                      <w:sz w:val="18"/>
                      <w:szCs w:val="18"/>
                    </w:rPr>
                  </w:pPr>
                  <w:r>
                    <w:rPr>
                      <w:rFonts w:hint="eastAsia"/>
                      <w:b/>
                      <w:bCs/>
                      <w:kern w:val="0"/>
                      <w:sz w:val="18"/>
                      <w:szCs w:val="18"/>
                    </w:rPr>
                    <w:t>产生情况</w:t>
                  </w:r>
                </w:p>
              </w:tc>
              <w:tc>
                <w:tcPr>
                  <w:tcW w:w="1102" w:type="pct"/>
                  <w:gridSpan w:val="2"/>
                  <w:vAlign w:val="center"/>
                </w:tcPr>
                <w:p w14:paraId="45013633">
                  <w:pPr>
                    <w:widowControl/>
                    <w:jc w:val="center"/>
                    <w:rPr>
                      <w:b/>
                      <w:bCs/>
                      <w:kern w:val="0"/>
                      <w:sz w:val="18"/>
                      <w:szCs w:val="18"/>
                    </w:rPr>
                  </w:pPr>
                  <w:r>
                    <w:rPr>
                      <w:rFonts w:hint="eastAsia"/>
                      <w:b/>
                      <w:bCs/>
                      <w:kern w:val="0"/>
                      <w:sz w:val="18"/>
                      <w:szCs w:val="18"/>
                    </w:rPr>
                    <w:t>排放情况</w:t>
                  </w:r>
                </w:p>
              </w:tc>
              <w:tc>
                <w:tcPr>
                  <w:tcW w:w="474" w:type="pct"/>
                  <w:vMerge w:val="restart"/>
                  <w:vAlign w:val="center"/>
                </w:tcPr>
                <w:p w14:paraId="5A891BEA">
                  <w:pPr>
                    <w:widowControl/>
                    <w:jc w:val="center"/>
                    <w:rPr>
                      <w:b/>
                      <w:bCs/>
                      <w:kern w:val="0"/>
                      <w:sz w:val="18"/>
                      <w:szCs w:val="18"/>
                    </w:rPr>
                  </w:pPr>
                  <w:r>
                    <w:rPr>
                      <w:b/>
                      <w:bCs/>
                      <w:kern w:val="0"/>
                      <w:sz w:val="18"/>
                      <w:szCs w:val="18"/>
                    </w:rPr>
                    <w:t>排放时间</w:t>
                  </w:r>
                </w:p>
                <w:p w14:paraId="5900D498">
                  <w:pPr>
                    <w:widowControl/>
                    <w:jc w:val="center"/>
                    <w:rPr>
                      <w:b/>
                      <w:bCs/>
                      <w:kern w:val="0"/>
                      <w:sz w:val="18"/>
                      <w:szCs w:val="18"/>
                    </w:rPr>
                  </w:pPr>
                  <w:r>
                    <w:rPr>
                      <w:b/>
                      <w:bCs/>
                      <w:kern w:val="0"/>
                      <w:sz w:val="18"/>
                      <w:szCs w:val="18"/>
                    </w:rPr>
                    <w:t>h</w:t>
                  </w:r>
                </w:p>
              </w:tc>
              <w:tc>
                <w:tcPr>
                  <w:tcW w:w="580" w:type="pct"/>
                  <w:vMerge w:val="restart"/>
                  <w:noWrap/>
                  <w:vAlign w:val="center"/>
                </w:tcPr>
                <w:p w14:paraId="0FE8BD56">
                  <w:pPr>
                    <w:widowControl/>
                    <w:jc w:val="center"/>
                    <w:rPr>
                      <w:b/>
                      <w:bCs/>
                      <w:kern w:val="0"/>
                      <w:sz w:val="18"/>
                      <w:szCs w:val="18"/>
                    </w:rPr>
                  </w:pPr>
                  <w:r>
                    <w:rPr>
                      <w:b/>
                      <w:bCs/>
                      <w:kern w:val="0"/>
                      <w:sz w:val="18"/>
                      <w:szCs w:val="18"/>
                    </w:rPr>
                    <w:t>面源面积</w:t>
                  </w:r>
                </w:p>
                <w:p w14:paraId="6EB45838">
                  <w:pPr>
                    <w:widowControl/>
                    <w:jc w:val="center"/>
                    <w:rPr>
                      <w:b/>
                      <w:bCs/>
                      <w:kern w:val="0"/>
                      <w:sz w:val="18"/>
                      <w:szCs w:val="18"/>
                    </w:rPr>
                  </w:pPr>
                  <w:r>
                    <w:rPr>
                      <w:b/>
                      <w:bCs/>
                      <w:kern w:val="0"/>
                      <w:sz w:val="18"/>
                      <w:szCs w:val="18"/>
                    </w:rPr>
                    <w:t>m</w:t>
                  </w:r>
                  <w:r>
                    <w:rPr>
                      <w:b/>
                      <w:bCs/>
                      <w:kern w:val="0"/>
                      <w:sz w:val="18"/>
                      <w:szCs w:val="18"/>
                      <w:vertAlign w:val="superscript"/>
                    </w:rPr>
                    <w:t>2</w:t>
                  </w:r>
                </w:p>
              </w:tc>
              <w:tc>
                <w:tcPr>
                  <w:tcW w:w="605" w:type="pct"/>
                  <w:vMerge w:val="restart"/>
                  <w:noWrap/>
                  <w:vAlign w:val="center"/>
                </w:tcPr>
                <w:p w14:paraId="17A93D3B">
                  <w:pPr>
                    <w:widowControl/>
                    <w:jc w:val="center"/>
                    <w:rPr>
                      <w:b/>
                      <w:bCs/>
                      <w:kern w:val="0"/>
                      <w:sz w:val="18"/>
                      <w:szCs w:val="18"/>
                    </w:rPr>
                  </w:pPr>
                  <w:r>
                    <w:rPr>
                      <w:b/>
                      <w:bCs/>
                      <w:kern w:val="0"/>
                      <w:sz w:val="18"/>
                      <w:szCs w:val="18"/>
                    </w:rPr>
                    <w:t>面源高度</w:t>
                  </w:r>
                </w:p>
                <w:p w14:paraId="529EAEAA">
                  <w:pPr>
                    <w:widowControl/>
                    <w:jc w:val="center"/>
                    <w:rPr>
                      <w:b/>
                      <w:bCs/>
                      <w:kern w:val="0"/>
                      <w:sz w:val="18"/>
                      <w:szCs w:val="18"/>
                    </w:rPr>
                  </w:pPr>
                  <w:r>
                    <w:rPr>
                      <w:b/>
                      <w:bCs/>
                      <w:kern w:val="0"/>
                      <w:sz w:val="18"/>
                      <w:szCs w:val="18"/>
                    </w:rPr>
                    <w:t>m</w:t>
                  </w:r>
                </w:p>
              </w:tc>
            </w:tr>
            <w:tr w14:paraId="6C17EC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69" w:type="pct"/>
                  <w:vMerge w:val="continue"/>
                  <w:vAlign w:val="center"/>
                </w:tcPr>
                <w:p w14:paraId="7FD8DF77">
                  <w:pPr>
                    <w:widowControl/>
                    <w:jc w:val="center"/>
                    <w:rPr>
                      <w:kern w:val="0"/>
                      <w:sz w:val="18"/>
                      <w:szCs w:val="18"/>
                    </w:rPr>
                  </w:pPr>
                </w:p>
              </w:tc>
              <w:tc>
                <w:tcPr>
                  <w:tcW w:w="665" w:type="pct"/>
                  <w:vMerge w:val="continue"/>
                  <w:vAlign w:val="center"/>
                </w:tcPr>
                <w:p w14:paraId="3E01D8F5">
                  <w:pPr>
                    <w:widowControl/>
                    <w:jc w:val="center"/>
                    <w:rPr>
                      <w:kern w:val="0"/>
                      <w:sz w:val="18"/>
                      <w:szCs w:val="18"/>
                    </w:rPr>
                  </w:pPr>
                </w:p>
              </w:tc>
              <w:tc>
                <w:tcPr>
                  <w:tcW w:w="582" w:type="pct"/>
                  <w:vAlign w:val="center"/>
                </w:tcPr>
                <w:p w14:paraId="67ED0B3D">
                  <w:pPr>
                    <w:widowControl/>
                    <w:jc w:val="center"/>
                    <w:rPr>
                      <w:b/>
                      <w:bCs/>
                      <w:kern w:val="0"/>
                      <w:sz w:val="18"/>
                      <w:szCs w:val="18"/>
                    </w:rPr>
                  </w:pPr>
                  <w:r>
                    <w:rPr>
                      <w:rFonts w:hint="eastAsia"/>
                      <w:b/>
                      <w:bCs/>
                      <w:kern w:val="0"/>
                      <w:sz w:val="18"/>
                      <w:szCs w:val="18"/>
                    </w:rPr>
                    <w:t>产生量</w:t>
                  </w:r>
                  <w:r>
                    <w:rPr>
                      <w:b/>
                      <w:bCs/>
                      <w:kern w:val="0"/>
                      <w:sz w:val="18"/>
                      <w:szCs w:val="18"/>
                    </w:rPr>
                    <w:t>t/a</w:t>
                  </w:r>
                </w:p>
              </w:tc>
              <w:tc>
                <w:tcPr>
                  <w:tcW w:w="618" w:type="pct"/>
                  <w:vAlign w:val="center"/>
                </w:tcPr>
                <w:p w14:paraId="0BD51401">
                  <w:pPr>
                    <w:widowControl/>
                    <w:jc w:val="center"/>
                    <w:rPr>
                      <w:b/>
                      <w:bCs/>
                      <w:kern w:val="0"/>
                      <w:sz w:val="18"/>
                      <w:szCs w:val="18"/>
                    </w:rPr>
                  </w:pPr>
                  <w:r>
                    <w:rPr>
                      <w:rFonts w:hint="eastAsia"/>
                      <w:b/>
                      <w:bCs/>
                      <w:kern w:val="0"/>
                      <w:sz w:val="18"/>
                      <w:szCs w:val="18"/>
                    </w:rPr>
                    <w:t>速率</w:t>
                  </w:r>
                  <w:r>
                    <w:rPr>
                      <w:b/>
                      <w:bCs/>
                      <w:kern w:val="0"/>
                      <w:sz w:val="18"/>
                      <w:szCs w:val="18"/>
                    </w:rPr>
                    <w:t>kg/</w:t>
                  </w:r>
                  <w:r>
                    <w:rPr>
                      <w:rFonts w:hint="eastAsia"/>
                      <w:b/>
                      <w:bCs/>
                      <w:kern w:val="0"/>
                      <w:sz w:val="18"/>
                      <w:szCs w:val="18"/>
                    </w:rPr>
                    <w:t>h</w:t>
                  </w:r>
                </w:p>
              </w:tc>
              <w:tc>
                <w:tcPr>
                  <w:tcW w:w="551" w:type="pct"/>
                  <w:vAlign w:val="center"/>
                </w:tcPr>
                <w:p w14:paraId="086D32F9">
                  <w:pPr>
                    <w:widowControl/>
                    <w:jc w:val="center"/>
                    <w:rPr>
                      <w:kern w:val="0"/>
                      <w:sz w:val="18"/>
                      <w:szCs w:val="18"/>
                    </w:rPr>
                  </w:pPr>
                  <w:r>
                    <w:rPr>
                      <w:rFonts w:hint="eastAsia"/>
                      <w:b/>
                      <w:bCs/>
                      <w:kern w:val="0"/>
                      <w:sz w:val="18"/>
                      <w:szCs w:val="18"/>
                    </w:rPr>
                    <w:t>排放量</w:t>
                  </w:r>
                  <w:r>
                    <w:rPr>
                      <w:b/>
                      <w:bCs/>
                      <w:kern w:val="0"/>
                      <w:sz w:val="18"/>
                      <w:szCs w:val="18"/>
                    </w:rPr>
                    <w:t>t/a</w:t>
                  </w:r>
                </w:p>
              </w:tc>
              <w:tc>
                <w:tcPr>
                  <w:tcW w:w="551" w:type="pct"/>
                  <w:vAlign w:val="center"/>
                </w:tcPr>
                <w:p w14:paraId="60492E4E">
                  <w:pPr>
                    <w:widowControl/>
                    <w:jc w:val="center"/>
                    <w:rPr>
                      <w:kern w:val="0"/>
                      <w:sz w:val="18"/>
                      <w:szCs w:val="18"/>
                    </w:rPr>
                  </w:pPr>
                  <w:r>
                    <w:rPr>
                      <w:rFonts w:hint="eastAsia"/>
                      <w:b/>
                      <w:bCs/>
                      <w:kern w:val="0"/>
                      <w:sz w:val="18"/>
                      <w:szCs w:val="18"/>
                    </w:rPr>
                    <w:t>速率</w:t>
                  </w:r>
                  <w:r>
                    <w:rPr>
                      <w:b/>
                      <w:bCs/>
                      <w:kern w:val="0"/>
                      <w:sz w:val="18"/>
                      <w:szCs w:val="18"/>
                    </w:rPr>
                    <w:t>kg/</w:t>
                  </w:r>
                  <w:r>
                    <w:rPr>
                      <w:rFonts w:hint="eastAsia"/>
                      <w:b/>
                      <w:bCs/>
                      <w:kern w:val="0"/>
                      <w:sz w:val="18"/>
                      <w:szCs w:val="18"/>
                    </w:rPr>
                    <w:t>h</w:t>
                  </w:r>
                </w:p>
              </w:tc>
              <w:tc>
                <w:tcPr>
                  <w:tcW w:w="474" w:type="pct"/>
                  <w:vMerge w:val="continue"/>
                  <w:vAlign w:val="center"/>
                </w:tcPr>
                <w:p w14:paraId="72825AD9">
                  <w:pPr>
                    <w:widowControl/>
                    <w:jc w:val="center"/>
                    <w:rPr>
                      <w:kern w:val="0"/>
                      <w:sz w:val="18"/>
                      <w:szCs w:val="18"/>
                    </w:rPr>
                  </w:pPr>
                </w:p>
              </w:tc>
              <w:tc>
                <w:tcPr>
                  <w:tcW w:w="580" w:type="pct"/>
                  <w:vMerge w:val="continue"/>
                  <w:vAlign w:val="center"/>
                </w:tcPr>
                <w:p w14:paraId="0DE421FC">
                  <w:pPr>
                    <w:widowControl/>
                    <w:jc w:val="center"/>
                    <w:rPr>
                      <w:kern w:val="0"/>
                      <w:sz w:val="18"/>
                      <w:szCs w:val="18"/>
                    </w:rPr>
                  </w:pPr>
                </w:p>
              </w:tc>
              <w:tc>
                <w:tcPr>
                  <w:tcW w:w="605" w:type="pct"/>
                  <w:vMerge w:val="continue"/>
                  <w:vAlign w:val="center"/>
                </w:tcPr>
                <w:p w14:paraId="03F86A70">
                  <w:pPr>
                    <w:widowControl/>
                    <w:jc w:val="center"/>
                    <w:rPr>
                      <w:kern w:val="0"/>
                      <w:sz w:val="18"/>
                      <w:szCs w:val="18"/>
                    </w:rPr>
                  </w:pPr>
                </w:p>
              </w:tc>
            </w:tr>
            <w:tr w14:paraId="008F94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1" w:hRule="atLeast"/>
              </w:trPr>
              <w:tc>
                <w:tcPr>
                  <w:tcW w:w="369" w:type="pct"/>
                  <w:vMerge w:val="restart"/>
                  <w:vAlign w:val="center"/>
                </w:tcPr>
                <w:p w14:paraId="6CD52194">
                  <w:pPr>
                    <w:widowControl/>
                    <w:jc w:val="center"/>
                    <w:rPr>
                      <w:kern w:val="0"/>
                      <w:sz w:val="18"/>
                      <w:szCs w:val="18"/>
                    </w:rPr>
                  </w:pPr>
                  <w:r>
                    <w:rPr>
                      <w:rFonts w:hint="eastAsia"/>
                      <w:kern w:val="0"/>
                      <w:sz w:val="18"/>
                      <w:szCs w:val="18"/>
                    </w:rPr>
                    <w:t>北侧研发检测车间</w:t>
                  </w:r>
                </w:p>
              </w:tc>
              <w:tc>
                <w:tcPr>
                  <w:tcW w:w="665" w:type="pct"/>
                  <w:vAlign w:val="center"/>
                </w:tcPr>
                <w:p w14:paraId="477615D7">
                  <w:pPr>
                    <w:widowControl/>
                    <w:adjustRightInd w:val="0"/>
                    <w:snapToGrid w:val="0"/>
                    <w:jc w:val="center"/>
                    <w:rPr>
                      <w:sz w:val="18"/>
                      <w:szCs w:val="18"/>
                    </w:rPr>
                  </w:pPr>
                  <w:r>
                    <w:rPr>
                      <w:rFonts w:hint="eastAsia"/>
                      <w:sz w:val="18"/>
                      <w:szCs w:val="18"/>
                    </w:rPr>
                    <w:t>非甲烷总烃</w:t>
                  </w:r>
                </w:p>
              </w:tc>
              <w:tc>
                <w:tcPr>
                  <w:tcW w:w="582" w:type="pct"/>
                  <w:vAlign w:val="center"/>
                </w:tcPr>
                <w:p w14:paraId="1830A250">
                  <w:pPr>
                    <w:widowControl/>
                    <w:jc w:val="center"/>
                    <w:rPr>
                      <w:rFonts w:hint="eastAsia" w:eastAsia="宋体"/>
                      <w:kern w:val="0"/>
                      <w:sz w:val="18"/>
                      <w:szCs w:val="18"/>
                      <w:lang w:eastAsia="zh-CN"/>
                    </w:rPr>
                  </w:pPr>
                  <w:r>
                    <w:rPr>
                      <w:rFonts w:hint="eastAsia"/>
                      <w:kern w:val="0"/>
                      <w:sz w:val="18"/>
                      <w:szCs w:val="18"/>
                      <w:lang w:eastAsia="zh-CN"/>
                    </w:rPr>
                    <w:t>0.0074</w:t>
                  </w:r>
                </w:p>
              </w:tc>
              <w:tc>
                <w:tcPr>
                  <w:tcW w:w="618" w:type="pct"/>
                  <w:vAlign w:val="center"/>
                </w:tcPr>
                <w:p w14:paraId="1CCF9C4C">
                  <w:pPr>
                    <w:widowControl/>
                    <w:jc w:val="center"/>
                    <w:rPr>
                      <w:kern w:val="0"/>
                      <w:sz w:val="18"/>
                      <w:szCs w:val="18"/>
                    </w:rPr>
                  </w:pPr>
                  <w:r>
                    <w:rPr>
                      <w:rFonts w:hint="eastAsia"/>
                      <w:kern w:val="0"/>
                      <w:sz w:val="18"/>
                      <w:szCs w:val="18"/>
                    </w:rPr>
                    <w:t>0.0037</w:t>
                  </w:r>
                </w:p>
              </w:tc>
              <w:tc>
                <w:tcPr>
                  <w:tcW w:w="551" w:type="pct"/>
                  <w:vAlign w:val="center"/>
                </w:tcPr>
                <w:p w14:paraId="63ABE327">
                  <w:pPr>
                    <w:widowControl/>
                    <w:jc w:val="center"/>
                    <w:rPr>
                      <w:rFonts w:hint="eastAsia" w:eastAsia="宋体"/>
                      <w:kern w:val="0"/>
                      <w:sz w:val="18"/>
                      <w:szCs w:val="18"/>
                      <w:lang w:eastAsia="zh-CN"/>
                    </w:rPr>
                  </w:pPr>
                  <w:r>
                    <w:rPr>
                      <w:rFonts w:hint="eastAsia"/>
                      <w:kern w:val="0"/>
                      <w:sz w:val="18"/>
                      <w:szCs w:val="18"/>
                      <w:lang w:eastAsia="zh-CN"/>
                    </w:rPr>
                    <w:t>0.0074</w:t>
                  </w:r>
                </w:p>
              </w:tc>
              <w:tc>
                <w:tcPr>
                  <w:tcW w:w="551" w:type="pct"/>
                  <w:vAlign w:val="center"/>
                </w:tcPr>
                <w:p w14:paraId="54363D50">
                  <w:pPr>
                    <w:widowControl/>
                    <w:jc w:val="center"/>
                    <w:rPr>
                      <w:kern w:val="0"/>
                      <w:sz w:val="18"/>
                      <w:szCs w:val="18"/>
                    </w:rPr>
                  </w:pPr>
                  <w:r>
                    <w:rPr>
                      <w:rFonts w:hint="eastAsia"/>
                      <w:kern w:val="0"/>
                      <w:sz w:val="18"/>
                      <w:szCs w:val="18"/>
                    </w:rPr>
                    <w:t>0.0037</w:t>
                  </w:r>
                </w:p>
              </w:tc>
              <w:tc>
                <w:tcPr>
                  <w:tcW w:w="474" w:type="pct"/>
                  <w:vMerge w:val="restart"/>
                  <w:vAlign w:val="center"/>
                </w:tcPr>
                <w:p w14:paraId="3FDB005A">
                  <w:pPr>
                    <w:widowControl/>
                    <w:jc w:val="center"/>
                    <w:rPr>
                      <w:kern w:val="0"/>
                      <w:sz w:val="18"/>
                      <w:szCs w:val="18"/>
                    </w:rPr>
                  </w:pPr>
                  <w:r>
                    <w:rPr>
                      <w:rFonts w:hint="eastAsia"/>
                      <w:kern w:val="0"/>
                      <w:sz w:val="18"/>
                      <w:szCs w:val="18"/>
                    </w:rPr>
                    <w:t>2000</w:t>
                  </w:r>
                </w:p>
              </w:tc>
              <w:tc>
                <w:tcPr>
                  <w:tcW w:w="580" w:type="pct"/>
                  <w:vMerge w:val="restart"/>
                  <w:noWrap/>
                  <w:vAlign w:val="center"/>
                </w:tcPr>
                <w:p w14:paraId="4FA951D0">
                  <w:pPr>
                    <w:widowControl/>
                    <w:jc w:val="center"/>
                    <w:rPr>
                      <w:kern w:val="0"/>
                      <w:sz w:val="18"/>
                      <w:szCs w:val="18"/>
                    </w:rPr>
                  </w:pPr>
                  <w:r>
                    <w:rPr>
                      <w:rFonts w:hint="eastAsia"/>
                      <w:kern w:val="0"/>
                      <w:sz w:val="18"/>
                      <w:szCs w:val="18"/>
                    </w:rPr>
                    <w:t>416</w:t>
                  </w:r>
                </w:p>
              </w:tc>
              <w:tc>
                <w:tcPr>
                  <w:tcW w:w="605" w:type="pct"/>
                  <w:vMerge w:val="restart"/>
                  <w:noWrap/>
                  <w:vAlign w:val="center"/>
                </w:tcPr>
                <w:p w14:paraId="2DB47F97">
                  <w:pPr>
                    <w:widowControl/>
                    <w:jc w:val="center"/>
                    <w:rPr>
                      <w:kern w:val="0"/>
                      <w:sz w:val="18"/>
                      <w:szCs w:val="18"/>
                    </w:rPr>
                  </w:pPr>
                  <w:r>
                    <w:rPr>
                      <w:kern w:val="0"/>
                      <w:sz w:val="18"/>
                      <w:szCs w:val="18"/>
                    </w:rPr>
                    <w:t>8</w:t>
                  </w:r>
                </w:p>
              </w:tc>
            </w:tr>
            <w:tr w14:paraId="414586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1" w:hRule="atLeast"/>
              </w:trPr>
              <w:tc>
                <w:tcPr>
                  <w:tcW w:w="369" w:type="pct"/>
                  <w:vMerge w:val="continue"/>
                  <w:vAlign w:val="center"/>
                </w:tcPr>
                <w:p w14:paraId="377E3A80">
                  <w:pPr>
                    <w:widowControl/>
                    <w:jc w:val="center"/>
                    <w:rPr>
                      <w:kern w:val="0"/>
                      <w:sz w:val="18"/>
                      <w:szCs w:val="18"/>
                    </w:rPr>
                  </w:pPr>
                </w:p>
              </w:tc>
              <w:tc>
                <w:tcPr>
                  <w:tcW w:w="665" w:type="pct"/>
                  <w:vAlign w:val="center"/>
                </w:tcPr>
                <w:p w14:paraId="10B81279">
                  <w:pPr>
                    <w:widowControl/>
                    <w:adjustRightInd w:val="0"/>
                    <w:snapToGrid w:val="0"/>
                    <w:jc w:val="center"/>
                    <w:rPr>
                      <w:sz w:val="18"/>
                      <w:szCs w:val="18"/>
                    </w:rPr>
                  </w:pPr>
                  <w:r>
                    <w:rPr>
                      <w:rFonts w:hint="eastAsia"/>
                      <w:sz w:val="18"/>
                      <w:szCs w:val="18"/>
                    </w:rPr>
                    <w:t>二甲苯</w:t>
                  </w:r>
                </w:p>
              </w:tc>
              <w:tc>
                <w:tcPr>
                  <w:tcW w:w="582" w:type="pct"/>
                  <w:vAlign w:val="center"/>
                </w:tcPr>
                <w:p w14:paraId="6BDFE482">
                  <w:pPr>
                    <w:widowControl/>
                    <w:jc w:val="center"/>
                    <w:rPr>
                      <w:kern w:val="0"/>
                      <w:sz w:val="18"/>
                      <w:szCs w:val="18"/>
                    </w:rPr>
                  </w:pPr>
                  <w:r>
                    <w:rPr>
                      <w:rFonts w:hint="eastAsia"/>
                      <w:kern w:val="0"/>
                      <w:sz w:val="18"/>
                      <w:szCs w:val="18"/>
                    </w:rPr>
                    <w:t>0.0001</w:t>
                  </w:r>
                </w:p>
              </w:tc>
              <w:tc>
                <w:tcPr>
                  <w:tcW w:w="618" w:type="pct"/>
                  <w:vAlign w:val="center"/>
                </w:tcPr>
                <w:p w14:paraId="4549E857">
                  <w:pPr>
                    <w:widowControl/>
                    <w:jc w:val="center"/>
                    <w:rPr>
                      <w:kern w:val="0"/>
                      <w:sz w:val="18"/>
                      <w:szCs w:val="18"/>
                    </w:rPr>
                  </w:pPr>
                  <w:r>
                    <w:rPr>
                      <w:rFonts w:hint="eastAsia"/>
                      <w:kern w:val="0"/>
                      <w:sz w:val="18"/>
                      <w:szCs w:val="18"/>
                    </w:rPr>
                    <w:t>0.00005</w:t>
                  </w:r>
                </w:p>
              </w:tc>
              <w:tc>
                <w:tcPr>
                  <w:tcW w:w="551" w:type="pct"/>
                  <w:vAlign w:val="center"/>
                </w:tcPr>
                <w:p w14:paraId="0A662D6F">
                  <w:pPr>
                    <w:widowControl/>
                    <w:jc w:val="center"/>
                    <w:rPr>
                      <w:kern w:val="0"/>
                      <w:sz w:val="18"/>
                      <w:szCs w:val="18"/>
                    </w:rPr>
                  </w:pPr>
                  <w:r>
                    <w:rPr>
                      <w:rFonts w:hint="eastAsia"/>
                      <w:kern w:val="0"/>
                      <w:sz w:val="18"/>
                      <w:szCs w:val="18"/>
                    </w:rPr>
                    <w:t>0.0001</w:t>
                  </w:r>
                </w:p>
              </w:tc>
              <w:tc>
                <w:tcPr>
                  <w:tcW w:w="551" w:type="pct"/>
                  <w:vAlign w:val="center"/>
                </w:tcPr>
                <w:p w14:paraId="45519DF7">
                  <w:pPr>
                    <w:widowControl/>
                    <w:jc w:val="center"/>
                    <w:rPr>
                      <w:kern w:val="0"/>
                      <w:sz w:val="18"/>
                      <w:szCs w:val="18"/>
                    </w:rPr>
                  </w:pPr>
                  <w:r>
                    <w:rPr>
                      <w:rFonts w:hint="eastAsia"/>
                      <w:kern w:val="0"/>
                      <w:sz w:val="18"/>
                      <w:szCs w:val="18"/>
                    </w:rPr>
                    <w:t>0.00005</w:t>
                  </w:r>
                </w:p>
              </w:tc>
              <w:tc>
                <w:tcPr>
                  <w:tcW w:w="474" w:type="pct"/>
                  <w:vMerge w:val="continue"/>
                  <w:vAlign w:val="center"/>
                </w:tcPr>
                <w:p w14:paraId="227B578C">
                  <w:pPr>
                    <w:widowControl/>
                    <w:jc w:val="center"/>
                    <w:rPr>
                      <w:kern w:val="0"/>
                      <w:sz w:val="18"/>
                      <w:szCs w:val="18"/>
                    </w:rPr>
                  </w:pPr>
                </w:p>
              </w:tc>
              <w:tc>
                <w:tcPr>
                  <w:tcW w:w="580" w:type="pct"/>
                  <w:vMerge w:val="continue"/>
                  <w:noWrap/>
                  <w:vAlign w:val="center"/>
                </w:tcPr>
                <w:p w14:paraId="223BF901">
                  <w:pPr>
                    <w:widowControl/>
                    <w:jc w:val="center"/>
                    <w:rPr>
                      <w:kern w:val="0"/>
                      <w:sz w:val="18"/>
                      <w:szCs w:val="18"/>
                    </w:rPr>
                  </w:pPr>
                </w:p>
              </w:tc>
              <w:tc>
                <w:tcPr>
                  <w:tcW w:w="605" w:type="pct"/>
                  <w:vMerge w:val="continue"/>
                  <w:noWrap/>
                  <w:vAlign w:val="center"/>
                </w:tcPr>
                <w:p w14:paraId="56E9B377">
                  <w:pPr>
                    <w:widowControl/>
                    <w:jc w:val="center"/>
                    <w:rPr>
                      <w:kern w:val="0"/>
                      <w:sz w:val="18"/>
                      <w:szCs w:val="18"/>
                    </w:rPr>
                  </w:pPr>
                </w:p>
              </w:tc>
            </w:tr>
            <w:tr w14:paraId="5ACFF7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7" w:hRule="atLeast"/>
              </w:trPr>
              <w:tc>
                <w:tcPr>
                  <w:tcW w:w="369" w:type="pct"/>
                  <w:vMerge w:val="continue"/>
                  <w:vAlign w:val="center"/>
                </w:tcPr>
                <w:p w14:paraId="0128D652">
                  <w:pPr>
                    <w:widowControl/>
                    <w:jc w:val="center"/>
                    <w:rPr>
                      <w:kern w:val="0"/>
                      <w:sz w:val="18"/>
                      <w:szCs w:val="18"/>
                    </w:rPr>
                  </w:pPr>
                </w:p>
              </w:tc>
              <w:tc>
                <w:tcPr>
                  <w:tcW w:w="665" w:type="pct"/>
                  <w:vAlign w:val="center"/>
                </w:tcPr>
                <w:p w14:paraId="6A861830">
                  <w:pPr>
                    <w:widowControl/>
                    <w:adjustRightInd w:val="0"/>
                    <w:snapToGrid w:val="0"/>
                    <w:jc w:val="center"/>
                    <w:rPr>
                      <w:sz w:val="18"/>
                      <w:szCs w:val="18"/>
                    </w:rPr>
                  </w:pPr>
                  <w:r>
                    <w:rPr>
                      <w:rFonts w:hint="eastAsia"/>
                      <w:sz w:val="18"/>
                      <w:szCs w:val="18"/>
                    </w:rPr>
                    <w:t>甲醇</w:t>
                  </w:r>
                </w:p>
              </w:tc>
              <w:tc>
                <w:tcPr>
                  <w:tcW w:w="582" w:type="pct"/>
                  <w:vAlign w:val="center"/>
                </w:tcPr>
                <w:p w14:paraId="355AD616">
                  <w:pPr>
                    <w:widowControl/>
                    <w:jc w:val="center"/>
                    <w:rPr>
                      <w:kern w:val="0"/>
                      <w:sz w:val="18"/>
                      <w:szCs w:val="18"/>
                    </w:rPr>
                  </w:pPr>
                  <w:r>
                    <w:rPr>
                      <w:rFonts w:hint="eastAsia"/>
                      <w:kern w:val="0"/>
                      <w:sz w:val="18"/>
                      <w:szCs w:val="18"/>
                    </w:rPr>
                    <w:t>0.0052</w:t>
                  </w:r>
                </w:p>
              </w:tc>
              <w:tc>
                <w:tcPr>
                  <w:tcW w:w="618" w:type="pct"/>
                  <w:vAlign w:val="center"/>
                </w:tcPr>
                <w:p w14:paraId="78D3CC00">
                  <w:pPr>
                    <w:widowControl/>
                    <w:jc w:val="center"/>
                    <w:rPr>
                      <w:kern w:val="0"/>
                      <w:sz w:val="18"/>
                      <w:szCs w:val="18"/>
                    </w:rPr>
                  </w:pPr>
                  <w:r>
                    <w:rPr>
                      <w:rFonts w:hint="eastAsia"/>
                      <w:kern w:val="0"/>
                      <w:sz w:val="18"/>
                      <w:szCs w:val="18"/>
                    </w:rPr>
                    <w:t>0.0026</w:t>
                  </w:r>
                </w:p>
              </w:tc>
              <w:tc>
                <w:tcPr>
                  <w:tcW w:w="551" w:type="pct"/>
                  <w:vAlign w:val="center"/>
                </w:tcPr>
                <w:p w14:paraId="70461D2C">
                  <w:pPr>
                    <w:widowControl/>
                    <w:jc w:val="center"/>
                    <w:rPr>
                      <w:kern w:val="0"/>
                      <w:sz w:val="18"/>
                      <w:szCs w:val="18"/>
                    </w:rPr>
                  </w:pPr>
                  <w:r>
                    <w:rPr>
                      <w:rFonts w:hint="eastAsia"/>
                      <w:kern w:val="0"/>
                      <w:sz w:val="18"/>
                      <w:szCs w:val="18"/>
                    </w:rPr>
                    <w:t>0.0052</w:t>
                  </w:r>
                </w:p>
              </w:tc>
              <w:tc>
                <w:tcPr>
                  <w:tcW w:w="551" w:type="pct"/>
                  <w:vAlign w:val="center"/>
                </w:tcPr>
                <w:p w14:paraId="4CDA26E1">
                  <w:pPr>
                    <w:widowControl/>
                    <w:jc w:val="center"/>
                    <w:rPr>
                      <w:kern w:val="0"/>
                      <w:sz w:val="18"/>
                      <w:szCs w:val="18"/>
                    </w:rPr>
                  </w:pPr>
                  <w:r>
                    <w:rPr>
                      <w:rFonts w:hint="eastAsia"/>
                      <w:kern w:val="0"/>
                      <w:sz w:val="18"/>
                      <w:szCs w:val="18"/>
                    </w:rPr>
                    <w:t>0.0026</w:t>
                  </w:r>
                </w:p>
              </w:tc>
              <w:tc>
                <w:tcPr>
                  <w:tcW w:w="474" w:type="pct"/>
                  <w:vMerge w:val="continue"/>
                  <w:vAlign w:val="center"/>
                </w:tcPr>
                <w:p w14:paraId="6812765A">
                  <w:pPr>
                    <w:widowControl/>
                    <w:jc w:val="center"/>
                    <w:rPr>
                      <w:kern w:val="0"/>
                      <w:sz w:val="18"/>
                      <w:szCs w:val="18"/>
                    </w:rPr>
                  </w:pPr>
                </w:p>
              </w:tc>
              <w:tc>
                <w:tcPr>
                  <w:tcW w:w="580" w:type="pct"/>
                  <w:vMerge w:val="continue"/>
                  <w:noWrap/>
                  <w:vAlign w:val="center"/>
                </w:tcPr>
                <w:p w14:paraId="27535B20">
                  <w:pPr>
                    <w:widowControl/>
                    <w:jc w:val="center"/>
                    <w:rPr>
                      <w:kern w:val="0"/>
                      <w:sz w:val="18"/>
                      <w:szCs w:val="18"/>
                    </w:rPr>
                  </w:pPr>
                </w:p>
              </w:tc>
              <w:tc>
                <w:tcPr>
                  <w:tcW w:w="605" w:type="pct"/>
                  <w:vMerge w:val="continue"/>
                  <w:noWrap/>
                  <w:vAlign w:val="center"/>
                </w:tcPr>
                <w:p w14:paraId="43DB9AD7">
                  <w:pPr>
                    <w:widowControl/>
                    <w:jc w:val="center"/>
                    <w:rPr>
                      <w:kern w:val="0"/>
                      <w:sz w:val="18"/>
                      <w:szCs w:val="18"/>
                    </w:rPr>
                  </w:pPr>
                </w:p>
              </w:tc>
            </w:tr>
            <w:tr w14:paraId="189495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0" w:hRule="atLeast"/>
              </w:trPr>
              <w:tc>
                <w:tcPr>
                  <w:tcW w:w="369" w:type="pct"/>
                  <w:vMerge w:val="continue"/>
                  <w:vAlign w:val="center"/>
                </w:tcPr>
                <w:p w14:paraId="32EDB912">
                  <w:pPr>
                    <w:widowControl/>
                    <w:jc w:val="center"/>
                    <w:rPr>
                      <w:kern w:val="0"/>
                      <w:sz w:val="18"/>
                      <w:szCs w:val="18"/>
                    </w:rPr>
                  </w:pPr>
                </w:p>
              </w:tc>
              <w:tc>
                <w:tcPr>
                  <w:tcW w:w="665" w:type="pct"/>
                  <w:vAlign w:val="center"/>
                </w:tcPr>
                <w:p w14:paraId="64E1BED4">
                  <w:pPr>
                    <w:widowControl/>
                    <w:adjustRightInd w:val="0"/>
                    <w:snapToGrid w:val="0"/>
                    <w:jc w:val="center"/>
                    <w:rPr>
                      <w:sz w:val="18"/>
                      <w:szCs w:val="18"/>
                    </w:rPr>
                  </w:pPr>
                  <w:r>
                    <w:rPr>
                      <w:rFonts w:hint="eastAsia"/>
                      <w:sz w:val="18"/>
                      <w:szCs w:val="18"/>
                    </w:rPr>
                    <w:t>氨气</w:t>
                  </w:r>
                </w:p>
              </w:tc>
              <w:tc>
                <w:tcPr>
                  <w:tcW w:w="582" w:type="pct"/>
                  <w:vAlign w:val="center"/>
                </w:tcPr>
                <w:p w14:paraId="4362BC4F">
                  <w:pPr>
                    <w:widowControl/>
                    <w:jc w:val="center"/>
                    <w:rPr>
                      <w:kern w:val="0"/>
                      <w:sz w:val="18"/>
                      <w:szCs w:val="18"/>
                    </w:rPr>
                  </w:pPr>
                  <w:r>
                    <w:rPr>
                      <w:rFonts w:hint="eastAsia"/>
                      <w:kern w:val="0"/>
                      <w:sz w:val="18"/>
                      <w:szCs w:val="18"/>
                    </w:rPr>
                    <w:t>0.0018</w:t>
                  </w:r>
                </w:p>
              </w:tc>
              <w:tc>
                <w:tcPr>
                  <w:tcW w:w="618" w:type="pct"/>
                  <w:vAlign w:val="center"/>
                </w:tcPr>
                <w:p w14:paraId="3DDEEEC0">
                  <w:pPr>
                    <w:widowControl/>
                    <w:jc w:val="center"/>
                    <w:rPr>
                      <w:kern w:val="0"/>
                      <w:sz w:val="18"/>
                      <w:szCs w:val="18"/>
                    </w:rPr>
                  </w:pPr>
                  <w:r>
                    <w:rPr>
                      <w:rFonts w:hint="eastAsia"/>
                      <w:kern w:val="0"/>
                      <w:sz w:val="18"/>
                      <w:szCs w:val="18"/>
                    </w:rPr>
                    <w:t>0.0009</w:t>
                  </w:r>
                </w:p>
              </w:tc>
              <w:tc>
                <w:tcPr>
                  <w:tcW w:w="551" w:type="pct"/>
                  <w:vAlign w:val="center"/>
                </w:tcPr>
                <w:p w14:paraId="2C7A239A">
                  <w:pPr>
                    <w:widowControl/>
                    <w:jc w:val="center"/>
                    <w:rPr>
                      <w:kern w:val="0"/>
                      <w:sz w:val="18"/>
                      <w:szCs w:val="18"/>
                    </w:rPr>
                  </w:pPr>
                  <w:r>
                    <w:rPr>
                      <w:rFonts w:hint="eastAsia"/>
                      <w:kern w:val="0"/>
                      <w:sz w:val="18"/>
                      <w:szCs w:val="18"/>
                    </w:rPr>
                    <w:t>0.0018</w:t>
                  </w:r>
                </w:p>
              </w:tc>
              <w:tc>
                <w:tcPr>
                  <w:tcW w:w="551" w:type="pct"/>
                  <w:vAlign w:val="center"/>
                </w:tcPr>
                <w:p w14:paraId="64B49B57">
                  <w:pPr>
                    <w:widowControl/>
                    <w:jc w:val="center"/>
                    <w:rPr>
                      <w:kern w:val="0"/>
                      <w:sz w:val="18"/>
                      <w:szCs w:val="18"/>
                    </w:rPr>
                  </w:pPr>
                  <w:r>
                    <w:rPr>
                      <w:rFonts w:hint="eastAsia"/>
                      <w:kern w:val="0"/>
                      <w:sz w:val="18"/>
                      <w:szCs w:val="18"/>
                    </w:rPr>
                    <w:t>0.0009</w:t>
                  </w:r>
                </w:p>
              </w:tc>
              <w:tc>
                <w:tcPr>
                  <w:tcW w:w="474" w:type="pct"/>
                  <w:vMerge w:val="continue"/>
                  <w:vAlign w:val="center"/>
                </w:tcPr>
                <w:p w14:paraId="7FB854FC">
                  <w:pPr>
                    <w:widowControl/>
                    <w:jc w:val="center"/>
                    <w:rPr>
                      <w:kern w:val="0"/>
                      <w:sz w:val="18"/>
                      <w:szCs w:val="18"/>
                    </w:rPr>
                  </w:pPr>
                </w:p>
              </w:tc>
              <w:tc>
                <w:tcPr>
                  <w:tcW w:w="580" w:type="pct"/>
                  <w:vMerge w:val="continue"/>
                  <w:noWrap/>
                  <w:vAlign w:val="center"/>
                </w:tcPr>
                <w:p w14:paraId="5DA13577">
                  <w:pPr>
                    <w:widowControl/>
                    <w:jc w:val="center"/>
                    <w:rPr>
                      <w:kern w:val="0"/>
                      <w:sz w:val="18"/>
                      <w:szCs w:val="18"/>
                    </w:rPr>
                  </w:pPr>
                </w:p>
              </w:tc>
              <w:tc>
                <w:tcPr>
                  <w:tcW w:w="605" w:type="pct"/>
                  <w:vMerge w:val="continue"/>
                  <w:noWrap/>
                  <w:vAlign w:val="center"/>
                </w:tcPr>
                <w:p w14:paraId="0C8D020E">
                  <w:pPr>
                    <w:widowControl/>
                    <w:jc w:val="center"/>
                    <w:rPr>
                      <w:kern w:val="0"/>
                      <w:sz w:val="18"/>
                      <w:szCs w:val="18"/>
                    </w:rPr>
                  </w:pPr>
                </w:p>
              </w:tc>
            </w:tr>
            <w:tr w14:paraId="19FAB8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4" w:hRule="atLeast"/>
              </w:trPr>
              <w:tc>
                <w:tcPr>
                  <w:tcW w:w="369" w:type="pct"/>
                  <w:vAlign w:val="center"/>
                </w:tcPr>
                <w:p w14:paraId="172B9AC5">
                  <w:pPr>
                    <w:widowControl/>
                    <w:jc w:val="center"/>
                    <w:rPr>
                      <w:kern w:val="0"/>
                      <w:sz w:val="18"/>
                      <w:szCs w:val="18"/>
                    </w:rPr>
                  </w:pPr>
                  <w:r>
                    <w:rPr>
                      <w:rFonts w:hint="eastAsia"/>
                      <w:kern w:val="0"/>
                      <w:sz w:val="18"/>
                      <w:szCs w:val="18"/>
                    </w:rPr>
                    <w:t>危废仓库</w:t>
                  </w:r>
                </w:p>
              </w:tc>
              <w:tc>
                <w:tcPr>
                  <w:tcW w:w="665" w:type="pct"/>
                  <w:vAlign w:val="center"/>
                </w:tcPr>
                <w:p w14:paraId="7EDD2C9D">
                  <w:pPr>
                    <w:widowControl/>
                    <w:adjustRightInd w:val="0"/>
                    <w:snapToGrid w:val="0"/>
                    <w:jc w:val="center"/>
                    <w:rPr>
                      <w:sz w:val="18"/>
                      <w:szCs w:val="18"/>
                    </w:rPr>
                  </w:pPr>
                  <w:r>
                    <w:rPr>
                      <w:rFonts w:hint="eastAsia"/>
                      <w:sz w:val="18"/>
                      <w:szCs w:val="18"/>
                    </w:rPr>
                    <w:t>非甲烷总烃</w:t>
                  </w:r>
                </w:p>
              </w:tc>
              <w:tc>
                <w:tcPr>
                  <w:tcW w:w="582" w:type="pct"/>
                  <w:vAlign w:val="center"/>
                </w:tcPr>
                <w:p w14:paraId="060573F5">
                  <w:pPr>
                    <w:widowControl/>
                    <w:jc w:val="center"/>
                    <w:rPr>
                      <w:rFonts w:hint="eastAsia" w:eastAsia="宋体"/>
                      <w:color w:val="auto"/>
                      <w:kern w:val="0"/>
                      <w:sz w:val="18"/>
                      <w:szCs w:val="18"/>
                      <w:lang w:eastAsia="zh-CN"/>
                    </w:rPr>
                  </w:pPr>
                  <w:r>
                    <w:rPr>
                      <w:rFonts w:hint="eastAsia"/>
                      <w:color w:val="auto"/>
                      <w:kern w:val="0"/>
                      <w:sz w:val="18"/>
                      <w:szCs w:val="18"/>
                    </w:rPr>
                    <w:t>0.000</w:t>
                  </w:r>
                  <w:r>
                    <w:rPr>
                      <w:rFonts w:hint="eastAsia"/>
                      <w:color w:val="auto"/>
                      <w:kern w:val="0"/>
                      <w:sz w:val="18"/>
                      <w:szCs w:val="18"/>
                      <w:lang w:val="en-US" w:eastAsia="zh-CN"/>
                    </w:rPr>
                    <w:t>4</w:t>
                  </w:r>
                </w:p>
              </w:tc>
              <w:tc>
                <w:tcPr>
                  <w:tcW w:w="618" w:type="pct"/>
                  <w:vAlign w:val="center"/>
                </w:tcPr>
                <w:p w14:paraId="1A3E274B">
                  <w:pPr>
                    <w:widowControl/>
                    <w:jc w:val="center"/>
                    <w:rPr>
                      <w:rFonts w:hint="eastAsia" w:eastAsia="宋体"/>
                      <w:color w:val="auto"/>
                      <w:kern w:val="0"/>
                      <w:sz w:val="18"/>
                      <w:szCs w:val="18"/>
                      <w:lang w:eastAsia="zh-CN"/>
                    </w:rPr>
                  </w:pPr>
                  <w:r>
                    <w:rPr>
                      <w:rFonts w:hint="eastAsia"/>
                      <w:color w:val="auto"/>
                      <w:kern w:val="0"/>
                      <w:sz w:val="18"/>
                      <w:szCs w:val="18"/>
                    </w:rPr>
                    <w:t>0.0000</w:t>
                  </w:r>
                  <w:r>
                    <w:rPr>
                      <w:rFonts w:hint="eastAsia"/>
                      <w:color w:val="auto"/>
                      <w:kern w:val="0"/>
                      <w:sz w:val="18"/>
                      <w:szCs w:val="18"/>
                      <w:lang w:val="en-US" w:eastAsia="zh-CN"/>
                    </w:rPr>
                    <w:t>5</w:t>
                  </w:r>
                </w:p>
              </w:tc>
              <w:tc>
                <w:tcPr>
                  <w:tcW w:w="551" w:type="pct"/>
                  <w:vAlign w:val="center"/>
                </w:tcPr>
                <w:p w14:paraId="5D761EF1">
                  <w:pPr>
                    <w:widowControl/>
                    <w:jc w:val="center"/>
                    <w:rPr>
                      <w:rFonts w:hint="eastAsia" w:eastAsia="宋体"/>
                      <w:color w:val="auto"/>
                      <w:kern w:val="0"/>
                      <w:sz w:val="18"/>
                      <w:szCs w:val="18"/>
                      <w:lang w:eastAsia="zh-CN"/>
                    </w:rPr>
                  </w:pPr>
                  <w:r>
                    <w:rPr>
                      <w:rFonts w:hint="eastAsia"/>
                      <w:color w:val="auto"/>
                      <w:kern w:val="0"/>
                      <w:sz w:val="18"/>
                      <w:szCs w:val="18"/>
                    </w:rPr>
                    <w:t>0.000</w:t>
                  </w:r>
                  <w:r>
                    <w:rPr>
                      <w:rFonts w:hint="eastAsia"/>
                      <w:color w:val="auto"/>
                      <w:kern w:val="0"/>
                      <w:sz w:val="18"/>
                      <w:szCs w:val="18"/>
                      <w:lang w:val="en-US" w:eastAsia="zh-CN"/>
                    </w:rPr>
                    <w:t>4</w:t>
                  </w:r>
                </w:p>
              </w:tc>
              <w:tc>
                <w:tcPr>
                  <w:tcW w:w="551" w:type="pct"/>
                  <w:vAlign w:val="center"/>
                </w:tcPr>
                <w:p w14:paraId="178DF452">
                  <w:pPr>
                    <w:widowControl/>
                    <w:jc w:val="center"/>
                    <w:rPr>
                      <w:rFonts w:hint="eastAsia" w:eastAsia="宋体"/>
                      <w:color w:val="auto"/>
                      <w:kern w:val="0"/>
                      <w:sz w:val="18"/>
                      <w:szCs w:val="18"/>
                      <w:lang w:eastAsia="zh-CN"/>
                    </w:rPr>
                  </w:pPr>
                  <w:r>
                    <w:rPr>
                      <w:rFonts w:hint="eastAsia"/>
                      <w:color w:val="auto"/>
                      <w:kern w:val="0"/>
                      <w:sz w:val="18"/>
                      <w:szCs w:val="18"/>
                    </w:rPr>
                    <w:t>0.0000</w:t>
                  </w:r>
                  <w:r>
                    <w:rPr>
                      <w:rFonts w:hint="eastAsia"/>
                      <w:color w:val="auto"/>
                      <w:kern w:val="0"/>
                      <w:sz w:val="18"/>
                      <w:szCs w:val="18"/>
                      <w:lang w:val="en-US" w:eastAsia="zh-CN"/>
                    </w:rPr>
                    <w:t>5</w:t>
                  </w:r>
                </w:p>
              </w:tc>
              <w:tc>
                <w:tcPr>
                  <w:tcW w:w="474" w:type="pct"/>
                  <w:vAlign w:val="center"/>
                </w:tcPr>
                <w:p w14:paraId="3BE2AF6D">
                  <w:pPr>
                    <w:widowControl/>
                    <w:jc w:val="center"/>
                    <w:rPr>
                      <w:kern w:val="0"/>
                      <w:sz w:val="18"/>
                      <w:szCs w:val="18"/>
                    </w:rPr>
                  </w:pPr>
                  <w:r>
                    <w:rPr>
                      <w:rFonts w:hint="eastAsia"/>
                      <w:kern w:val="0"/>
                      <w:sz w:val="18"/>
                      <w:szCs w:val="18"/>
                    </w:rPr>
                    <w:t>8760</w:t>
                  </w:r>
                </w:p>
              </w:tc>
              <w:tc>
                <w:tcPr>
                  <w:tcW w:w="580" w:type="pct"/>
                  <w:noWrap/>
                  <w:vAlign w:val="center"/>
                </w:tcPr>
                <w:p w14:paraId="0270C6F0">
                  <w:pPr>
                    <w:widowControl/>
                    <w:jc w:val="center"/>
                    <w:rPr>
                      <w:kern w:val="0"/>
                      <w:sz w:val="18"/>
                      <w:szCs w:val="18"/>
                    </w:rPr>
                  </w:pPr>
                  <w:r>
                    <w:rPr>
                      <w:rFonts w:hint="eastAsia"/>
                      <w:kern w:val="0"/>
                      <w:sz w:val="18"/>
                      <w:szCs w:val="18"/>
                    </w:rPr>
                    <w:t>6</w:t>
                  </w:r>
                </w:p>
              </w:tc>
              <w:tc>
                <w:tcPr>
                  <w:tcW w:w="605" w:type="pct"/>
                  <w:noWrap/>
                  <w:vAlign w:val="center"/>
                </w:tcPr>
                <w:p w14:paraId="3B8C8C9A">
                  <w:pPr>
                    <w:widowControl/>
                    <w:jc w:val="center"/>
                    <w:rPr>
                      <w:kern w:val="0"/>
                      <w:sz w:val="18"/>
                      <w:szCs w:val="18"/>
                    </w:rPr>
                  </w:pPr>
                  <w:r>
                    <w:rPr>
                      <w:rFonts w:hint="eastAsia"/>
                      <w:kern w:val="0"/>
                      <w:sz w:val="18"/>
                      <w:szCs w:val="18"/>
                    </w:rPr>
                    <w:t>3</w:t>
                  </w:r>
                </w:p>
              </w:tc>
            </w:tr>
          </w:tbl>
          <w:p w14:paraId="427B6AF5">
            <w:pPr>
              <w:widowControl/>
              <w:spacing w:line="360" w:lineRule="auto"/>
              <w:ind w:firstLine="454" w:firstLineChars="200"/>
              <w:jc w:val="left"/>
              <w:rPr>
                <w:b/>
                <w:bCs/>
                <w:spacing w:val="8"/>
                <w:kern w:val="0"/>
                <w:szCs w:val="21"/>
              </w:rPr>
            </w:pPr>
            <w:r>
              <w:rPr>
                <w:b/>
                <w:bCs/>
                <w:spacing w:val="8"/>
                <w:kern w:val="0"/>
                <w:szCs w:val="21"/>
              </w:rPr>
              <w:t>（3）非正常工况</w:t>
            </w:r>
          </w:p>
          <w:p w14:paraId="13C30E93">
            <w:pPr>
              <w:widowControl/>
              <w:shd w:val="clear" w:color="auto" w:fill="FFFFFF"/>
              <w:spacing w:line="360" w:lineRule="auto"/>
              <w:ind w:firstLine="420" w:firstLineChars="200"/>
              <w:jc w:val="left"/>
            </w:pPr>
            <w:r>
              <w:t>非正常排放</w:t>
            </w:r>
            <w:r>
              <w:rPr>
                <w:rFonts w:hint="eastAsia"/>
              </w:rPr>
              <w:t>包括</w:t>
            </w:r>
            <w:r>
              <w:t>生产过程中</w:t>
            </w:r>
            <w:r>
              <w:rPr>
                <w:rFonts w:hint="eastAsia"/>
              </w:rPr>
              <w:t>的开停车、</w:t>
            </w:r>
            <w:r>
              <w:t>设备检修、工艺设备运转异常</w:t>
            </w:r>
            <w:r>
              <w:rPr>
                <w:rFonts w:hint="eastAsia"/>
              </w:rPr>
              <w:t>及污染物控制措施达不到应有效率等情况下的</w:t>
            </w:r>
            <w:r>
              <w:t>排放，以及污染物排放控制达不到应有效率等情况下的排放。本次评价废气非正常排放主要考虑</w:t>
            </w:r>
            <w:r>
              <w:rPr>
                <w:rFonts w:hint="eastAsia"/>
              </w:rPr>
              <w:t>废气处理装置</w:t>
            </w:r>
            <w:r>
              <w:t>全失效状态下的排放，即去除效率为0%的排放，非正常排放历时不超过1h。</w:t>
            </w:r>
          </w:p>
          <w:p w14:paraId="3D12E183">
            <w:pPr>
              <w:adjustRightInd w:val="0"/>
              <w:snapToGrid w:val="0"/>
              <w:jc w:val="center"/>
              <w:rPr>
                <w:b/>
                <w:bCs/>
                <w:spacing w:val="6"/>
                <w:szCs w:val="21"/>
                <w:shd w:val="clear" w:color="auto" w:fill="FFFFFF"/>
              </w:rPr>
            </w:pPr>
            <w:r>
              <w:rPr>
                <w:b/>
                <w:bCs/>
                <w:spacing w:val="6"/>
                <w:szCs w:val="21"/>
                <w:shd w:val="clear" w:color="auto" w:fill="FFFFFF"/>
              </w:rPr>
              <w:t>表4-</w:t>
            </w:r>
            <w:r>
              <w:rPr>
                <w:rFonts w:hint="eastAsia"/>
                <w:b/>
                <w:bCs/>
                <w:spacing w:val="6"/>
                <w:szCs w:val="21"/>
                <w:shd w:val="clear" w:color="auto" w:fill="FFFFFF"/>
              </w:rPr>
              <w:t>6</w:t>
            </w:r>
            <w:r>
              <w:rPr>
                <w:b/>
                <w:bCs/>
                <w:spacing w:val="6"/>
                <w:szCs w:val="21"/>
                <w:shd w:val="clear" w:color="auto" w:fill="FFFFFF"/>
              </w:rPr>
              <w:t xml:space="preserve"> 非正常排放时大气污染物排放状况</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249"/>
              <w:gridCol w:w="1699"/>
              <w:gridCol w:w="1428"/>
              <w:gridCol w:w="1287"/>
              <w:gridCol w:w="1144"/>
              <w:gridCol w:w="994"/>
              <w:gridCol w:w="1024"/>
            </w:tblGrid>
            <w:tr w14:paraId="77695D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10" w:hRule="atLeast"/>
                <w:jc w:val="center"/>
              </w:trPr>
              <w:tc>
                <w:tcPr>
                  <w:tcW w:w="707" w:type="pct"/>
                  <w:vAlign w:val="center"/>
                </w:tcPr>
                <w:p w14:paraId="18623CB4">
                  <w:pPr>
                    <w:adjustRightInd w:val="0"/>
                    <w:snapToGrid w:val="0"/>
                    <w:jc w:val="center"/>
                    <w:rPr>
                      <w:b/>
                      <w:bCs/>
                      <w:snapToGrid w:val="0"/>
                      <w:sz w:val="18"/>
                      <w:szCs w:val="18"/>
                    </w:rPr>
                  </w:pPr>
                  <w:r>
                    <w:rPr>
                      <w:b/>
                      <w:bCs/>
                      <w:snapToGrid w:val="0"/>
                      <w:sz w:val="18"/>
                      <w:szCs w:val="18"/>
                    </w:rPr>
                    <w:t>非正常</w:t>
                  </w:r>
                </w:p>
                <w:p w14:paraId="0BBF7E44">
                  <w:pPr>
                    <w:adjustRightInd w:val="0"/>
                    <w:snapToGrid w:val="0"/>
                    <w:jc w:val="center"/>
                    <w:rPr>
                      <w:b/>
                      <w:bCs/>
                      <w:sz w:val="18"/>
                      <w:szCs w:val="18"/>
                    </w:rPr>
                  </w:pPr>
                  <w:r>
                    <w:rPr>
                      <w:b/>
                      <w:bCs/>
                      <w:snapToGrid w:val="0"/>
                      <w:sz w:val="18"/>
                      <w:szCs w:val="18"/>
                    </w:rPr>
                    <w:t>排放源</w:t>
                  </w:r>
                </w:p>
              </w:tc>
              <w:tc>
                <w:tcPr>
                  <w:tcW w:w="962" w:type="pct"/>
                  <w:vAlign w:val="center"/>
                </w:tcPr>
                <w:p w14:paraId="4C5BA502">
                  <w:pPr>
                    <w:adjustRightInd w:val="0"/>
                    <w:snapToGrid w:val="0"/>
                    <w:jc w:val="center"/>
                    <w:rPr>
                      <w:b/>
                      <w:bCs/>
                      <w:sz w:val="18"/>
                      <w:szCs w:val="18"/>
                    </w:rPr>
                  </w:pPr>
                  <w:r>
                    <w:rPr>
                      <w:b/>
                      <w:bCs/>
                      <w:snapToGrid w:val="0"/>
                      <w:sz w:val="18"/>
                      <w:szCs w:val="18"/>
                    </w:rPr>
                    <w:t>污染物</w:t>
                  </w:r>
                </w:p>
              </w:tc>
              <w:tc>
                <w:tcPr>
                  <w:tcW w:w="809" w:type="pct"/>
                  <w:vAlign w:val="center"/>
                </w:tcPr>
                <w:p w14:paraId="72D6214E">
                  <w:pPr>
                    <w:adjustRightInd w:val="0"/>
                    <w:snapToGrid w:val="0"/>
                    <w:jc w:val="center"/>
                    <w:rPr>
                      <w:b/>
                      <w:bCs/>
                      <w:snapToGrid w:val="0"/>
                      <w:sz w:val="18"/>
                      <w:szCs w:val="18"/>
                    </w:rPr>
                  </w:pPr>
                  <w:r>
                    <w:rPr>
                      <w:b/>
                      <w:bCs/>
                      <w:snapToGrid w:val="0"/>
                      <w:sz w:val="18"/>
                      <w:szCs w:val="18"/>
                    </w:rPr>
                    <w:t>非正常排放</w:t>
                  </w:r>
                </w:p>
                <w:p w14:paraId="1BC8968A">
                  <w:pPr>
                    <w:adjustRightInd w:val="0"/>
                    <w:snapToGrid w:val="0"/>
                    <w:jc w:val="center"/>
                    <w:rPr>
                      <w:b/>
                      <w:bCs/>
                      <w:sz w:val="18"/>
                      <w:szCs w:val="18"/>
                    </w:rPr>
                  </w:pPr>
                  <w:r>
                    <w:rPr>
                      <w:b/>
                      <w:bCs/>
                      <w:snapToGrid w:val="0"/>
                      <w:sz w:val="18"/>
                      <w:szCs w:val="18"/>
                    </w:rPr>
                    <w:t>原因</w:t>
                  </w:r>
                </w:p>
              </w:tc>
              <w:tc>
                <w:tcPr>
                  <w:tcW w:w="729" w:type="pct"/>
                  <w:vAlign w:val="center"/>
                </w:tcPr>
                <w:p w14:paraId="7943E081">
                  <w:pPr>
                    <w:adjustRightInd w:val="0"/>
                    <w:snapToGrid w:val="0"/>
                    <w:jc w:val="center"/>
                    <w:rPr>
                      <w:b/>
                      <w:bCs/>
                      <w:sz w:val="18"/>
                      <w:szCs w:val="18"/>
                    </w:rPr>
                  </w:pPr>
                  <w:r>
                    <w:rPr>
                      <w:b/>
                      <w:bCs/>
                      <w:snapToGrid w:val="0"/>
                      <w:sz w:val="18"/>
                      <w:szCs w:val="18"/>
                    </w:rPr>
                    <w:t>非正常排放速率（kg/h）</w:t>
                  </w:r>
                </w:p>
              </w:tc>
              <w:tc>
                <w:tcPr>
                  <w:tcW w:w="648" w:type="pct"/>
                  <w:vAlign w:val="center"/>
                </w:tcPr>
                <w:p w14:paraId="3C08B3CB">
                  <w:pPr>
                    <w:pStyle w:val="71"/>
                    <w:adjustRightInd w:val="0"/>
                    <w:snapToGrid w:val="0"/>
                    <w:spacing w:before="0" w:after="0" w:line="240" w:lineRule="auto"/>
                    <w:jc w:val="center"/>
                    <w:rPr>
                      <w:rFonts w:ascii="Times New Roman" w:hAnsi="Times New Roman" w:eastAsia="宋体"/>
                      <w:b/>
                      <w:bCs/>
                      <w:snapToGrid w:val="0"/>
                      <w:sz w:val="18"/>
                      <w:szCs w:val="18"/>
                    </w:rPr>
                  </w:pPr>
                  <w:r>
                    <w:rPr>
                      <w:rFonts w:ascii="Times New Roman" w:hAnsi="Times New Roman" w:eastAsia="宋体"/>
                      <w:b/>
                      <w:bCs/>
                      <w:snapToGrid w:val="0"/>
                      <w:sz w:val="18"/>
                      <w:szCs w:val="18"/>
                    </w:rPr>
                    <w:t>单次持续</w:t>
                  </w:r>
                </w:p>
                <w:p w14:paraId="34E64132">
                  <w:pPr>
                    <w:adjustRightInd w:val="0"/>
                    <w:snapToGrid w:val="0"/>
                    <w:jc w:val="center"/>
                    <w:rPr>
                      <w:b/>
                      <w:bCs/>
                      <w:sz w:val="18"/>
                      <w:szCs w:val="18"/>
                    </w:rPr>
                  </w:pPr>
                  <w:r>
                    <w:rPr>
                      <w:b/>
                      <w:bCs/>
                      <w:snapToGrid w:val="0"/>
                      <w:sz w:val="18"/>
                      <w:szCs w:val="18"/>
                    </w:rPr>
                    <w:t>时间</w:t>
                  </w:r>
                </w:p>
              </w:tc>
              <w:tc>
                <w:tcPr>
                  <w:tcW w:w="563" w:type="pct"/>
                  <w:vAlign w:val="center"/>
                </w:tcPr>
                <w:p w14:paraId="005FFBD3">
                  <w:pPr>
                    <w:adjustRightInd w:val="0"/>
                    <w:snapToGrid w:val="0"/>
                    <w:jc w:val="center"/>
                    <w:rPr>
                      <w:b/>
                      <w:bCs/>
                      <w:snapToGrid w:val="0"/>
                      <w:sz w:val="18"/>
                      <w:szCs w:val="18"/>
                    </w:rPr>
                  </w:pPr>
                  <w:r>
                    <w:rPr>
                      <w:b/>
                      <w:bCs/>
                      <w:snapToGrid w:val="0"/>
                      <w:sz w:val="18"/>
                      <w:szCs w:val="18"/>
                    </w:rPr>
                    <w:t>年发生</w:t>
                  </w:r>
                </w:p>
                <w:p w14:paraId="7D4C8D43">
                  <w:pPr>
                    <w:adjustRightInd w:val="0"/>
                    <w:snapToGrid w:val="0"/>
                    <w:jc w:val="center"/>
                    <w:rPr>
                      <w:b/>
                      <w:bCs/>
                      <w:sz w:val="18"/>
                      <w:szCs w:val="18"/>
                    </w:rPr>
                  </w:pPr>
                  <w:r>
                    <w:rPr>
                      <w:b/>
                      <w:bCs/>
                      <w:snapToGrid w:val="0"/>
                      <w:sz w:val="18"/>
                      <w:szCs w:val="18"/>
                    </w:rPr>
                    <w:t>频次</w:t>
                  </w:r>
                </w:p>
              </w:tc>
              <w:tc>
                <w:tcPr>
                  <w:tcW w:w="580" w:type="pct"/>
                  <w:vAlign w:val="center"/>
                </w:tcPr>
                <w:p w14:paraId="7CD44BB5">
                  <w:pPr>
                    <w:adjustRightInd w:val="0"/>
                    <w:snapToGrid w:val="0"/>
                    <w:jc w:val="center"/>
                    <w:rPr>
                      <w:b/>
                      <w:bCs/>
                      <w:snapToGrid w:val="0"/>
                      <w:sz w:val="18"/>
                      <w:szCs w:val="18"/>
                    </w:rPr>
                  </w:pPr>
                  <w:r>
                    <w:rPr>
                      <w:rFonts w:hint="eastAsia"/>
                      <w:b/>
                      <w:bCs/>
                      <w:snapToGrid w:val="0"/>
                      <w:sz w:val="18"/>
                      <w:szCs w:val="18"/>
                    </w:rPr>
                    <w:t>处理措施</w:t>
                  </w:r>
                </w:p>
              </w:tc>
            </w:tr>
            <w:tr w14:paraId="7C808D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25" w:hRule="atLeast"/>
                <w:jc w:val="center"/>
              </w:trPr>
              <w:tc>
                <w:tcPr>
                  <w:tcW w:w="707" w:type="pct"/>
                  <w:vMerge w:val="restart"/>
                  <w:vAlign w:val="center"/>
                </w:tcPr>
                <w:p w14:paraId="20333157">
                  <w:pPr>
                    <w:adjustRightInd w:val="0"/>
                    <w:snapToGrid w:val="0"/>
                    <w:jc w:val="center"/>
                    <w:rPr>
                      <w:sz w:val="18"/>
                      <w:szCs w:val="18"/>
                    </w:rPr>
                  </w:pPr>
                  <w:r>
                    <w:rPr>
                      <w:sz w:val="18"/>
                      <w:szCs w:val="18"/>
                    </w:rPr>
                    <w:t>DA001</w:t>
                  </w:r>
                </w:p>
              </w:tc>
              <w:tc>
                <w:tcPr>
                  <w:tcW w:w="962" w:type="pct"/>
                  <w:vAlign w:val="center"/>
                </w:tcPr>
                <w:p w14:paraId="66F8965E">
                  <w:pPr>
                    <w:widowControl/>
                    <w:adjustRightInd w:val="0"/>
                    <w:snapToGrid w:val="0"/>
                    <w:jc w:val="center"/>
                    <w:rPr>
                      <w:sz w:val="18"/>
                      <w:szCs w:val="18"/>
                    </w:rPr>
                  </w:pPr>
                  <w:r>
                    <w:rPr>
                      <w:rFonts w:hint="eastAsia"/>
                      <w:sz w:val="18"/>
                      <w:szCs w:val="18"/>
                    </w:rPr>
                    <w:t>非甲烷总烃</w:t>
                  </w:r>
                </w:p>
              </w:tc>
              <w:tc>
                <w:tcPr>
                  <w:tcW w:w="809" w:type="pct"/>
                  <w:vMerge w:val="restart"/>
                  <w:vAlign w:val="center"/>
                </w:tcPr>
                <w:p w14:paraId="69AD8417">
                  <w:pPr>
                    <w:adjustRightInd w:val="0"/>
                    <w:snapToGrid w:val="0"/>
                    <w:jc w:val="center"/>
                    <w:rPr>
                      <w:sz w:val="18"/>
                      <w:szCs w:val="18"/>
                    </w:rPr>
                  </w:pPr>
                  <w:r>
                    <w:rPr>
                      <w:rFonts w:hint="eastAsia"/>
                      <w:sz w:val="18"/>
                      <w:szCs w:val="18"/>
                    </w:rPr>
                    <w:t>污染防治设施故障，废气处理效率为0</w:t>
                  </w:r>
                </w:p>
              </w:tc>
              <w:tc>
                <w:tcPr>
                  <w:tcW w:w="1287" w:type="dxa"/>
                  <w:vAlign w:val="center"/>
                </w:tcPr>
                <w:p w14:paraId="40B14E6E">
                  <w:pPr>
                    <w:widowControl/>
                    <w:jc w:val="center"/>
                    <w:textAlignment w:val="center"/>
                    <w:rPr>
                      <w:sz w:val="18"/>
                      <w:szCs w:val="18"/>
                    </w:rPr>
                  </w:pPr>
                  <w:r>
                    <w:rPr>
                      <w:rFonts w:hint="eastAsia"/>
                      <w:color w:val="auto"/>
                      <w:sz w:val="18"/>
                      <w:szCs w:val="18"/>
                    </w:rPr>
                    <w:t>0.03</w:t>
                  </w:r>
                  <w:r>
                    <w:rPr>
                      <w:rFonts w:hint="eastAsia"/>
                      <w:color w:val="auto"/>
                      <w:sz w:val="18"/>
                      <w:szCs w:val="18"/>
                      <w:lang w:val="en-US" w:eastAsia="zh-CN"/>
                    </w:rPr>
                    <w:t>31</w:t>
                  </w:r>
                </w:p>
              </w:tc>
              <w:tc>
                <w:tcPr>
                  <w:tcW w:w="648" w:type="pct"/>
                  <w:vMerge w:val="restart"/>
                  <w:vAlign w:val="center"/>
                </w:tcPr>
                <w:p w14:paraId="6D1AB743">
                  <w:pPr>
                    <w:adjustRightInd w:val="0"/>
                    <w:snapToGrid w:val="0"/>
                    <w:jc w:val="center"/>
                    <w:rPr>
                      <w:sz w:val="18"/>
                      <w:szCs w:val="18"/>
                    </w:rPr>
                  </w:pPr>
                  <w:r>
                    <w:rPr>
                      <w:sz w:val="18"/>
                      <w:szCs w:val="18"/>
                    </w:rPr>
                    <w:t>1h</w:t>
                  </w:r>
                </w:p>
              </w:tc>
              <w:tc>
                <w:tcPr>
                  <w:tcW w:w="563" w:type="pct"/>
                  <w:vMerge w:val="restart"/>
                  <w:vAlign w:val="center"/>
                </w:tcPr>
                <w:p w14:paraId="34F5755C">
                  <w:pPr>
                    <w:adjustRightInd w:val="0"/>
                    <w:snapToGrid w:val="0"/>
                    <w:jc w:val="center"/>
                    <w:rPr>
                      <w:sz w:val="18"/>
                      <w:szCs w:val="18"/>
                    </w:rPr>
                  </w:pPr>
                  <w:r>
                    <w:rPr>
                      <w:sz w:val="18"/>
                      <w:szCs w:val="18"/>
                    </w:rPr>
                    <w:t>1次/年</w:t>
                  </w:r>
                </w:p>
              </w:tc>
              <w:tc>
                <w:tcPr>
                  <w:tcW w:w="580" w:type="pct"/>
                  <w:vMerge w:val="restart"/>
                  <w:vAlign w:val="center"/>
                </w:tcPr>
                <w:p w14:paraId="47A4132D">
                  <w:pPr>
                    <w:adjustRightInd w:val="0"/>
                    <w:snapToGrid w:val="0"/>
                    <w:jc w:val="center"/>
                    <w:rPr>
                      <w:sz w:val="18"/>
                      <w:szCs w:val="18"/>
                    </w:rPr>
                  </w:pPr>
                  <w:r>
                    <w:rPr>
                      <w:rFonts w:hint="eastAsia"/>
                      <w:sz w:val="18"/>
                      <w:szCs w:val="18"/>
                    </w:rPr>
                    <w:t>立即停产检修</w:t>
                  </w:r>
                </w:p>
              </w:tc>
            </w:tr>
            <w:tr w14:paraId="0C6885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0" w:hRule="atLeast"/>
                <w:jc w:val="center"/>
              </w:trPr>
              <w:tc>
                <w:tcPr>
                  <w:tcW w:w="707" w:type="pct"/>
                  <w:vMerge w:val="continue"/>
                  <w:vAlign w:val="center"/>
                </w:tcPr>
                <w:p w14:paraId="42DB34AA">
                  <w:pPr>
                    <w:adjustRightInd w:val="0"/>
                    <w:snapToGrid w:val="0"/>
                    <w:jc w:val="center"/>
                    <w:rPr>
                      <w:sz w:val="18"/>
                      <w:szCs w:val="18"/>
                    </w:rPr>
                  </w:pPr>
                </w:p>
              </w:tc>
              <w:tc>
                <w:tcPr>
                  <w:tcW w:w="962" w:type="pct"/>
                  <w:vAlign w:val="center"/>
                </w:tcPr>
                <w:p w14:paraId="1A5E230A">
                  <w:pPr>
                    <w:widowControl/>
                    <w:adjustRightInd w:val="0"/>
                    <w:snapToGrid w:val="0"/>
                    <w:jc w:val="center"/>
                    <w:rPr>
                      <w:sz w:val="18"/>
                      <w:szCs w:val="18"/>
                    </w:rPr>
                  </w:pPr>
                  <w:r>
                    <w:rPr>
                      <w:rFonts w:hint="eastAsia"/>
                      <w:sz w:val="18"/>
                      <w:szCs w:val="18"/>
                    </w:rPr>
                    <w:t>二甲苯</w:t>
                  </w:r>
                </w:p>
              </w:tc>
              <w:tc>
                <w:tcPr>
                  <w:tcW w:w="809" w:type="pct"/>
                  <w:vMerge w:val="continue"/>
                  <w:vAlign w:val="center"/>
                </w:tcPr>
                <w:p w14:paraId="3B7E5587">
                  <w:pPr>
                    <w:adjustRightInd w:val="0"/>
                    <w:snapToGrid w:val="0"/>
                    <w:jc w:val="center"/>
                    <w:rPr>
                      <w:sz w:val="18"/>
                      <w:szCs w:val="18"/>
                    </w:rPr>
                  </w:pPr>
                </w:p>
              </w:tc>
              <w:tc>
                <w:tcPr>
                  <w:tcW w:w="1287" w:type="dxa"/>
                  <w:vAlign w:val="center"/>
                </w:tcPr>
                <w:p w14:paraId="18DF18EC">
                  <w:pPr>
                    <w:widowControl/>
                    <w:jc w:val="center"/>
                    <w:textAlignment w:val="center"/>
                    <w:rPr>
                      <w:sz w:val="18"/>
                      <w:szCs w:val="18"/>
                    </w:rPr>
                  </w:pPr>
                  <w:r>
                    <w:rPr>
                      <w:rFonts w:hint="eastAsia"/>
                      <w:sz w:val="18"/>
                      <w:szCs w:val="18"/>
                    </w:rPr>
                    <w:t>0.00055</w:t>
                  </w:r>
                </w:p>
              </w:tc>
              <w:tc>
                <w:tcPr>
                  <w:tcW w:w="648" w:type="pct"/>
                  <w:vMerge w:val="continue"/>
                  <w:vAlign w:val="center"/>
                </w:tcPr>
                <w:p w14:paraId="720D2230">
                  <w:pPr>
                    <w:adjustRightInd w:val="0"/>
                    <w:snapToGrid w:val="0"/>
                    <w:jc w:val="center"/>
                    <w:rPr>
                      <w:sz w:val="18"/>
                      <w:szCs w:val="18"/>
                    </w:rPr>
                  </w:pPr>
                </w:p>
              </w:tc>
              <w:tc>
                <w:tcPr>
                  <w:tcW w:w="563" w:type="pct"/>
                  <w:vMerge w:val="continue"/>
                  <w:vAlign w:val="center"/>
                </w:tcPr>
                <w:p w14:paraId="30F841EF">
                  <w:pPr>
                    <w:adjustRightInd w:val="0"/>
                    <w:snapToGrid w:val="0"/>
                    <w:jc w:val="center"/>
                    <w:rPr>
                      <w:sz w:val="18"/>
                      <w:szCs w:val="18"/>
                    </w:rPr>
                  </w:pPr>
                </w:p>
              </w:tc>
              <w:tc>
                <w:tcPr>
                  <w:tcW w:w="580" w:type="pct"/>
                  <w:vMerge w:val="continue"/>
                  <w:vAlign w:val="center"/>
                </w:tcPr>
                <w:p w14:paraId="18C724BF">
                  <w:pPr>
                    <w:adjustRightInd w:val="0"/>
                    <w:snapToGrid w:val="0"/>
                    <w:jc w:val="center"/>
                    <w:rPr>
                      <w:sz w:val="18"/>
                      <w:szCs w:val="18"/>
                    </w:rPr>
                  </w:pPr>
                </w:p>
              </w:tc>
            </w:tr>
            <w:tr w14:paraId="1BEE14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5" w:hRule="atLeast"/>
                <w:jc w:val="center"/>
              </w:trPr>
              <w:tc>
                <w:tcPr>
                  <w:tcW w:w="707" w:type="pct"/>
                  <w:vMerge w:val="continue"/>
                  <w:vAlign w:val="center"/>
                </w:tcPr>
                <w:p w14:paraId="579B8538">
                  <w:pPr>
                    <w:adjustRightInd w:val="0"/>
                    <w:snapToGrid w:val="0"/>
                    <w:jc w:val="center"/>
                    <w:rPr>
                      <w:sz w:val="18"/>
                      <w:szCs w:val="18"/>
                    </w:rPr>
                  </w:pPr>
                </w:p>
              </w:tc>
              <w:tc>
                <w:tcPr>
                  <w:tcW w:w="962" w:type="pct"/>
                  <w:vAlign w:val="center"/>
                </w:tcPr>
                <w:p w14:paraId="123E537F">
                  <w:pPr>
                    <w:widowControl/>
                    <w:adjustRightInd w:val="0"/>
                    <w:snapToGrid w:val="0"/>
                    <w:jc w:val="center"/>
                    <w:rPr>
                      <w:sz w:val="18"/>
                      <w:szCs w:val="18"/>
                    </w:rPr>
                  </w:pPr>
                  <w:r>
                    <w:rPr>
                      <w:rFonts w:hint="eastAsia"/>
                      <w:sz w:val="18"/>
                      <w:szCs w:val="18"/>
                    </w:rPr>
                    <w:t>甲醇</w:t>
                  </w:r>
                </w:p>
              </w:tc>
              <w:tc>
                <w:tcPr>
                  <w:tcW w:w="809" w:type="pct"/>
                  <w:vMerge w:val="continue"/>
                  <w:vAlign w:val="center"/>
                </w:tcPr>
                <w:p w14:paraId="7C15FD5C">
                  <w:pPr>
                    <w:adjustRightInd w:val="0"/>
                    <w:snapToGrid w:val="0"/>
                    <w:jc w:val="center"/>
                    <w:rPr>
                      <w:sz w:val="18"/>
                      <w:szCs w:val="18"/>
                    </w:rPr>
                  </w:pPr>
                </w:p>
              </w:tc>
              <w:tc>
                <w:tcPr>
                  <w:tcW w:w="1287" w:type="dxa"/>
                  <w:vAlign w:val="center"/>
                </w:tcPr>
                <w:p w14:paraId="72A5A489">
                  <w:pPr>
                    <w:widowControl/>
                    <w:jc w:val="center"/>
                    <w:textAlignment w:val="center"/>
                    <w:rPr>
                      <w:sz w:val="18"/>
                      <w:szCs w:val="18"/>
                    </w:rPr>
                  </w:pPr>
                  <w:r>
                    <w:rPr>
                      <w:rFonts w:hint="eastAsia"/>
                      <w:sz w:val="18"/>
                      <w:szCs w:val="18"/>
                    </w:rPr>
                    <w:t>0.0234</w:t>
                  </w:r>
                </w:p>
              </w:tc>
              <w:tc>
                <w:tcPr>
                  <w:tcW w:w="648" w:type="pct"/>
                  <w:vMerge w:val="continue"/>
                  <w:vAlign w:val="center"/>
                </w:tcPr>
                <w:p w14:paraId="57A60E2F">
                  <w:pPr>
                    <w:adjustRightInd w:val="0"/>
                    <w:snapToGrid w:val="0"/>
                    <w:jc w:val="center"/>
                    <w:rPr>
                      <w:sz w:val="18"/>
                      <w:szCs w:val="18"/>
                    </w:rPr>
                  </w:pPr>
                </w:p>
              </w:tc>
              <w:tc>
                <w:tcPr>
                  <w:tcW w:w="563" w:type="pct"/>
                  <w:vMerge w:val="continue"/>
                  <w:vAlign w:val="center"/>
                </w:tcPr>
                <w:p w14:paraId="187B0901">
                  <w:pPr>
                    <w:adjustRightInd w:val="0"/>
                    <w:snapToGrid w:val="0"/>
                    <w:jc w:val="center"/>
                    <w:rPr>
                      <w:sz w:val="18"/>
                      <w:szCs w:val="18"/>
                    </w:rPr>
                  </w:pPr>
                </w:p>
              </w:tc>
              <w:tc>
                <w:tcPr>
                  <w:tcW w:w="580" w:type="pct"/>
                  <w:vMerge w:val="continue"/>
                  <w:vAlign w:val="center"/>
                </w:tcPr>
                <w:p w14:paraId="43151C5E">
                  <w:pPr>
                    <w:adjustRightInd w:val="0"/>
                    <w:snapToGrid w:val="0"/>
                    <w:jc w:val="center"/>
                    <w:rPr>
                      <w:sz w:val="18"/>
                      <w:szCs w:val="18"/>
                    </w:rPr>
                  </w:pPr>
                </w:p>
              </w:tc>
            </w:tr>
            <w:tr w14:paraId="097C65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50" w:hRule="atLeast"/>
                <w:jc w:val="center"/>
              </w:trPr>
              <w:tc>
                <w:tcPr>
                  <w:tcW w:w="707" w:type="pct"/>
                  <w:vMerge w:val="continue"/>
                  <w:vAlign w:val="center"/>
                </w:tcPr>
                <w:p w14:paraId="035FE217">
                  <w:pPr>
                    <w:adjustRightInd w:val="0"/>
                    <w:snapToGrid w:val="0"/>
                    <w:jc w:val="center"/>
                    <w:rPr>
                      <w:sz w:val="18"/>
                      <w:szCs w:val="18"/>
                    </w:rPr>
                  </w:pPr>
                </w:p>
              </w:tc>
              <w:tc>
                <w:tcPr>
                  <w:tcW w:w="962" w:type="pct"/>
                  <w:vAlign w:val="center"/>
                </w:tcPr>
                <w:p w14:paraId="1071483A">
                  <w:pPr>
                    <w:widowControl/>
                    <w:adjustRightInd w:val="0"/>
                    <w:snapToGrid w:val="0"/>
                    <w:jc w:val="center"/>
                    <w:rPr>
                      <w:sz w:val="18"/>
                      <w:szCs w:val="18"/>
                    </w:rPr>
                  </w:pPr>
                  <w:r>
                    <w:rPr>
                      <w:rFonts w:hint="eastAsia"/>
                      <w:sz w:val="18"/>
                      <w:szCs w:val="18"/>
                    </w:rPr>
                    <w:t>氨气</w:t>
                  </w:r>
                </w:p>
              </w:tc>
              <w:tc>
                <w:tcPr>
                  <w:tcW w:w="809" w:type="pct"/>
                  <w:vMerge w:val="continue"/>
                  <w:vAlign w:val="center"/>
                </w:tcPr>
                <w:p w14:paraId="64EC9190">
                  <w:pPr>
                    <w:adjustRightInd w:val="0"/>
                    <w:snapToGrid w:val="0"/>
                    <w:jc w:val="center"/>
                    <w:rPr>
                      <w:sz w:val="18"/>
                      <w:szCs w:val="18"/>
                    </w:rPr>
                  </w:pPr>
                </w:p>
              </w:tc>
              <w:tc>
                <w:tcPr>
                  <w:tcW w:w="1287" w:type="dxa"/>
                  <w:vAlign w:val="center"/>
                </w:tcPr>
                <w:p w14:paraId="62993FDD">
                  <w:pPr>
                    <w:widowControl/>
                    <w:jc w:val="center"/>
                    <w:textAlignment w:val="center"/>
                    <w:rPr>
                      <w:sz w:val="18"/>
                      <w:szCs w:val="18"/>
                    </w:rPr>
                  </w:pPr>
                  <w:r>
                    <w:rPr>
                      <w:rFonts w:hint="eastAsia"/>
                      <w:sz w:val="18"/>
                      <w:szCs w:val="18"/>
                    </w:rPr>
                    <w:t>0.0083</w:t>
                  </w:r>
                </w:p>
              </w:tc>
              <w:tc>
                <w:tcPr>
                  <w:tcW w:w="648" w:type="pct"/>
                  <w:vMerge w:val="continue"/>
                  <w:vAlign w:val="center"/>
                </w:tcPr>
                <w:p w14:paraId="2C33F979">
                  <w:pPr>
                    <w:adjustRightInd w:val="0"/>
                    <w:snapToGrid w:val="0"/>
                    <w:jc w:val="center"/>
                    <w:rPr>
                      <w:sz w:val="18"/>
                      <w:szCs w:val="18"/>
                    </w:rPr>
                  </w:pPr>
                </w:p>
              </w:tc>
              <w:tc>
                <w:tcPr>
                  <w:tcW w:w="563" w:type="pct"/>
                  <w:vMerge w:val="continue"/>
                  <w:vAlign w:val="center"/>
                </w:tcPr>
                <w:p w14:paraId="60F657EB">
                  <w:pPr>
                    <w:adjustRightInd w:val="0"/>
                    <w:snapToGrid w:val="0"/>
                    <w:jc w:val="center"/>
                    <w:rPr>
                      <w:sz w:val="18"/>
                      <w:szCs w:val="18"/>
                    </w:rPr>
                  </w:pPr>
                </w:p>
              </w:tc>
              <w:tc>
                <w:tcPr>
                  <w:tcW w:w="580" w:type="pct"/>
                  <w:vMerge w:val="continue"/>
                  <w:vAlign w:val="center"/>
                </w:tcPr>
                <w:p w14:paraId="6597BEB7">
                  <w:pPr>
                    <w:adjustRightInd w:val="0"/>
                    <w:snapToGrid w:val="0"/>
                    <w:jc w:val="center"/>
                    <w:rPr>
                      <w:sz w:val="18"/>
                      <w:szCs w:val="18"/>
                    </w:rPr>
                  </w:pPr>
                </w:p>
              </w:tc>
            </w:tr>
            <w:tr w14:paraId="129373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07" w:type="pct"/>
                  <w:vAlign w:val="center"/>
                </w:tcPr>
                <w:p w14:paraId="0448CC45">
                  <w:pPr>
                    <w:adjustRightInd w:val="0"/>
                    <w:snapToGrid w:val="0"/>
                    <w:jc w:val="center"/>
                    <w:rPr>
                      <w:sz w:val="18"/>
                      <w:szCs w:val="18"/>
                    </w:rPr>
                  </w:pPr>
                  <w:r>
                    <w:rPr>
                      <w:rFonts w:hint="eastAsia"/>
                      <w:sz w:val="18"/>
                      <w:szCs w:val="18"/>
                    </w:rPr>
                    <w:t>DA002</w:t>
                  </w:r>
                </w:p>
              </w:tc>
              <w:tc>
                <w:tcPr>
                  <w:tcW w:w="962" w:type="pct"/>
                  <w:vAlign w:val="center"/>
                </w:tcPr>
                <w:p w14:paraId="77D12ABC">
                  <w:pPr>
                    <w:widowControl/>
                    <w:adjustRightInd w:val="0"/>
                    <w:snapToGrid w:val="0"/>
                    <w:jc w:val="center"/>
                    <w:rPr>
                      <w:sz w:val="18"/>
                      <w:szCs w:val="18"/>
                    </w:rPr>
                  </w:pPr>
                  <w:r>
                    <w:rPr>
                      <w:rFonts w:hint="eastAsia"/>
                      <w:sz w:val="18"/>
                      <w:szCs w:val="18"/>
                    </w:rPr>
                    <w:t>非甲烷总烃</w:t>
                  </w:r>
                </w:p>
              </w:tc>
              <w:tc>
                <w:tcPr>
                  <w:tcW w:w="809" w:type="pct"/>
                  <w:vAlign w:val="center"/>
                </w:tcPr>
                <w:p w14:paraId="2E616CED">
                  <w:pPr>
                    <w:adjustRightInd w:val="0"/>
                    <w:snapToGrid w:val="0"/>
                    <w:jc w:val="center"/>
                    <w:rPr>
                      <w:sz w:val="18"/>
                      <w:szCs w:val="18"/>
                    </w:rPr>
                  </w:pPr>
                  <w:r>
                    <w:rPr>
                      <w:rFonts w:hint="eastAsia"/>
                      <w:sz w:val="18"/>
                      <w:szCs w:val="18"/>
                    </w:rPr>
                    <w:t>污染防治设施故障，废气处理效率为0</w:t>
                  </w:r>
                </w:p>
              </w:tc>
              <w:tc>
                <w:tcPr>
                  <w:tcW w:w="1287" w:type="dxa"/>
                  <w:vAlign w:val="center"/>
                </w:tcPr>
                <w:p w14:paraId="6A9C9909">
                  <w:pPr>
                    <w:widowControl/>
                    <w:jc w:val="center"/>
                    <w:textAlignment w:val="center"/>
                    <w:rPr>
                      <w:sz w:val="18"/>
                      <w:szCs w:val="18"/>
                    </w:rPr>
                  </w:pPr>
                  <w:r>
                    <w:rPr>
                      <w:rFonts w:hint="eastAsia"/>
                      <w:color w:val="auto"/>
                      <w:sz w:val="18"/>
                      <w:szCs w:val="18"/>
                    </w:rPr>
                    <w:t>0.000</w:t>
                  </w:r>
                  <w:r>
                    <w:rPr>
                      <w:rFonts w:hint="eastAsia"/>
                      <w:color w:val="auto"/>
                      <w:sz w:val="18"/>
                      <w:szCs w:val="18"/>
                      <w:lang w:val="en-US" w:eastAsia="zh-CN"/>
                    </w:rPr>
                    <w:t>4</w:t>
                  </w:r>
                </w:p>
              </w:tc>
              <w:tc>
                <w:tcPr>
                  <w:tcW w:w="648" w:type="pct"/>
                  <w:vAlign w:val="center"/>
                </w:tcPr>
                <w:p w14:paraId="14A7DF6A">
                  <w:pPr>
                    <w:adjustRightInd w:val="0"/>
                    <w:snapToGrid w:val="0"/>
                    <w:jc w:val="center"/>
                    <w:rPr>
                      <w:sz w:val="18"/>
                      <w:szCs w:val="18"/>
                    </w:rPr>
                  </w:pPr>
                  <w:r>
                    <w:rPr>
                      <w:sz w:val="18"/>
                      <w:szCs w:val="18"/>
                    </w:rPr>
                    <w:t>1h</w:t>
                  </w:r>
                </w:p>
              </w:tc>
              <w:tc>
                <w:tcPr>
                  <w:tcW w:w="563" w:type="pct"/>
                  <w:vAlign w:val="center"/>
                </w:tcPr>
                <w:p w14:paraId="0732A3A1">
                  <w:pPr>
                    <w:adjustRightInd w:val="0"/>
                    <w:snapToGrid w:val="0"/>
                    <w:jc w:val="center"/>
                    <w:rPr>
                      <w:sz w:val="18"/>
                      <w:szCs w:val="18"/>
                    </w:rPr>
                  </w:pPr>
                  <w:r>
                    <w:rPr>
                      <w:sz w:val="18"/>
                      <w:szCs w:val="18"/>
                    </w:rPr>
                    <w:t>1次/年</w:t>
                  </w:r>
                </w:p>
              </w:tc>
              <w:tc>
                <w:tcPr>
                  <w:tcW w:w="580" w:type="pct"/>
                  <w:vAlign w:val="center"/>
                </w:tcPr>
                <w:p w14:paraId="3CBBFADB">
                  <w:pPr>
                    <w:adjustRightInd w:val="0"/>
                    <w:snapToGrid w:val="0"/>
                    <w:jc w:val="center"/>
                    <w:rPr>
                      <w:sz w:val="18"/>
                      <w:szCs w:val="18"/>
                    </w:rPr>
                  </w:pPr>
                  <w:r>
                    <w:rPr>
                      <w:rFonts w:hint="eastAsia"/>
                      <w:sz w:val="18"/>
                      <w:szCs w:val="18"/>
                    </w:rPr>
                    <w:t>立即停产检修</w:t>
                  </w:r>
                </w:p>
              </w:tc>
            </w:tr>
          </w:tbl>
          <w:p w14:paraId="3DB79551">
            <w:pPr>
              <w:widowControl/>
              <w:shd w:val="clear" w:color="auto" w:fill="FFFFFF"/>
              <w:spacing w:before="120" w:line="360" w:lineRule="auto"/>
              <w:ind w:firstLine="420" w:firstLineChars="200"/>
              <w:jc w:val="left"/>
            </w:pPr>
            <w:r>
              <w:t>企业必须做好污染治理设施的日常维护与检查，避免非正常排放的发生，定期进行污染排放监测，确保设施长期稳定正常运行。</w:t>
            </w:r>
          </w:p>
          <w:p w14:paraId="46E80ED4">
            <w:pPr>
              <w:widowControl/>
              <w:shd w:val="clear" w:color="auto" w:fill="FFFFFF"/>
              <w:spacing w:line="360" w:lineRule="auto"/>
              <w:ind w:firstLine="420" w:firstLineChars="200"/>
              <w:jc w:val="left"/>
            </w:pPr>
            <w:r>
              <w:t>日常工作中，建议建设单位做好以下防范工作：</w:t>
            </w:r>
          </w:p>
          <w:p w14:paraId="4F8DC304">
            <w:pPr>
              <w:widowControl/>
              <w:shd w:val="clear" w:color="auto" w:fill="FFFFFF"/>
              <w:spacing w:line="360" w:lineRule="auto"/>
              <w:ind w:firstLine="420" w:firstLineChars="200"/>
              <w:jc w:val="left"/>
            </w:pPr>
            <w:r>
              <w:fldChar w:fldCharType="begin"/>
            </w:r>
            <w:r>
              <w:instrText xml:space="preserve"> = 1 \* GB3 </w:instrText>
            </w:r>
            <w:r>
              <w:fldChar w:fldCharType="separate"/>
            </w:r>
            <w:r>
              <w:rPr>
                <w:rFonts w:hint="eastAsia" w:ascii="宋体" w:hAnsi="宋体" w:cs="宋体"/>
              </w:rPr>
              <w:t>①</w:t>
            </w:r>
            <w:r>
              <w:fldChar w:fldCharType="end"/>
            </w:r>
            <w:r>
              <w:t>平时注意废气处理设施的维护，及时发现处理设备的隐患，确保废气处理系统正常运行；开、停、检修要有预案，有严密周全的计划，避免非正常排放，使影响降到最小。</w:t>
            </w:r>
          </w:p>
          <w:p w14:paraId="0C7F4ECB">
            <w:pPr>
              <w:widowControl/>
              <w:shd w:val="clear" w:color="auto" w:fill="FFFFFF"/>
              <w:spacing w:line="360" w:lineRule="auto"/>
              <w:ind w:firstLine="420" w:firstLineChars="200"/>
              <w:jc w:val="left"/>
            </w:pPr>
            <w:r>
              <w:fldChar w:fldCharType="begin"/>
            </w:r>
            <w:r>
              <w:instrText xml:space="preserve"> = 2 \* GB3 </w:instrText>
            </w:r>
            <w:r>
              <w:fldChar w:fldCharType="separate"/>
            </w:r>
            <w:r>
              <w:rPr>
                <w:rFonts w:hint="eastAsia" w:ascii="宋体" w:hAnsi="宋体" w:cs="宋体"/>
              </w:rPr>
              <w:t>②</w:t>
            </w:r>
            <w:r>
              <w:fldChar w:fldCharType="end"/>
            </w:r>
            <w:r>
              <w:t>具有使用周期的环保设施应按时、足量进行更换，并做好</w:t>
            </w:r>
            <w:r>
              <w:rPr>
                <w:rFonts w:hint="eastAsia"/>
              </w:rPr>
              <w:t>台账</w:t>
            </w:r>
            <w:r>
              <w:t>记录。</w:t>
            </w:r>
          </w:p>
          <w:p w14:paraId="0AFE6929">
            <w:pPr>
              <w:widowControl/>
              <w:shd w:val="clear" w:color="auto" w:fill="FFFFFF"/>
              <w:spacing w:line="360" w:lineRule="auto"/>
              <w:ind w:firstLine="420" w:firstLineChars="200"/>
              <w:jc w:val="left"/>
            </w:pPr>
            <w:r>
              <w:fldChar w:fldCharType="begin"/>
            </w:r>
            <w:r>
              <w:instrText xml:space="preserve"> = 3 \* GB3 </w:instrText>
            </w:r>
            <w:r>
              <w:fldChar w:fldCharType="separate"/>
            </w:r>
            <w:r>
              <w:rPr>
                <w:rFonts w:hint="eastAsia" w:ascii="宋体" w:hAnsi="宋体" w:cs="宋体"/>
              </w:rPr>
              <w:t>③</w:t>
            </w:r>
            <w:r>
              <w:fldChar w:fldCharType="end"/>
            </w:r>
            <w:r>
              <w:t>应设有备用电源和备用处理设备和零件，以备停电或设备出现故障时保障及时更换使废气全部做到达标排放。</w:t>
            </w:r>
          </w:p>
          <w:p w14:paraId="5D151233">
            <w:pPr>
              <w:widowControl/>
              <w:shd w:val="clear" w:color="auto" w:fill="FFFFFF"/>
              <w:spacing w:line="360" w:lineRule="auto"/>
              <w:ind w:firstLine="420" w:firstLineChars="200"/>
              <w:jc w:val="left"/>
            </w:pPr>
            <w:r>
              <w:fldChar w:fldCharType="begin"/>
            </w:r>
            <w:r>
              <w:instrText xml:space="preserve"> = 4 \* GB3 </w:instrText>
            </w:r>
            <w:r>
              <w:fldChar w:fldCharType="separate"/>
            </w:r>
            <w:r>
              <w:rPr>
                <w:rFonts w:hint="eastAsia" w:ascii="宋体" w:hAnsi="宋体" w:cs="宋体"/>
              </w:rPr>
              <w:t>④</w:t>
            </w:r>
            <w:r>
              <w:fldChar w:fldCharType="end"/>
            </w:r>
            <w:r>
              <w:t>对员工进行岗位培训。做好值班记录，实行岗位责任制。</w:t>
            </w:r>
          </w:p>
          <w:p w14:paraId="0C68133C">
            <w:pPr>
              <w:pStyle w:val="4"/>
              <w:spacing w:before="0" w:after="0" w:line="360" w:lineRule="auto"/>
              <w:ind w:firstLine="422" w:firstLineChars="200"/>
              <w:rPr>
                <w:sz w:val="21"/>
                <w:szCs w:val="21"/>
              </w:rPr>
            </w:pPr>
            <w:r>
              <w:rPr>
                <w:sz w:val="21"/>
                <w:szCs w:val="21"/>
              </w:rPr>
              <w:t>（4）异味影响分析</w:t>
            </w:r>
          </w:p>
          <w:p w14:paraId="0FB69D12">
            <w:pPr>
              <w:widowControl/>
              <w:shd w:val="clear" w:color="auto" w:fill="FFFFFF"/>
              <w:spacing w:line="360" w:lineRule="auto"/>
              <w:ind w:firstLine="420" w:firstLineChars="200"/>
              <w:jc w:val="left"/>
            </w:pPr>
            <w:r>
              <w:rPr>
                <w:rFonts w:hint="eastAsia"/>
              </w:rPr>
              <w:t>本项目在生产过程中使用的原辅材料中的氨、苯乙烯等无法捕集的废气会散发出一定异味，该无组织废气对外环境的影响带有较强的主观性。</w:t>
            </w:r>
          </w:p>
          <w:p w14:paraId="6BB47ED3">
            <w:pPr>
              <w:widowControl/>
              <w:shd w:val="clear" w:color="auto" w:fill="FFFFFF"/>
              <w:spacing w:line="360" w:lineRule="auto"/>
              <w:ind w:firstLine="420" w:firstLineChars="200"/>
              <w:jc w:val="left"/>
            </w:pPr>
            <w:r>
              <w:rPr>
                <w:rFonts w:hint="eastAsia"/>
              </w:rPr>
              <w:t>《恶臭污染物现场嗅辨技术规范》（DB32/T4869-2024）提出了恶臭6级分级法，该分级法以感受器-嗅觉的感觉和人的主观感觉特征两个方面来描述各级特征，既明确了各级的差别，也提高了分级的准确程度。</w:t>
            </w:r>
          </w:p>
          <w:p w14:paraId="61BC8A69">
            <w:pPr>
              <w:ind w:firstLine="482"/>
              <w:jc w:val="center"/>
              <w:rPr>
                <w:b/>
                <w:bCs/>
                <w:szCs w:val="21"/>
              </w:rPr>
            </w:pPr>
            <w:r>
              <w:rPr>
                <w:b/>
                <w:bCs/>
                <w:szCs w:val="21"/>
              </w:rPr>
              <w:t>表4-</w:t>
            </w:r>
            <w:r>
              <w:rPr>
                <w:rFonts w:hint="eastAsia"/>
                <w:b/>
                <w:bCs/>
                <w:szCs w:val="21"/>
              </w:rPr>
              <w:t>7</w:t>
            </w:r>
            <w:r>
              <w:rPr>
                <w:b/>
                <w:bCs/>
                <w:szCs w:val="21"/>
              </w:rPr>
              <w:t xml:space="preserve"> </w:t>
            </w:r>
            <w:r>
              <w:rPr>
                <w:rFonts w:hint="eastAsia"/>
                <w:b/>
                <w:bCs/>
                <w:szCs w:val="21"/>
              </w:rPr>
              <w:t>臭气强度等级</w:t>
            </w:r>
          </w:p>
          <w:tbl>
            <w:tblPr>
              <w:tblStyle w:val="23"/>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123"/>
              <w:gridCol w:w="6536"/>
            </w:tblGrid>
            <w:tr w14:paraId="0D9306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2123" w:type="dxa"/>
                  <w:vAlign w:val="center"/>
                </w:tcPr>
                <w:p w14:paraId="25A3088E">
                  <w:pPr>
                    <w:adjustRightInd w:val="0"/>
                    <w:snapToGrid w:val="0"/>
                    <w:jc w:val="center"/>
                    <w:rPr>
                      <w:b/>
                      <w:bCs/>
                      <w:sz w:val="18"/>
                      <w:szCs w:val="18"/>
                    </w:rPr>
                  </w:pPr>
                  <w:r>
                    <w:rPr>
                      <w:b/>
                      <w:bCs/>
                      <w:sz w:val="18"/>
                      <w:szCs w:val="18"/>
                    </w:rPr>
                    <w:t>臭气强度分级</w:t>
                  </w:r>
                </w:p>
              </w:tc>
              <w:tc>
                <w:tcPr>
                  <w:tcW w:w="6536" w:type="dxa"/>
                  <w:vAlign w:val="center"/>
                </w:tcPr>
                <w:p w14:paraId="6D38945D">
                  <w:pPr>
                    <w:adjustRightInd w:val="0"/>
                    <w:snapToGrid w:val="0"/>
                    <w:jc w:val="center"/>
                    <w:rPr>
                      <w:b/>
                      <w:bCs/>
                      <w:sz w:val="18"/>
                      <w:szCs w:val="18"/>
                    </w:rPr>
                  </w:pPr>
                  <w:r>
                    <w:rPr>
                      <w:b/>
                      <w:bCs/>
                      <w:sz w:val="18"/>
                      <w:szCs w:val="18"/>
                    </w:rPr>
                    <w:t>特 征</w:t>
                  </w:r>
                </w:p>
              </w:tc>
            </w:tr>
            <w:tr w14:paraId="70AF1E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9" w:hRule="atLeast"/>
                <w:jc w:val="center"/>
              </w:trPr>
              <w:tc>
                <w:tcPr>
                  <w:tcW w:w="2123" w:type="dxa"/>
                  <w:vAlign w:val="center"/>
                </w:tcPr>
                <w:p w14:paraId="6AAAEEA2">
                  <w:pPr>
                    <w:adjustRightInd w:val="0"/>
                    <w:snapToGrid w:val="0"/>
                    <w:jc w:val="center"/>
                    <w:rPr>
                      <w:b/>
                      <w:bCs/>
                      <w:sz w:val="18"/>
                      <w:szCs w:val="18"/>
                    </w:rPr>
                  </w:pPr>
                  <w:r>
                    <w:rPr>
                      <w:b/>
                      <w:bCs/>
                      <w:sz w:val="18"/>
                      <w:szCs w:val="18"/>
                    </w:rPr>
                    <w:t>0</w:t>
                  </w:r>
                </w:p>
              </w:tc>
              <w:tc>
                <w:tcPr>
                  <w:tcW w:w="6536" w:type="dxa"/>
                  <w:vAlign w:val="center"/>
                </w:tcPr>
                <w:p w14:paraId="4204F8F3">
                  <w:pPr>
                    <w:adjustRightInd w:val="0"/>
                    <w:snapToGrid w:val="0"/>
                    <w:jc w:val="center"/>
                    <w:rPr>
                      <w:b/>
                      <w:bCs/>
                      <w:sz w:val="18"/>
                      <w:szCs w:val="18"/>
                    </w:rPr>
                  </w:pPr>
                  <w:r>
                    <w:rPr>
                      <w:rFonts w:hint="eastAsia"/>
                      <w:sz w:val="18"/>
                      <w:szCs w:val="18"/>
                    </w:rPr>
                    <w:t>无臭</w:t>
                  </w:r>
                </w:p>
              </w:tc>
            </w:tr>
            <w:tr w14:paraId="033DF3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9" w:hRule="atLeast"/>
                <w:jc w:val="center"/>
              </w:trPr>
              <w:tc>
                <w:tcPr>
                  <w:tcW w:w="2123" w:type="dxa"/>
                  <w:vAlign w:val="center"/>
                </w:tcPr>
                <w:p w14:paraId="3F4CF132">
                  <w:pPr>
                    <w:adjustRightInd w:val="0"/>
                    <w:snapToGrid w:val="0"/>
                    <w:jc w:val="center"/>
                    <w:rPr>
                      <w:b/>
                      <w:bCs/>
                      <w:sz w:val="18"/>
                      <w:szCs w:val="18"/>
                    </w:rPr>
                  </w:pPr>
                  <w:r>
                    <w:rPr>
                      <w:b/>
                      <w:bCs/>
                      <w:sz w:val="18"/>
                      <w:szCs w:val="18"/>
                    </w:rPr>
                    <w:t>1</w:t>
                  </w:r>
                </w:p>
              </w:tc>
              <w:tc>
                <w:tcPr>
                  <w:tcW w:w="6536" w:type="dxa"/>
                  <w:vAlign w:val="center"/>
                </w:tcPr>
                <w:p w14:paraId="645584D5">
                  <w:pPr>
                    <w:adjustRightInd w:val="0"/>
                    <w:snapToGrid w:val="0"/>
                    <w:jc w:val="center"/>
                    <w:rPr>
                      <w:b/>
                      <w:bCs/>
                      <w:sz w:val="18"/>
                      <w:szCs w:val="18"/>
                    </w:rPr>
                  </w:pPr>
                  <w:r>
                    <w:rPr>
                      <w:rFonts w:hint="eastAsia"/>
                      <w:sz w:val="18"/>
                      <w:szCs w:val="18"/>
                    </w:rPr>
                    <w:t>气味似有似无</w:t>
                  </w:r>
                </w:p>
              </w:tc>
            </w:tr>
            <w:tr w14:paraId="1E08CD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9" w:hRule="atLeast"/>
                <w:jc w:val="center"/>
              </w:trPr>
              <w:tc>
                <w:tcPr>
                  <w:tcW w:w="2123" w:type="dxa"/>
                  <w:vAlign w:val="center"/>
                </w:tcPr>
                <w:p w14:paraId="0100C505">
                  <w:pPr>
                    <w:adjustRightInd w:val="0"/>
                    <w:snapToGrid w:val="0"/>
                    <w:jc w:val="center"/>
                    <w:rPr>
                      <w:b/>
                      <w:bCs/>
                      <w:sz w:val="18"/>
                      <w:szCs w:val="18"/>
                    </w:rPr>
                  </w:pPr>
                  <w:r>
                    <w:rPr>
                      <w:b/>
                      <w:bCs/>
                      <w:sz w:val="18"/>
                      <w:szCs w:val="18"/>
                    </w:rPr>
                    <w:t>2</w:t>
                  </w:r>
                </w:p>
              </w:tc>
              <w:tc>
                <w:tcPr>
                  <w:tcW w:w="6536" w:type="dxa"/>
                  <w:vAlign w:val="center"/>
                </w:tcPr>
                <w:p w14:paraId="651B6741">
                  <w:pPr>
                    <w:adjustRightInd w:val="0"/>
                    <w:snapToGrid w:val="0"/>
                    <w:jc w:val="center"/>
                    <w:rPr>
                      <w:b/>
                      <w:bCs/>
                      <w:sz w:val="18"/>
                      <w:szCs w:val="18"/>
                    </w:rPr>
                  </w:pPr>
                  <w:r>
                    <w:rPr>
                      <w:rFonts w:hint="eastAsia"/>
                      <w:sz w:val="18"/>
                      <w:szCs w:val="18"/>
                    </w:rPr>
                    <w:t>微弱的气味，但能确定什么样的气味</w:t>
                  </w:r>
                </w:p>
              </w:tc>
            </w:tr>
            <w:tr w14:paraId="26404E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9" w:hRule="atLeast"/>
                <w:jc w:val="center"/>
              </w:trPr>
              <w:tc>
                <w:tcPr>
                  <w:tcW w:w="2123" w:type="dxa"/>
                  <w:vAlign w:val="center"/>
                </w:tcPr>
                <w:p w14:paraId="47C4601F">
                  <w:pPr>
                    <w:adjustRightInd w:val="0"/>
                    <w:snapToGrid w:val="0"/>
                    <w:jc w:val="center"/>
                    <w:rPr>
                      <w:b/>
                      <w:bCs/>
                      <w:sz w:val="18"/>
                      <w:szCs w:val="18"/>
                    </w:rPr>
                  </w:pPr>
                  <w:r>
                    <w:rPr>
                      <w:b/>
                      <w:bCs/>
                      <w:sz w:val="18"/>
                      <w:szCs w:val="18"/>
                    </w:rPr>
                    <w:t>3</w:t>
                  </w:r>
                </w:p>
              </w:tc>
              <w:tc>
                <w:tcPr>
                  <w:tcW w:w="6536" w:type="dxa"/>
                  <w:vAlign w:val="center"/>
                </w:tcPr>
                <w:p w14:paraId="2E62AFE8">
                  <w:pPr>
                    <w:adjustRightInd w:val="0"/>
                    <w:snapToGrid w:val="0"/>
                    <w:jc w:val="center"/>
                    <w:rPr>
                      <w:b/>
                      <w:bCs/>
                      <w:sz w:val="18"/>
                      <w:szCs w:val="18"/>
                    </w:rPr>
                  </w:pPr>
                  <w:r>
                    <w:rPr>
                      <w:rFonts w:hint="eastAsia"/>
                      <w:sz w:val="18"/>
                      <w:szCs w:val="18"/>
                    </w:rPr>
                    <w:t>能够明显感觉到气味</w:t>
                  </w:r>
                </w:p>
              </w:tc>
            </w:tr>
            <w:tr w14:paraId="32CC6D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9" w:hRule="atLeast"/>
                <w:jc w:val="center"/>
              </w:trPr>
              <w:tc>
                <w:tcPr>
                  <w:tcW w:w="2123" w:type="dxa"/>
                  <w:vAlign w:val="center"/>
                </w:tcPr>
                <w:p w14:paraId="3452FD02">
                  <w:pPr>
                    <w:adjustRightInd w:val="0"/>
                    <w:snapToGrid w:val="0"/>
                    <w:jc w:val="center"/>
                    <w:rPr>
                      <w:b/>
                      <w:bCs/>
                      <w:sz w:val="18"/>
                      <w:szCs w:val="18"/>
                    </w:rPr>
                  </w:pPr>
                  <w:r>
                    <w:rPr>
                      <w:b/>
                      <w:bCs/>
                      <w:sz w:val="18"/>
                      <w:szCs w:val="18"/>
                    </w:rPr>
                    <w:t>4</w:t>
                  </w:r>
                </w:p>
              </w:tc>
              <w:tc>
                <w:tcPr>
                  <w:tcW w:w="6536" w:type="dxa"/>
                  <w:vAlign w:val="center"/>
                </w:tcPr>
                <w:p w14:paraId="454A3C90">
                  <w:pPr>
                    <w:adjustRightInd w:val="0"/>
                    <w:snapToGrid w:val="0"/>
                    <w:jc w:val="center"/>
                    <w:rPr>
                      <w:b/>
                      <w:bCs/>
                      <w:sz w:val="18"/>
                      <w:szCs w:val="18"/>
                    </w:rPr>
                  </w:pPr>
                  <w:r>
                    <w:rPr>
                      <w:rFonts w:hint="eastAsia"/>
                      <w:sz w:val="18"/>
                      <w:szCs w:val="18"/>
                    </w:rPr>
                    <w:t>感觉到比较强烈的气味</w:t>
                  </w:r>
                </w:p>
              </w:tc>
            </w:tr>
            <w:tr w14:paraId="442290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2123" w:type="dxa"/>
                  <w:vAlign w:val="center"/>
                </w:tcPr>
                <w:p w14:paraId="7F925A61">
                  <w:pPr>
                    <w:adjustRightInd w:val="0"/>
                    <w:snapToGrid w:val="0"/>
                    <w:jc w:val="center"/>
                    <w:rPr>
                      <w:b/>
                      <w:bCs/>
                      <w:sz w:val="18"/>
                      <w:szCs w:val="18"/>
                    </w:rPr>
                  </w:pPr>
                  <w:r>
                    <w:rPr>
                      <w:b/>
                      <w:bCs/>
                      <w:sz w:val="18"/>
                      <w:szCs w:val="18"/>
                    </w:rPr>
                    <w:t>5</w:t>
                  </w:r>
                </w:p>
              </w:tc>
              <w:tc>
                <w:tcPr>
                  <w:tcW w:w="6536" w:type="dxa"/>
                  <w:vAlign w:val="center"/>
                </w:tcPr>
                <w:p w14:paraId="4F753E5C">
                  <w:pPr>
                    <w:adjustRightInd w:val="0"/>
                    <w:snapToGrid w:val="0"/>
                    <w:jc w:val="center"/>
                    <w:rPr>
                      <w:sz w:val="18"/>
                      <w:szCs w:val="18"/>
                    </w:rPr>
                  </w:pPr>
                  <w:r>
                    <w:rPr>
                      <w:rFonts w:hint="eastAsia"/>
                      <w:sz w:val="18"/>
                      <w:szCs w:val="18"/>
                    </w:rPr>
                    <w:t>非常强烈难以忍受的气味</w:t>
                  </w:r>
                </w:p>
              </w:tc>
            </w:tr>
          </w:tbl>
          <w:p w14:paraId="1AEEE8A5">
            <w:pPr>
              <w:widowControl/>
              <w:shd w:val="clear" w:color="auto" w:fill="FFFFFF"/>
              <w:spacing w:line="360" w:lineRule="auto"/>
              <w:ind w:firstLine="420" w:firstLineChars="200"/>
              <w:jc w:val="left"/>
              <w:rPr>
                <w:rFonts w:hint="eastAsia"/>
                <w:szCs w:val="21"/>
              </w:rPr>
            </w:pPr>
            <w:r>
              <w:rPr>
                <w:rFonts w:hint="eastAsia"/>
                <w:szCs w:val="21"/>
              </w:rPr>
              <w:t>根据对同行业同类型企业生产过程恶臭污染物产排情况可知，本项目原料储存及使用过程产生的臭气浓度较少，在加强收集及处理的情况下，对周边环境影响较小，未被收集的恶臭气体在加强实验室通排风的情况下厂界臭气浓度可达到《恶臭污染物排放标准》(GB14554-93)表1恶臭污染物二级新改扩建标准，对周围环境不会造成明显的影响。</w:t>
            </w:r>
          </w:p>
          <w:p w14:paraId="7268B544">
            <w:pPr>
              <w:widowControl/>
              <w:shd w:val="clear" w:color="auto" w:fill="FFFFFF"/>
              <w:spacing w:line="360" w:lineRule="auto"/>
              <w:ind w:firstLine="420" w:firstLineChars="200"/>
              <w:jc w:val="left"/>
              <w:rPr>
                <w:szCs w:val="21"/>
              </w:rPr>
            </w:pPr>
            <w:r>
              <w:rPr>
                <w:rFonts w:hint="eastAsia"/>
                <w:szCs w:val="21"/>
              </w:rPr>
              <w:t>对此，提出以下避免和减缓措施：</w:t>
            </w:r>
          </w:p>
          <w:p w14:paraId="14F25F5C">
            <w:pPr>
              <w:widowControl/>
              <w:shd w:val="clear" w:color="auto" w:fill="FFFFFF"/>
              <w:spacing w:line="360" w:lineRule="auto"/>
              <w:ind w:firstLine="420" w:firstLineChars="200"/>
              <w:jc w:val="left"/>
              <w:rPr>
                <w:szCs w:val="21"/>
              </w:rPr>
            </w:pPr>
            <w:r>
              <w:rPr>
                <w:rFonts w:hint="eastAsia"/>
                <w:szCs w:val="21"/>
              </w:rPr>
              <w:t>A、项目实验室完善换气设施，加强车间空气流通，废气抽吸引入废气处理装置。</w:t>
            </w:r>
          </w:p>
          <w:p w14:paraId="5A1F6F9A">
            <w:pPr>
              <w:widowControl/>
              <w:shd w:val="clear" w:color="auto" w:fill="FFFFFF"/>
              <w:spacing w:line="360" w:lineRule="auto"/>
              <w:ind w:firstLine="420" w:firstLineChars="200"/>
              <w:jc w:val="left"/>
              <w:rPr>
                <w:szCs w:val="21"/>
              </w:rPr>
            </w:pPr>
            <w:r>
              <w:rPr>
                <w:rFonts w:hint="eastAsia"/>
                <w:szCs w:val="21"/>
              </w:rPr>
              <w:t>B、实验室工作人员佩戴口罩等劳动保护用品。</w:t>
            </w:r>
          </w:p>
          <w:p w14:paraId="21CFBD5A">
            <w:pPr>
              <w:widowControl/>
              <w:shd w:val="clear" w:color="auto" w:fill="FFFFFF"/>
              <w:spacing w:line="360" w:lineRule="auto"/>
              <w:ind w:firstLine="420" w:firstLineChars="200"/>
              <w:jc w:val="left"/>
              <w:rPr>
                <w:b/>
                <w:bCs/>
                <w:spacing w:val="8"/>
                <w:kern w:val="0"/>
                <w:szCs w:val="21"/>
              </w:rPr>
            </w:pPr>
            <w:r>
              <w:rPr>
                <w:rFonts w:hint="eastAsia"/>
                <w:szCs w:val="21"/>
              </w:rPr>
              <w:t>在采取上述措施的前提下，大气环境影响程度较小，但仍应加强污染控制管理，减少不正常排放情况的发生，异味污染是可以得到控制的</w:t>
            </w:r>
            <w:r>
              <w:rPr>
                <w:szCs w:val="21"/>
              </w:rPr>
              <w:t>。</w:t>
            </w:r>
          </w:p>
          <w:p w14:paraId="2E19E5D5">
            <w:pPr>
              <w:widowControl/>
              <w:shd w:val="clear" w:color="auto" w:fill="FFFFFF"/>
              <w:spacing w:line="360" w:lineRule="auto"/>
              <w:ind w:firstLine="420" w:firstLineChars="200"/>
              <w:jc w:val="left"/>
              <w:rPr>
                <w:rFonts w:hint="eastAsia"/>
                <w:szCs w:val="21"/>
              </w:rPr>
            </w:pPr>
          </w:p>
        </w:tc>
      </w:tr>
    </w:tbl>
    <w:p w14:paraId="687AF204">
      <w:pPr>
        <w:pStyle w:val="18"/>
        <w:jc w:val="center"/>
        <w:outlineLvl w:val="0"/>
        <w:rPr>
          <w:rFonts w:ascii="Times New Roman" w:hAnsi="Times New Roman" w:eastAsia="黑体"/>
          <w:snapToGrid w:val="0"/>
          <w:sz w:val="30"/>
          <w:szCs w:val="30"/>
        </w:rPr>
        <w:sectPr>
          <w:pgSz w:w="11907" w:h="16840"/>
          <w:pgMar w:top="1417" w:right="1531" w:bottom="1417" w:left="1531" w:header="851" w:footer="851" w:gutter="0"/>
          <w:pgBorders>
            <w:top w:val="none" w:sz="0" w:space="0"/>
            <w:left w:val="none" w:sz="0" w:space="0"/>
            <w:bottom w:val="none" w:sz="0" w:space="0"/>
            <w:right w:val="none" w:sz="0" w:space="0"/>
          </w:pgBorders>
          <w:cols w:space="720" w:num="1"/>
          <w:docGrid w:linePitch="312" w:charSpace="0"/>
        </w:sectPr>
      </w:pPr>
      <w:bookmarkStart w:id="17" w:name="PageNo100510050"/>
    </w:p>
    <w:bookmarkEnd w:id="17"/>
    <w:tbl>
      <w:tblPr>
        <w:tblStyle w:val="23"/>
        <w:tblW w:w="93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20"/>
        <w:gridCol w:w="9064"/>
      </w:tblGrid>
      <w:tr w14:paraId="14F66C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33" w:hRule="atLeast"/>
          <w:jc w:val="center"/>
        </w:trPr>
        <w:tc>
          <w:tcPr>
            <w:tcW w:w="320" w:type="dxa"/>
            <w:tcMar>
              <w:left w:w="28" w:type="dxa"/>
              <w:right w:w="28" w:type="dxa"/>
            </w:tcMar>
            <w:vAlign w:val="center"/>
          </w:tcPr>
          <w:p w14:paraId="4FA38155">
            <w:pPr>
              <w:adjustRightInd w:val="0"/>
              <w:snapToGrid w:val="0"/>
              <w:jc w:val="center"/>
              <w:rPr>
                <w:bCs/>
                <w:szCs w:val="21"/>
              </w:rPr>
            </w:pPr>
            <w:r>
              <w:rPr>
                <w:bCs/>
                <w:szCs w:val="21"/>
              </w:rPr>
              <w:t>营</w:t>
            </w:r>
          </w:p>
          <w:p w14:paraId="4EA579B6">
            <w:pPr>
              <w:adjustRightInd w:val="0"/>
              <w:snapToGrid w:val="0"/>
              <w:jc w:val="center"/>
              <w:rPr>
                <w:bCs/>
                <w:szCs w:val="21"/>
              </w:rPr>
            </w:pPr>
            <w:r>
              <w:rPr>
                <w:bCs/>
                <w:szCs w:val="21"/>
              </w:rPr>
              <w:t>期环</w:t>
            </w:r>
          </w:p>
          <w:p w14:paraId="3D3B212C">
            <w:pPr>
              <w:adjustRightInd w:val="0"/>
              <w:snapToGrid w:val="0"/>
              <w:jc w:val="center"/>
              <w:rPr>
                <w:bCs/>
                <w:szCs w:val="21"/>
              </w:rPr>
            </w:pPr>
            <w:r>
              <w:rPr>
                <w:bCs/>
                <w:szCs w:val="21"/>
              </w:rPr>
              <w:t>境影</w:t>
            </w:r>
          </w:p>
          <w:p w14:paraId="20745799">
            <w:pPr>
              <w:adjustRightInd w:val="0"/>
              <w:snapToGrid w:val="0"/>
              <w:jc w:val="center"/>
              <w:rPr>
                <w:bCs/>
                <w:szCs w:val="21"/>
              </w:rPr>
            </w:pPr>
            <w:r>
              <w:rPr>
                <w:bCs/>
                <w:szCs w:val="21"/>
              </w:rPr>
              <w:t>响和</w:t>
            </w:r>
          </w:p>
          <w:p w14:paraId="2A514E6B">
            <w:pPr>
              <w:adjustRightInd w:val="0"/>
              <w:snapToGrid w:val="0"/>
              <w:jc w:val="center"/>
              <w:rPr>
                <w:bCs/>
                <w:szCs w:val="21"/>
              </w:rPr>
            </w:pPr>
            <w:r>
              <w:rPr>
                <w:bCs/>
                <w:szCs w:val="21"/>
              </w:rPr>
              <w:t>保护</w:t>
            </w:r>
          </w:p>
          <w:p w14:paraId="0C3A1D71">
            <w:pPr>
              <w:adjustRightInd w:val="0"/>
              <w:snapToGrid w:val="0"/>
              <w:jc w:val="center"/>
              <w:rPr>
                <w:bCs/>
                <w:szCs w:val="21"/>
              </w:rPr>
            </w:pPr>
            <w:r>
              <w:rPr>
                <w:bCs/>
                <w:szCs w:val="21"/>
              </w:rPr>
              <w:t>措施</w:t>
            </w:r>
          </w:p>
        </w:tc>
        <w:tc>
          <w:tcPr>
            <w:tcW w:w="9064" w:type="dxa"/>
            <w:vAlign w:val="center"/>
          </w:tcPr>
          <w:p w14:paraId="21A447CD">
            <w:pPr>
              <w:widowControl/>
              <w:shd w:val="clear" w:color="auto" w:fill="FFFFFF"/>
              <w:spacing w:line="360" w:lineRule="auto"/>
              <w:ind w:firstLine="454" w:firstLineChars="200"/>
              <w:jc w:val="left"/>
              <w:rPr>
                <w:b/>
                <w:bCs/>
                <w:spacing w:val="8"/>
                <w:kern w:val="0"/>
                <w:szCs w:val="21"/>
              </w:rPr>
            </w:pPr>
            <w:r>
              <w:rPr>
                <w:b/>
                <w:bCs/>
                <w:spacing w:val="8"/>
                <w:kern w:val="0"/>
                <w:szCs w:val="21"/>
              </w:rPr>
              <w:t>（5）大气污染源监测计划</w:t>
            </w:r>
          </w:p>
          <w:p w14:paraId="7873BD1C">
            <w:pPr>
              <w:widowControl/>
              <w:shd w:val="clear" w:color="auto" w:fill="FFFFFF"/>
              <w:spacing w:line="360" w:lineRule="auto"/>
              <w:ind w:firstLine="452" w:firstLineChars="200"/>
              <w:jc w:val="left"/>
              <w:rPr>
                <w:spacing w:val="8"/>
                <w:kern w:val="0"/>
                <w:szCs w:val="21"/>
              </w:rPr>
            </w:pPr>
            <w:r>
              <w:rPr>
                <w:spacing w:val="8"/>
                <w:kern w:val="0"/>
                <w:szCs w:val="21"/>
              </w:rPr>
              <w:t>企业应按照《排污单位自行监测技术指南 总则》（HJ819-2017）相关要求，开展大气污染源监测，大气污染源监测计划见下表。</w:t>
            </w:r>
          </w:p>
          <w:p w14:paraId="25FF15EB">
            <w:pPr>
              <w:adjustRightInd w:val="0"/>
              <w:snapToGrid w:val="0"/>
              <w:jc w:val="center"/>
              <w:rPr>
                <w:spacing w:val="8"/>
                <w:kern w:val="0"/>
                <w:szCs w:val="21"/>
              </w:rPr>
            </w:pPr>
            <w:r>
              <w:rPr>
                <w:b/>
                <w:bCs/>
                <w:spacing w:val="6"/>
                <w:szCs w:val="21"/>
                <w:shd w:val="clear" w:color="auto" w:fill="FFFFFF"/>
              </w:rPr>
              <w:t>表4-</w:t>
            </w:r>
            <w:r>
              <w:rPr>
                <w:rFonts w:hint="eastAsia"/>
                <w:b/>
                <w:bCs/>
                <w:spacing w:val="6"/>
                <w:szCs w:val="21"/>
                <w:shd w:val="clear" w:color="auto" w:fill="FFFFFF"/>
              </w:rPr>
              <w:t xml:space="preserve">8 </w:t>
            </w:r>
            <w:r>
              <w:rPr>
                <w:b/>
                <w:bCs/>
                <w:spacing w:val="6"/>
                <w:szCs w:val="21"/>
                <w:shd w:val="clear" w:color="auto" w:fill="FFFFFF"/>
              </w:rPr>
              <w:t>大气污染源监测计划</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1"/>
              <w:gridCol w:w="905"/>
              <w:gridCol w:w="827"/>
              <w:gridCol w:w="1951"/>
              <w:gridCol w:w="1360"/>
              <w:gridCol w:w="3144"/>
            </w:tblGrid>
            <w:tr w14:paraId="5A0D71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57" w:type="pct"/>
                  <w:vAlign w:val="center"/>
                </w:tcPr>
                <w:p w14:paraId="45F8B1C3">
                  <w:pPr>
                    <w:pStyle w:val="109"/>
                    <w:adjustRightInd w:val="0"/>
                    <w:snapToGrid w:val="0"/>
                    <w:ind w:firstLine="0" w:firstLineChars="0"/>
                    <w:jc w:val="center"/>
                    <w:rPr>
                      <w:rFonts w:eastAsia="宋体" w:cs="Times New Roman"/>
                      <w:b/>
                      <w:bCs/>
                      <w:sz w:val="18"/>
                      <w:szCs w:val="18"/>
                    </w:rPr>
                  </w:pPr>
                  <w:r>
                    <w:rPr>
                      <w:rFonts w:eastAsia="宋体" w:cs="Times New Roman"/>
                      <w:b/>
                      <w:bCs/>
                      <w:sz w:val="18"/>
                      <w:szCs w:val="18"/>
                    </w:rPr>
                    <w:t>类别</w:t>
                  </w:r>
                </w:p>
              </w:tc>
              <w:tc>
                <w:tcPr>
                  <w:tcW w:w="982" w:type="pct"/>
                  <w:gridSpan w:val="2"/>
                  <w:vAlign w:val="center"/>
                </w:tcPr>
                <w:p w14:paraId="70C85410">
                  <w:pPr>
                    <w:pStyle w:val="109"/>
                    <w:adjustRightInd w:val="0"/>
                    <w:snapToGrid w:val="0"/>
                    <w:ind w:firstLine="0" w:firstLineChars="0"/>
                    <w:jc w:val="center"/>
                    <w:rPr>
                      <w:rFonts w:eastAsia="宋体" w:cs="Times New Roman"/>
                      <w:b/>
                      <w:bCs/>
                      <w:sz w:val="18"/>
                      <w:szCs w:val="18"/>
                    </w:rPr>
                  </w:pPr>
                  <w:r>
                    <w:rPr>
                      <w:rFonts w:eastAsia="宋体" w:cs="Times New Roman"/>
                      <w:b/>
                      <w:bCs/>
                      <w:sz w:val="18"/>
                      <w:szCs w:val="18"/>
                    </w:rPr>
                    <w:t>监测位置</w:t>
                  </w:r>
                </w:p>
              </w:tc>
              <w:tc>
                <w:tcPr>
                  <w:tcW w:w="1106" w:type="pct"/>
                  <w:vAlign w:val="center"/>
                </w:tcPr>
                <w:p w14:paraId="504DDBED">
                  <w:pPr>
                    <w:pStyle w:val="109"/>
                    <w:adjustRightInd w:val="0"/>
                    <w:snapToGrid w:val="0"/>
                    <w:ind w:firstLine="0" w:firstLineChars="0"/>
                    <w:jc w:val="center"/>
                    <w:rPr>
                      <w:rFonts w:eastAsia="宋体" w:cs="Times New Roman"/>
                      <w:b/>
                      <w:bCs/>
                      <w:sz w:val="18"/>
                      <w:szCs w:val="18"/>
                    </w:rPr>
                  </w:pPr>
                  <w:r>
                    <w:rPr>
                      <w:rFonts w:eastAsia="宋体" w:cs="Times New Roman"/>
                      <w:b/>
                      <w:bCs/>
                      <w:sz w:val="18"/>
                      <w:szCs w:val="18"/>
                    </w:rPr>
                    <w:t>监测项目</w:t>
                  </w:r>
                </w:p>
              </w:tc>
              <w:tc>
                <w:tcPr>
                  <w:tcW w:w="771" w:type="pct"/>
                  <w:vAlign w:val="center"/>
                </w:tcPr>
                <w:p w14:paraId="55FB0583">
                  <w:pPr>
                    <w:pStyle w:val="109"/>
                    <w:adjustRightInd w:val="0"/>
                    <w:snapToGrid w:val="0"/>
                    <w:ind w:firstLine="0" w:firstLineChars="0"/>
                    <w:jc w:val="center"/>
                    <w:rPr>
                      <w:rFonts w:eastAsia="宋体" w:cs="Times New Roman"/>
                      <w:b/>
                      <w:bCs/>
                      <w:sz w:val="18"/>
                      <w:szCs w:val="18"/>
                    </w:rPr>
                  </w:pPr>
                  <w:r>
                    <w:rPr>
                      <w:rFonts w:eastAsia="宋体" w:cs="Times New Roman"/>
                      <w:b/>
                      <w:bCs/>
                      <w:sz w:val="18"/>
                      <w:szCs w:val="18"/>
                    </w:rPr>
                    <w:t>监测频次</w:t>
                  </w:r>
                </w:p>
              </w:tc>
              <w:tc>
                <w:tcPr>
                  <w:tcW w:w="1782" w:type="pct"/>
                  <w:vAlign w:val="center"/>
                </w:tcPr>
                <w:p w14:paraId="1A0F5A71">
                  <w:pPr>
                    <w:pStyle w:val="109"/>
                    <w:adjustRightInd w:val="0"/>
                    <w:snapToGrid w:val="0"/>
                    <w:ind w:firstLine="0" w:firstLineChars="0"/>
                    <w:jc w:val="center"/>
                    <w:rPr>
                      <w:rFonts w:eastAsia="宋体" w:cs="Times New Roman"/>
                      <w:b/>
                      <w:bCs/>
                      <w:sz w:val="18"/>
                      <w:szCs w:val="18"/>
                    </w:rPr>
                  </w:pPr>
                  <w:r>
                    <w:rPr>
                      <w:rFonts w:eastAsia="宋体" w:cs="Times New Roman"/>
                      <w:b/>
                      <w:bCs/>
                      <w:sz w:val="18"/>
                      <w:szCs w:val="18"/>
                    </w:rPr>
                    <w:t>执行排放标准</w:t>
                  </w:r>
                </w:p>
              </w:tc>
            </w:tr>
            <w:tr w14:paraId="5889CB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357" w:type="pct"/>
                  <w:vMerge w:val="restart"/>
                  <w:vAlign w:val="center"/>
                </w:tcPr>
                <w:p w14:paraId="50C61ECB">
                  <w:pPr>
                    <w:pStyle w:val="53"/>
                    <w:rPr>
                      <w:sz w:val="18"/>
                      <w:szCs w:val="18"/>
                    </w:rPr>
                  </w:pPr>
                  <w:r>
                    <w:rPr>
                      <w:sz w:val="18"/>
                      <w:szCs w:val="18"/>
                    </w:rPr>
                    <w:t>废气</w:t>
                  </w:r>
                </w:p>
              </w:tc>
              <w:tc>
                <w:tcPr>
                  <w:tcW w:w="513" w:type="pct"/>
                  <w:vMerge w:val="restart"/>
                  <w:vAlign w:val="center"/>
                </w:tcPr>
                <w:p w14:paraId="5B983FAA">
                  <w:pPr>
                    <w:pStyle w:val="53"/>
                    <w:rPr>
                      <w:sz w:val="18"/>
                      <w:szCs w:val="18"/>
                    </w:rPr>
                  </w:pPr>
                  <w:r>
                    <w:rPr>
                      <w:sz w:val="18"/>
                      <w:szCs w:val="18"/>
                    </w:rPr>
                    <w:t>有组织</w:t>
                  </w:r>
                </w:p>
              </w:tc>
              <w:tc>
                <w:tcPr>
                  <w:tcW w:w="468" w:type="pct"/>
                  <w:vMerge w:val="restart"/>
                  <w:vAlign w:val="center"/>
                </w:tcPr>
                <w:p w14:paraId="7ACF4880">
                  <w:pPr>
                    <w:pStyle w:val="53"/>
                    <w:rPr>
                      <w:sz w:val="18"/>
                      <w:szCs w:val="18"/>
                    </w:rPr>
                  </w:pPr>
                  <w:r>
                    <w:rPr>
                      <w:sz w:val="18"/>
                      <w:szCs w:val="18"/>
                    </w:rPr>
                    <w:t>DA001</w:t>
                  </w:r>
                </w:p>
              </w:tc>
              <w:tc>
                <w:tcPr>
                  <w:tcW w:w="1106" w:type="pct"/>
                  <w:vAlign w:val="center"/>
                </w:tcPr>
                <w:p w14:paraId="7D1D5E57">
                  <w:pPr>
                    <w:pStyle w:val="109"/>
                    <w:adjustRightInd w:val="0"/>
                    <w:snapToGrid w:val="0"/>
                    <w:ind w:firstLine="0" w:firstLineChars="0"/>
                    <w:jc w:val="center"/>
                    <w:rPr>
                      <w:rFonts w:hint="eastAsia" w:eastAsia="宋体" w:cs="Times New Roman"/>
                      <w:color w:val="0000FF"/>
                      <w:sz w:val="18"/>
                      <w:szCs w:val="18"/>
                      <w:lang w:eastAsia="zh-CN"/>
                    </w:rPr>
                  </w:pPr>
                  <w:r>
                    <w:rPr>
                      <w:rFonts w:eastAsia="宋体" w:cs="Times New Roman"/>
                      <w:color w:val="0000FF"/>
                      <w:sz w:val="18"/>
                      <w:szCs w:val="18"/>
                    </w:rPr>
                    <w:t>臭气浓度</w:t>
                  </w:r>
                  <w:r>
                    <w:rPr>
                      <w:rFonts w:hint="eastAsia" w:eastAsia="宋体" w:cs="Times New Roman"/>
                      <w:color w:val="0000FF"/>
                      <w:sz w:val="18"/>
                      <w:szCs w:val="18"/>
                    </w:rPr>
                    <w:t>、氨</w:t>
                  </w:r>
                  <w:r>
                    <w:rPr>
                      <w:rFonts w:hint="eastAsia" w:eastAsia="宋体" w:cs="Times New Roman"/>
                      <w:color w:val="0000FF"/>
                      <w:sz w:val="18"/>
                      <w:szCs w:val="18"/>
                      <w:lang w:eastAsia="zh-CN"/>
                    </w:rPr>
                    <w:t>、</w:t>
                  </w:r>
                  <w:r>
                    <w:rPr>
                      <w:rFonts w:hint="eastAsia" w:eastAsia="宋体" w:cs="Times New Roman"/>
                      <w:color w:val="0000FF"/>
                      <w:sz w:val="18"/>
                      <w:szCs w:val="18"/>
                      <w:lang w:val="en-US" w:eastAsia="zh-CN"/>
                    </w:rPr>
                    <w:t>苯乙烯</w:t>
                  </w:r>
                </w:p>
              </w:tc>
              <w:tc>
                <w:tcPr>
                  <w:tcW w:w="771" w:type="pct"/>
                  <w:vAlign w:val="center"/>
                </w:tcPr>
                <w:p w14:paraId="6AB93BF2">
                  <w:pPr>
                    <w:adjustRightInd w:val="0"/>
                    <w:snapToGrid w:val="0"/>
                    <w:jc w:val="center"/>
                    <w:rPr>
                      <w:sz w:val="18"/>
                      <w:szCs w:val="18"/>
                    </w:rPr>
                  </w:pPr>
                  <w:r>
                    <w:rPr>
                      <w:sz w:val="18"/>
                      <w:szCs w:val="18"/>
                    </w:rPr>
                    <w:t>一年一次</w:t>
                  </w:r>
                </w:p>
              </w:tc>
              <w:tc>
                <w:tcPr>
                  <w:tcW w:w="1782" w:type="pct"/>
                  <w:vAlign w:val="center"/>
                </w:tcPr>
                <w:p w14:paraId="5F3D94FE">
                  <w:pPr>
                    <w:pStyle w:val="109"/>
                    <w:adjustRightInd w:val="0"/>
                    <w:snapToGrid w:val="0"/>
                    <w:ind w:firstLine="0" w:firstLineChars="0"/>
                    <w:jc w:val="center"/>
                    <w:rPr>
                      <w:rFonts w:eastAsia="宋体" w:cs="Times New Roman"/>
                      <w:sz w:val="18"/>
                      <w:szCs w:val="18"/>
                    </w:rPr>
                  </w:pPr>
                  <w:r>
                    <w:rPr>
                      <w:rFonts w:eastAsia="宋体" w:cs="Times New Roman"/>
                      <w:sz w:val="18"/>
                      <w:szCs w:val="18"/>
                    </w:rPr>
                    <w:t>《恶臭污染物排放标准》（GB</w:t>
                  </w:r>
                  <w:r>
                    <w:rPr>
                      <w:rFonts w:hint="eastAsia" w:eastAsia="宋体" w:cs="Times New Roman"/>
                      <w:sz w:val="18"/>
                      <w:szCs w:val="18"/>
                    </w:rPr>
                    <w:t>14554</w:t>
                  </w:r>
                  <w:r>
                    <w:rPr>
                      <w:rFonts w:eastAsia="宋体" w:cs="Times New Roman"/>
                      <w:sz w:val="18"/>
                      <w:szCs w:val="18"/>
                    </w:rPr>
                    <w:t>-93）表2标准</w:t>
                  </w:r>
                </w:p>
              </w:tc>
            </w:tr>
            <w:tr w14:paraId="0AB962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357" w:type="pct"/>
                  <w:vMerge w:val="continue"/>
                  <w:vAlign w:val="center"/>
                </w:tcPr>
                <w:p w14:paraId="66CA5BBE">
                  <w:pPr>
                    <w:pStyle w:val="53"/>
                    <w:rPr>
                      <w:sz w:val="18"/>
                      <w:szCs w:val="18"/>
                    </w:rPr>
                  </w:pPr>
                </w:p>
              </w:tc>
              <w:tc>
                <w:tcPr>
                  <w:tcW w:w="513" w:type="pct"/>
                  <w:vMerge w:val="continue"/>
                  <w:vAlign w:val="center"/>
                </w:tcPr>
                <w:p w14:paraId="7BAA62BC">
                  <w:pPr>
                    <w:pStyle w:val="53"/>
                    <w:rPr>
                      <w:sz w:val="18"/>
                      <w:szCs w:val="18"/>
                    </w:rPr>
                  </w:pPr>
                </w:p>
              </w:tc>
              <w:tc>
                <w:tcPr>
                  <w:tcW w:w="468" w:type="pct"/>
                  <w:vMerge w:val="continue"/>
                  <w:vAlign w:val="center"/>
                </w:tcPr>
                <w:p w14:paraId="51E8DF9E">
                  <w:pPr>
                    <w:pStyle w:val="53"/>
                    <w:rPr>
                      <w:sz w:val="18"/>
                      <w:szCs w:val="18"/>
                    </w:rPr>
                  </w:pPr>
                </w:p>
              </w:tc>
              <w:tc>
                <w:tcPr>
                  <w:tcW w:w="1106" w:type="pct"/>
                  <w:vAlign w:val="center"/>
                </w:tcPr>
                <w:p w14:paraId="1232E994">
                  <w:pPr>
                    <w:pStyle w:val="109"/>
                    <w:adjustRightInd w:val="0"/>
                    <w:snapToGrid w:val="0"/>
                    <w:ind w:firstLine="0" w:firstLineChars="0"/>
                    <w:jc w:val="center"/>
                    <w:rPr>
                      <w:rFonts w:eastAsia="宋体" w:cs="Times New Roman"/>
                      <w:color w:val="0000FF"/>
                      <w:sz w:val="18"/>
                      <w:szCs w:val="18"/>
                    </w:rPr>
                  </w:pPr>
                  <w:r>
                    <w:rPr>
                      <w:rFonts w:hint="default" w:ascii="Times New Roman" w:hAnsi="Times New Roman" w:eastAsia="宋体" w:cs="Times New Roman"/>
                      <w:color w:val="0000FF"/>
                      <w:sz w:val="18"/>
                      <w:szCs w:val="18"/>
                      <w:lang w:val="en-US" w:eastAsia="zh-CN"/>
                    </w:rPr>
                    <w:t>乙腈</w:t>
                  </w:r>
                </w:p>
              </w:tc>
              <w:tc>
                <w:tcPr>
                  <w:tcW w:w="771" w:type="pct"/>
                  <w:vAlign w:val="center"/>
                </w:tcPr>
                <w:p w14:paraId="0A8E42BC">
                  <w:pPr>
                    <w:adjustRightInd w:val="0"/>
                    <w:snapToGrid w:val="0"/>
                    <w:jc w:val="center"/>
                    <w:rPr>
                      <w:sz w:val="18"/>
                      <w:szCs w:val="18"/>
                    </w:rPr>
                  </w:pPr>
                  <w:r>
                    <w:rPr>
                      <w:sz w:val="18"/>
                      <w:szCs w:val="18"/>
                    </w:rPr>
                    <w:t>一年一次</w:t>
                  </w:r>
                </w:p>
              </w:tc>
              <w:tc>
                <w:tcPr>
                  <w:tcW w:w="1782" w:type="pct"/>
                  <w:vAlign w:val="center"/>
                </w:tcPr>
                <w:p w14:paraId="07A959CF">
                  <w:pPr>
                    <w:pStyle w:val="109"/>
                    <w:adjustRightInd w:val="0"/>
                    <w:snapToGrid w:val="0"/>
                    <w:ind w:firstLine="0" w:firstLineChars="0"/>
                    <w:jc w:val="center"/>
                    <w:rPr>
                      <w:rFonts w:eastAsia="宋体" w:cs="Times New Roman"/>
                      <w:sz w:val="18"/>
                      <w:szCs w:val="18"/>
                    </w:rPr>
                  </w:pPr>
                  <w:r>
                    <w:rPr>
                      <w:rFonts w:hint="default" w:eastAsia="宋体" w:cs="Times New Roman"/>
                      <w:sz w:val="18"/>
                      <w:szCs w:val="18"/>
                      <w:lang w:val="en-US" w:eastAsia="zh-CN"/>
                    </w:rPr>
                    <w:t>《化学工业挥发性有机物排放标准》（DB32/3151-2016）</w:t>
                  </w:r>
                </w:p>
              </w:tc>
            </w:tr>
            <w:tr w14:paraId="0886DF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357" w:type="pct"/>
                  <w:vMerge w:val="continue"/>
                  <w:vAlign w:val="center"/>
                </w:tcPr>
                <w:p w14:paraId="706B6907">
                  <w:pPr>
                    <w:pStyle w:val="53"/>
                    <w:rPr>
                      <w:sz w:val="18"/>
                      <w:szCs w:val="18"/>
                    </w:rPr>
                  </w:pPr>
                </w:p>
              </w:tc>
              <w:tc>
                <w:tcPr>
                  <w:tcW w:w="513" w:type="pct"/>
                  <w:vMerge w:val="continue"/>
                  <w:vAlign w:val="center"/>
                </w:tcPr>
                <w:p w14:paraId="423539AD">
                  <w:pPr>
                    <w:pStyle w:val="53"/>
                    <w:rPr>
                      <w:sz w:val="18"/>
                      <w:szCs w:val="18"/>
                    </w:rPr>
                  </w:pPr>
                </w:p>
              </w:tc>
              <w:tc>
                <w:tcPr>
                  <w:tcW w:w="468" w:type="pct"/>
                  <w:vMerge w:val="continue"/>
                  <w:vAlign w:val="center"/>
                </w:tcPr>
                <w:p w14:paraId="0EF269DB">
                  <w:pPr>
                    <w:pStyle w:val="53"/>
                    <w:rPr>
                      <w:sz w:val="18"/>
                      <w:szCs w:val="18"/>
                    </w:rPr>
                  </w:pPr>
                </w:p>
              </w:tc>
              <w:tc>
                <w:tcPr>
                  <w:tcW w:w="1106" w:type="pct"/>
                  <w:vAlign w:val="center"/>
                </w:tcPr>
                <w:p w14:paraId="04D3BF65">
                  <w:pPr>
                    <w:pStyle w:val="109"/>
                    <w:adjustRightInd w:val="0"/>
                    <w:snapToGrid w:val="0"/>
                    <w:ind w:firstLine="0" w:firstLineChars="0"/>
                    <w:jc w:val="center"/>
                    <w:rPr>
                      <w:rFonts w:eastAsia="宋体" w:cs="Times New Roman"/>
                      <w:color w:val="0000FF"/>
                      <w:sz w:val="18"/>
                      <w:szCs w:val="18"/>
                    </w:rPr>
                  </w:pPr>
                  <w:r>
                    <w:rPr>
                      <w:rFonts w:hint="default" w:eastAsia="宋体" w:cs="Times New Roman"/>
                      <w:color w:val="0000FF"/>
                      <w:sz w:val="18"/>
                      <w:szCs w:val="18"/>
                      <w:lang w:val="en-US" w:eastAsia="zh-CN"/>
                    </w:rPr>
                    <w:t>苯系物、氮氧化物、</w:t>
                  </w:r>
                  <w:r>
                    <w:rPr>
                      <w:rFonts w:hint="default" w:eastAsia="宋体" w:cs="Times New Roman"/>
                      <w:color w:val="0000FF"/>
                      <w:sz w:val="18"/>
                      <w:szCs w:val="18"/>
                    </w:rPr>
                    <w:t>非甲烷总烃、二甲苯、</w:t>
                  </w:r>
                  <w:r>
                    <w:rPr>
                      <w:rFonts w:hint="default" w:eastAsia="宋体" w:cs="Times New Roman"/>
                      <w:color w:val="0000FF"/>
                      <w:sz w:val="18"/>
                      <w:szCs w:val="18"/>
                      <w:lang w:val="en-US" w:eastAsia="zh-CN"/>
                    </w:rPr>
                    <w:t>氯化氢、硫酸雾</w:t>
                  </w:r>
                  <w:r>
                    <w:rPr>
                      <w:rFonts w:hint="default" w:eastAsia="宋体" w:cs="Times New Roman"/>
                      <w:color w:val="0000FF"/>
                      <w:sz w:val="18"/>
                      <w:szCs w:val="18"/>
                      <w:lang w:eastAsia="zh-CN"/>
                    </w:rPr>
                    <w:t>、</w:t>
                  </w:r>
                  <w:r>
                    <w:rPr>
                      <w:rFonts w:hint="default" w:eastAsia="宋体" w:cs="Times New Roman"/>
                      <w:color w:val="0000FF"/>
                      <w:sz w:val="18"/>
                      <w:szCs w:val="18"/>
                      <w:lang w:val="en-US" w:eastAsia="zh-CN"/>
                    </w:rPr>
                    <w:t>氯苯类、苯胺类、酚类、</w:t>
                  </w:r>
                  <w:r>
                    <w:rPr>
                      <w:rFonts w:hint="default" w:eastAsia="宋体" w:cs="Times New Roman"/>
                      <w:color w:val="0000FF"/>
                      <w:sz w:val="18"/>
                      <w:szCs w:val="18"/>
                    </w:rPr>
                    <w:t>甲醇</w:t>
                  </w:r>
                </w:p>
              </w:tc>
              <w:tc>
                <w:tcPr>
                  <w:tcW w:w="771" w:type="pct"/>
                  <w:vAlign w:val="center"/>
                </w:tcPr>
                <w:p w14:paraId="4A622815">
                  <w:pPr>
                    <w:adjustRightInd w:val="0"/>
                    <w:snapToGrid w:val="0"/>
                    <w:jc w:val="center"/>
                    <w:rPr>
                      <w:sz w:val="18"/>
                      <w:szCs w:val="18"/>
                    </w:rPr>
                  </w:pPr>
                  <w:r>
                    <w:rPr>
                      <w:sz w:val="18"/>
                      <w:szCs w:val="18"/>
                    </w:rPr>
                    <w:t>一年一次</w:t>
                  </w:r>
                </w:p>
              </w:tc>
              <w:tc>
                <w:tcPr>
                  <w:tcW w:w="1782" w:type="pct"/>
                  <w:vAlign w:val="center"/>
                </w:tcPr>
                <w:p w14:paraId="32A895C8">
                  <w:pPr>
                    <w:pStyle w:val="109"/>
                    <w:adjustRightInd w:val="0"/>
                    <w:snapToGrid w:val="0"/>
                    <w:ind w:firstLine="0" w:firstLineChars="0"/>
                    <w:jc w:val="center"/>
                    <w:rPr>
                      <w:rFonts w:eastAsia="宋体" w:cs="Times New Roman"/>
                      <w:sz w:val="18"/>
                      <w:szCs w:val="18"/>
                    </w:rPr>
                  </w:pPr>
                  <w:r>
                    <w:rPr>
                      <w:rFonts w:eastAsia="宋体" w:cs="Times New Roman"/>
                      <w:sz w:val="18"/>
                      <w:szCs w:val="18"/>
                    </w:rPr>
                    <w:t>《大气污染物综合排放标准》（DB32/4041-2021）</w:t>
                  </w:r>
                </w:p>
              </w:tc>
            </w:tr>
            <w:tr w14:paraId="4A5CAA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57" w:type="pct"/>
                  <w:vMerge w:val="continue"/>
                  <w:vAlign w:val="center"/>
                </w:tcPr>
                <w:p w14:paraId="393B8336">
                  <w:pPr>
                    <w:pStyle w:val="53"/>
                    <w:rPr>
                      <w:sz w:val="18"/>
                      <w:szCs w:val="18"/>
                    </w:rPr>
                  </w:pPr>
                </w:p>
              </w:tc>
              <w:tc>
                <w:tcPr>
                  <w:tcW w:w="513" w:type="pct"/>
                  <w:vMerge w:val="continue"/>
                  <w:vAlign w:val="center"/>
                </w:tcPr>
                <w:p w14:paraId="3B2577AC">
                  <w:pPr>
                    <w:pStyle w:val="53"/>
                    <w:rPr>
                      <w:sz w:val="18"/>
                      <w:szCs w:val="18"/>
                    </w:rPr>
                  </w:pPr>
                </w:p>
              </w:tc>
              <w:tc>
                <w:tcPr>
                  <w:tcW w:w="468" w:type="pct"/>
                  <w:vAlign w:val="center"/>
                </w:tcPr>
                <w:p w14:paraId="276CDF26">
                  <w:pPr>
                    <w:pStyle w:val="53"/>
                    <w:rPr>
                      <w:sz w:val="18"/>
                      <w:szCs w:val="18"/>
                    </w:rPr>
                  </w:pPr>
                  <w:r>
                    <w:rPr>
                      <w:rFonts w:hint="eastAsia"/>
                      <w:sz w:val="18"/>
                      <w:szCs w:val="18"/>
                    </w:rPr>
                    <w:t>DA002</w:t>
                  </w:r>
                </w:p>
              </w:tc>
              <w:tc>
                <w:tcPr>
                  <w:tcW w:w="1106" w:type="pct"/>
                  <w:vAlign w:val="center"/>
                </w:tcPr>
                <w:p w14:paraId="16B96A3B">
                  <w:pPr>
                    <w:pStyle w:val="109"/>
                    <w:adjustRightInd w:val="0"/>
                    <w:snapToGrid w:val="0"/>
                    <w:ind w:firstLine="0" w:firstLineChars="0"/>
                    <w:jc w:val="center"/>
                    <w:rPr>
                      <w:rFonts w:eastAsia="宋体" w:cs="Times New Roman"/>
                      <w:sz w:val="18"/>
                      <w:szCs w:val="18"/>
                    </w:rPr>
                  </w:pPr>
                  <w:r>
                    <w:rPr>
                      <w:rFonts w:eastAsia="宋体" w:cs="Times New Roman"/>
                      <w:sz w:val="18"/>
                      <w:szCs w:val="18"/>
                    </w:rPr>
                    <w:t>非甲烷总烃</w:t>
                  </w:r>
                </w:p>
              </w:tc>
              <w:tc>
                <w:tcPr>
                  <w:tcW w:w="771" w:type="pct"/>
                  <w:vAlign w:val="center"/>
                </w:tcPr>
                <w:p w14:paraId="622D2077">
                  <w:pPr>
                    <w:adjustRightInd w:val="0"/>
                    <w:snapToGrid w:val="0"/>
                    <w:jc w:val="center"/>
                    <w:rPr>
                      <w:sz w:val="18"/>
                      <w:szCs w:val="18"/>
                    </w:rPr>
                  </w:pPr>
                  <w:r>
                    <w:rPr>
                      <w:sz w:val="18"/>
                      <w:szCs w:val="18"/>
                    </w:rPr>
                    <w:t>一年一次</w:t>
                  </w:r>
                </w:p>
              </w:tc>
              <w:tc>
                <w:tcPr>
                  <w:tcW w:w="1782" w:type="pct"/>
                  <w:vAlign w:val="center"/>
                </w:tcPr>
                <w:p w14:paraId="7843568F">
                  <w:pPr>
                    <w:pStyle w:val="109"/>
                    <w:adjustRightInd w:val="0"/>
                    <w:snapToGrid w:val="0"/>
                    <w:ind w:firstLine="0" w:firstLineChars="0"/>
                    <w:jc w:val="center"/>
                    <w:rPr>
                      <w:rFonts w:eastAsia="宋体" w:cs="Times New Roman"/>
                      <w:sz w:val="18"/>
                      <w:szCs w:val="18"/>
                    </w:rPr>
                  </w:pPr>
                  <w:r>
                    <w:rPr>
                      <w:rFonts w:eastAsia="宋体" w:cs="Times New Roman"/>
                      <w:sz w:val="18"/>
                      <w:szCs w:val="18"/>
                    </w:rPr>
                    <w:t>《大气污染物综合排放标准》（DB32/4041-2021）</w:t>
                  </w:r>
                </w:p>
              </w:tc>
            </w:tr>
            <w:tr w14:paraId="00CBF2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3" w:hRule="atLeast"/>
                <w:jc w:val="center"/>
              </w:trPr>
              <w:tc>
                <w:tcPr>
                  <w:tcW w:w="357" w:type="pct"/>
                  <w:vMerge w:val="continue"/>
                  <w:vAlign w:val="center"/>
                </w:tcPr>
                <w:p w14:paraId="5FFD4939">
                  <w:pPr>
                    <w:pStyle w:val="53"/>
                    <w:rPr>
                      <w:sz w:val="18"/>
                      <w:szCs w:val="18"/>
                    </w:rPr>
                  </w:pPr>
                </w:p>
              </w:tc>
              <w:tc>
                <w:tcPr>
                  <w:tcW w:w="513" w:type="pct"/>
                  <w:vMerge w:val="restart"/>
                  <w:vAlign w:val="center"/>
                </w:tcPr>
                <w:p w14:paraId="12EEEAF9">
                  <w:pPr>
                    <w:pStyle w:val="53"/>
                    <w:rPr>
                      <w:sz w:val="18"/>
                      <w:szCs w:val="18"/>
                    </w:rPr>
                  </w:pPr>
                  <w:r>
                    <w:rPr>
                      <w:sz w:val="18"/>
                      <w:szCs w:val="18"/>
                    </w:rPr>
                    <w:t>无组织</w:t>
                  </w:r>
                </w:p>
              </w:tc>
              <w:tc>
                <w:tcPr>
                  <w:tcW w:w="468" w:type="pct"/>
                  <w:vMerge w:val="restart"/>
                  <w:vAlign w:val="center"/>
                </w:tcPr>
                <w:p w14:paraId="72B90F12">
                  <w:pPr>
                    <w:pStyle w:val="109"/>
                    <w:adjustRightInd w:val="0"/>
                    <w:snapToGrid w:val="0"/>
                    <w:ind w:firstLine="0" w:firstLineChars="0"/>
                    <w:jc w:val="center"/>
                    <w:rPr>
                      <w:rFonts w:eastAsia="宋体" w:cs="Times New Roman"/>
                      <w:sz w:val="18"/>
                      <w:szCs w:val="18"/>
                    </w:rPr>
                  </w:pPr>
                  <w:r>
                    <w:rPr>
                      <w:rFonts w:eastAsia="宋体" w:cs="Times New Roman"/>
                      <w:sz w:val="18"/>
                      <w:szCs w:val="18"/>
                    </w:rPr>
                    <w:t>厂界</w:t>
                  </w:r>
                </w:p>
              </w:tc>
              <w:tc>
                <w:tcPr>
                  <w:tcW w:w="1106" w:type="pct"/>
                  <w:vAlign w:val="center"/>
                </w:tcPr>
                <w:p w14:paraId="408423B8">
                  <w:pPr>
                    <w:pStyle w:val="109"/>
                    <w:adjustRightInd w:val="0"/>
                    <w:snapToGrid w:val="0"/>
                    <w:ind w:firstLine="0" w:firstLineChars="0"/>
                    <w:jc w:val="center"/>
                    <w:rPr>
                      <w:rFonts w:eastAsia="宋体" w:cs="Times New Roman"/>
                      <w:color w:val="0000FF"/>
                      <w:sz w:val="18"/>
                      <w:szCs w:val="18"/>
                    </w:rPr>
                  </w:pPr>
                  <w:r>
                    <w:rPr>
                      <w:rFonts w:hint="eastAsia" w:eastAsia="宋体" w:cs="Times New Roman"/>
                      <w:color w:val="0000FF"/>
                      <w:sz w:val="18"/>
                      <w:szCs w:val="18"/>
                      <w:lang w:val="en-US" w:eastAsia="zh-CN"/>
                    </w:rPr>
                    <w:t>苯系物、氮氧化物、</w:t>
                  </w:r>
                  <w:r>
                    <w:rPr>
                      <w:rFonts w:hint="eastAsia" w:eastAsia="宋体" w:cs="Times New Roman"/>
                      <w:color w:val="0000FF"/>
                      <w:sz w:val="18"/>
                      <w:szCs w:val="18"/>
                    </w:rPr>
                    <w:t>非甲烷总烃、二甲苯、</w:t>
                  </w:r>
                  <w:r>
                    <w:rPr>
                      <w:rFonts w:hint="eastAsia" w:eastAsia="宋体" w:cs="Times New Roman"/>
                      <w:color w:val="0000FF"/>
                      <w:sz w:val="18"/>
                      <w:szCs w:val="18"/>
                      <w:lang w:val="en-US" w:eastAsia="zh-CN"/>
                    </w:rPr>
                    <w:t>氯化氢、硫酸雾</w:t>
                  </w:r>
                  <w:r>
                    <w:rPr>
                      <w:rFonts w:hint="eastAsia" w:eastAsia="宋体" w:cs="Times New Roman"/>
                      <w:color w:val="0000FF"/>
                      <w:sz w:val="18"/>
                      <w:szCs w:val="18"/>
                      <w:lang w:eastAsia="zh-CN"/>
                    </w:rPr>
                    <w:t>、</w:t>
                  </w:r>
                  <w:r>
                    <w:rPr>
                      <w:rFonts w:hint="eastAsia" w:eastAsia="宋体" w:cs="Times New Roman"/>
                      <w:color w:val="0000FF"/>
                      <w:sz w:val="18"/>
                      <w:szCs w:val="18"/>
                      <w:lang w:val="en-US" w:eastAsia="zh-CN"/>
                    </w:rPr>
                    <w:t>氯苯类、苯胺类、酚类、</w:t>
                  </w:r>
                  <w:r>
                    <w:rPr>
                      <w:rFonts w:hint="eastAsia" w:eastAsia="宋体" w:cs="Times New Roman"/>
                      <w:color w:val="0000FF"/>
                      <w:sz w:val="18"/>
                      <w:szCs w:val="18"/>
                    </w:rPr>
                    <w:t>甲醇</w:t>
                  </w:r>
                </w:p>
              </w:tc>
              <w:tc>
                <w:tcPr>
                  <w:tcW w:w="771" w:type="pct"/>
                  <w:vAlign w:val="center"/>
                </w:tcPr>
                <w:p w14:paraId="285B1F30">
                  <w:pPr>
                    <w:adjustRightInd w:val="0"/>
                    <w:snapToGrid w:val="0"/>
                    <w:jc w:val="center"/>
                    <w:rPr>
                      <w:sz w:val="18"/>
                      <w:szCs w:val="18"/>
                    </w:rPr>
                  </w:pPr>
                  <w:r>
                    <w:rPr>
                      <w:sz w:val="18"/>
                      <w:szCs w:val="18"/>
                    </w:rPr>
                    <w:t>一年一次</w:t>
                  </w:r>
                </w:p>
              </w:tc>
              <w:tc>
                <w:tcPr>
                  <w:tcW w:w="1782" w:type="pct"/>
                  <w:vAlign w:val="center"/>
                </w:tcPr>
                <w:p w14:paraId="4AC84A01">
                  <w:pPr>
                    <w:pStyle w:val="109"/>
                    <w:adjustRightInd w:val="0"/>
                    <w:snapToGrid w:val="0"/>
                    <w:ind w:firstLine="0" w:firstLineChars="0"/>
                    <w:jc w:val="center"/>
                    <w:rPr>
                      <w:rFonts w:eastAsia="宋体" w:cs="Times New Roman"/>
                      <w:sz w:val="18"/>
                      <w:szCs w:val="18"/>
                    </w:rPr>
                  </w:pPr>
                  <w:r>
                    <w:rPr>
                      <w:rFonts w:eastAsia="宋体" w:cs="Times New Roman"/>
                      <w:sz w:val="18"/>
                      <w:szCs w:val="18"/>
                    </w:rPr>
                    <w:t>《大气污染物综合排放标准》（DB32/4041-2021）</w:t>
                  </w:r>
                </w:p>
              </w:tc>
            </w:tr>
            <w:tr w14:paraId="1E692A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7" w:type="pct"/>
                  <w:vMerge w:val="continue"/>
                  <w:vAlign w:val="center"/>
                </w:tcPr>
                <w:p w14:paraId="7CA3CA61">
                  <w:pPr>
                    <w:pStyle w:val="53"/>
                    <w:rPr>
                      <w:sz w:val="18"/>
                      <w:szCs w:val="18"/>
                    </w:rPr>
                  </w:pPr>
                </w:p>
              </w:tc>
              <w:tc>
                <w:tcPr>
                  <w:tcW w:w="513" w:type="pct"/>
                  <w:vMerge w:val="continue"/>
                  <w:vAlign w:val="center"/>
                </w:tcPr>
                <w:p w14:paraId="6333B22A">
                  <w:pPr>
                    <w:pStyle w:val="53"/>
                    <w:rPr>
                      <w:sz w:val="18"/>
                      <w:szCs w:val="18"/>
                    </w:rPr>
                  </w:pPr>
                </w:p>
              </w:tc>
              <w:tc>
                <w:tcPr>
                  <w:tcW w:w="468" w:type="pct"/>
                  <w:vMerge w:val="continue"/>
                  <w:vAlign w:val="center"/>
                </w:tcPr>
                <w:p w14:paraId="116EB1CE">
                  <w:pPr>
                    <w:pStyle w:val="109"/>
                    <w:adjustRightInd w:val="0"/>
                    <w:snapToGrid w:val="0"/>
                    <w:ind w:firstLine="0" w:firstLineChars="0"/>
                    <w:jc w:val="center"/>
                    <w:rPr>
                      <w:rFonts w:eastAsia="宋体" w:cs="Times New Roman"/>
                      <w:sz w:val="18"/>
                      <w:szCs w:val="18"/>
                    </w:rPr>
                  </w:pPr>
                </w:p>
              </w:tc>
              <w:tc>
                <w:tcPr>
                  <w:tcW w:w="1106" w:type="pct"/>
                  <w:shd w:val="clear"/>
                  <w:vAlign w:val="center"/>
                </w:tcPr>
                <w:p w14:paraId="0C9161E4">
                  <w:pPr>
                    <w:pStyle w:val="109"/>
                    <w:adjustRightInd w:val="0"/>
                    <w:snapToGrid w:val="0"/>
                    <w:ind w:firstLine="0" w:firstLineChars="0"/>
                    <w:jc w:val="center"/>
                    <w:rPr>
                      <w:rFonts w:hint="eastAsia" w:ascii="Times New Roman" w:hAnsi="Times New Roman" w:eastAsia="宋体" w:cs="Times New Roman"/>
                      <w:color w:val="0000FF"/>
                      <w:kern w:val="2"/>
                      <w:sz w:val="18"/>
                      <w:szCs w:val="18"/>
                      <w:lang w:val="en-US" w:eastAsia="zh-CN" w:bidi="ar-SA"/>
                    </w:rPr>
                  </w:pPr>
                  <w:r>
                    <w:rPr>
                      <w:rFonts w:hint="default" w:ascii="Times New Roman" w:hAnsi="Times New Roman" w:eastAsia="宋体" w:cs="Times New Roman"/>
                      <w:color w:val="0000FF"/>
                      <w:sz w:val="18"/>
                      <w:szCs w:val="18"/>
                      <w:lang w:val="en-US" w:eastAsia="zh-CN"/>
                    </w:rPr>
                    <w:t>乙腈</w:t>
                  </w:r>
                </w:p>
              </w:tc>
              <w:tc>
                <w:tcPr>
                  <w:tcW w:w="771" w:type="pct"/>
                  <w:shd w:val="clear"/>
                  <w:vAlign w:val="center"/>
                </w:tcPr>
                <w:p w14:paraId="347A7AF7">
                  <w:pPr>
                    <w:adjustRightInd w:val="0"/>
                    <w:snapToGrid w:val="0"/>
                    <w:jc w:val="center"/>
                    <w:rPr>
                      <w:rFonts w:ascii="Times New Roman" w:hAnsi="Times New Roman" w:eastAsia="宋体" w:cs="Times New Roman"/>
                      <w:kern w:val="2"/>
                      <w:sz w:val="18"/>
                      <w:szCs w:val="18"/>
                      <w:lang w:val="en-US" w:eastAsia="zh-CN" w:bidi="ar-SA"/>
                    </w:rPr>
                  </w:pPr>
                  <w:r>
                    <w:rPr>
                      <w:sz w:val="18"/>
                      <w:szCs w:val="18"/>
                    </w:rPr>
                    <w:t>一年一次</w:t>
                  </w:r>
                </w:p>
              </w:tc>
              <w:tc>
                <w:tcPr>
                  <w:tcW w:w="1782" w:type="pct"/>
                  <w:shd w:val="clear"/>
                  <w:vAlign w:val="center"/>
                </w:tcPr>
                <w:p w14:paraId="36704ED1">
                  <w:pPr>
                    <w:pStyle w:val="109"/>
                    <w:adjustRightInd w:val="0"/>
                    <w:snapToGrid w:val="0"/>
                    <w:ind w:firstLine="0" w:firstLineChars="0"/>
                    <w:jc w:val="center"/>
                    <w:rPr>
                      <w:rFonts w:ascii="Times New Roman" w:hAnsi="Times New Roman" w:eastAsia="宋体" w:cs="Times New Roman"/>
                      <w:kern w:val="2"/>
                      <w:sz w:val="18"/>
                      <w:szCs w:val="18"/>
                      <w:lang w:val="en-US" w:eastAsia="zh-CN" w:bidi="ar-SA"/>
                    </w:rPr>
                  </w:pPr>
                  <w:r>
                    <w:rPr>
                      <w:rFonts w:hint="default" w:eastAsia="宋体" w:cs="Times New Roman"/>
                      <w:sz w:val="18"/>
                      <w:szCs w:val="18"/>
                      <w:lang w:val="en-US" w:eastAsia="zh-CN"/>
                    </w:rPr>
                    <w:t>《化学工业挥发性有机物排放标准》（DB32/3151-2016）</w:t>
                  </w:r>
                </w:p>
              </w:tc>
            </w:tr>
            <w:tr w14:paraId="12DAB7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357" w:type="pct"/>
                  <w:vMerge w:val="continue"/>
                  <w:vAlign w:val="center"/>
                </w:tcPr>
                <w:p w14:paraId="70D56C59">
                  <w:pPr>
                    <w:pStyle w:val="53"/>
                    <w:rPr>
                      <w:sz w:val="18"/>
                      <w:szCs w:val="18"/>
                    </w:rPr>
                  </w:pPr>
                </w:p>
              </w:tc>
              <w:tc>
                <w:tcPr>
                  <w:tcW w:w="513" w:type="pct"/>
                  <w:vMerge w:val="continue"/>
                  <w:vAlign w:val="center"/>
                </w:tcPr>
                <w:p w14:paraId="65C55F6E">
                  <w:pPr>
                    <w:pStyle w:val="53"/>
                    <w:rPr>
                      <w:sz w:val="18"/>
                      <w:szCs w:val="18"/>
                    </w:rPr>
                  </w:pPr>
                </w:p>
              </w:tc>
              <w:tc>
                <w:tcPr>
                  <w:tcW w:w="468" w:type="pct"/>
                  <w:vMerge w:val="continue"/>
                  <w:vAlign w:val="center"/>
                </w:tcPr>
                <w:p w14:paraId="5FEADF21">
                  <w:pPr>
                    <w:pStyle w:val="109"/>
                    <w:adjustRightInd w:val="0"/>
                    <w:snapToGrid w:val="0"/>
                    <w:ind w:firstLine="0" w:firstLineChars="0"/>
                    <w:jc w:val="center"/>
                    <w:rPr>
                      <w:rFonts w:eastAsia="宋体" w:cs="Times New Roman"/>
                      <w:sz w:val="18"/>
                      <w:szCs w:val="18"/>
                    </w:rPr>
                  </w:pPr>
                </w:p>
              </w:tc>
              <w:tc>
                <w:tcPr>
                  <w:tcW w:w="1106" w:type="pct"/>
                  <w:vAlign w:val="center"/>
                </w:tcPr>
                <w:p w14:paraId="507EE72E">
                  <w:pPr>
                    <w:pStyle w:val="109"/>
                    <w:adjustRightInd w:val="0"/>
                    <w:snapToGrid w:val="0"/>
                    <w:ind w:firstLine="0" w:firstLineChars="0"/>
                    <w:jc w:val="center"/>
                    <w:rPr>
                      <w:rFonts w:hint="eastAsia" w:eastAsia="宋体" w:cs="Times New Roman"/>
                      <w:color w:val="0000FF"/>
                      <w:sz w:val="18"/>
                      <w:szCs w:val="18"/>
                      <w:lang w:eastAsia="zh-CN"/>
                    </w:rPr>
                  </w:pPr>
                  <w:r>
                    <w:rPr>
                      <w:rFonts w:eastAsia="宋体" w:cs="Times New Roman"/>
                      <w:color w:val="0000FF"/>
                      <w:sz w:val="18"/>
                      <w:szCs w:val="18"/>
                    </w:rPr>
                    <w:t>臭气浓度</w:t>
                  </w:r>
                  <w:r>
                    <w:rPr>
                      <w:rFonts w:hint="eastAsia" w:eastAsia="宋体" w:cs="Times New Roman"/>
                      <w:color w:val="0000FF"/>
                      <w:sz w:val="18"/>
                      <w:szCs w:val="18"/>
                    </w:rPr>
                    <w:t>、氨气</w:t>
                  </w:r>
                  <w:r>
                    <w:rPr>
                      <w:rFonts w:hint="eastAsia" w:eastAsia="宋体" w:cs="Times New Roman"/>
                      <w:color w:val="0000FF"/>
                      <w:sz w:val="18"/>
                      <w:szCs w:val="18"/>
                      <w:lang w:eastAsia="zh-CN"/>
                    </w:rPr>
                    <w:t>、</w:t>
                  </w:r>
                  <w:r>
                    <w:rPr>
                      <w:rFonts w:hint="eastAsia" w:eastAsia="宋体" w:cs="Times New Roman"/>
                      <w:color w:val="0000FF"/>
                      <w:sz w:val="18"/>
                      <w:szCs w:val="18"/>
                      <w:lang w:val="en-US" w:eastAsia="zh-CN"/>
                    </w:rPr>
                    <w:t>苯乙烯</w:t>
                  </w:r>
                </w:p>
              </w:tc>
              <w:tc>
                <w:tcPr>
                  <w:tcW w:w="771" w:type="pct"/>
                  <w:vAlign w:val="center"/>
                </w:tcPr>
                <w:p w14:paraId="2F77A2A8">
                  <w:pPr>
                    <w:adjustRightInd w:val="0"/>
                    <w:snapToGrid w:val="0"/>
                    <w:jc w:val="center"/>
                    <w:rPr>
                      <w:sz w:val="18"/>
                      <w:szCs w:val="18"/>
                    </w:rPr>
                  </w:pPr>
                  <w:r>
                    <w:rPr>
                      <w:sz w:val="18"/>
                      <w:szCs w:val="18"/>
                    </w:rPr>
                    <w:t>一年一次</w:t>
                  </w:r>
                </w:p>
              </w:tc>
              <w:tc>
                <w:tcPr>
                  <w:tcW w:w="1782" w:type="pct"/>
                  <w:vAlign w:val="center"/>
                </w:tcPr>
                <w:p w14:paraId="1BA7E3CC">
                  <w:pPr>
                    <w:pStyle w:val="109"/>
                    <w:adjustRightInd w:val="0"/>
                    <w:snapToGrid w:val="0"/>
                    <w:ind w:firstLine="0" w:firstLineChars="0"/>
                    <w:jc w:val="center"/>
                    <w:rPr>
                      <w:rFonts w:eastAsia="宋体" w:cs="Times New Roman"/>
                      <w:sz w:val="18"/>
                      <w:szCs w:val="18"/>
                    </w:rPr>
                  </w:pPr>
                  <w:r>
                    <w:rPr>
                      <w:rFonts w:eastAsia="宋体" w:cs="Times New Roman"/>
                      <w:sz w:val="18"/>
                      <w:szCs w:val="18"/>
                    </w:rPr>
                    <w:t>《恶臭污染物排放标准》（GB</w:t>
                  </w:r>
                  <w:r>
                    <w:rPr>
                      <w:rFonts w:hint="eastAsia" w:eastAsia="宋体" w:cs="Times New Roman"/>
                      <w:sz w:val="18"/>
                      <w:szCs w:val="18"/>
                    </w:rPr>
                    <w:t>14554</w:t>
                  </w:r>
                  <w:r>
                    <w:rPr>
                      <w:rFonts w:eastAsia="宋体" w:cs="Times New Roman"/>
                      <w:sz w:val="18"/>
                      <w:szCs w:val="18"/>
                    </w:rPr>
                    <w:t>-93）表1标准</w:t>
                  </w:r>
                </w:p>
              </w:tc>
            </w:tr>
            <w:tr w14:paraId="63AA32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357" w:type="pct"/>
                  <w:vMerge w:val="continue"/>
                  <w:vAlign w:val="center"/>
                </w:tcPr>
                <w:p w14:paraId="6BC3E0B2">
                  <w:pPr>
                    <w:pStyle w:val="53"/>
                    <w:rPr>
                      <w:sz w:val="18"/>
                      <w:szCs w:val="18"/>
                    </w:rPr>
                  </w:pPr>
                </w:p>
              </w:tc>
              <w:tc>
                <w:tcPr>
                  <w:tcW w:w="513" w:type="pct"/>
                  <w:vMerge w:val="continue"/>
                  <w:vAlign w:val="center"/>
                </w:tcPr>
                <w:p w14:paraId="54900FDD">
                  <w:pPr>
                    <w:pStyle w:val="53"/>
                    <w:rPr>
                      <w:sz w:val="18"/>
                      <w:szCs w:val="18"/>
                    </w:rPr>
                  </w:pPr>
                </w:p>
              </w:tc>
              <w:tc>
                <w:tcPr>
                  <w:tcW w:w="468" w:type="pct"/>
                  <w:vAlign w:val="center"/>
                </w:tcPr>
                <w:p w14:paraId="35BD6D39">
                  <w:pPr>
                    <w:pStyle w:val="53"/>
                    <w:rPr>
                      <w:sz w:val="18"/>
                      <w:szCs w:val="18"/>
                    </w:rPr>
                  </w:pPr>
                  <w:r>
                    <w:rPr>
                      <w:sz w:val="18"/>
                      <w:szCs w:val="18"/>
                    </w:rPr>
                    <w:t>厂区内</w:t>
                  </w:r>
                </w:p>
              </w:tc>
              <w:tc>
                <w:tcPr>
                  <w:tcW w:w="1106" w:type="pct"/>
                  <w:vAlign w:val="center"/>
                </w:tcPr>
                <w:p w14:paraId="3F13F8AD">
                  <w:pPr>
                    <w:pStyle w:val="109"/>
                    <w:adjustRightInd w:val="0"/>
                    <w:snapToGrid w:val="0"/>
                    <w:ind w:firstLine="0" w:firstLineChars="0"/>
                    <w:jc w:val="center"/>
                    <w:rPr>
                      <w:rFonts w:eastAsia="宋体" w:cs="Times New Roman"/>
                      <w:sz w:val="18"/>
                      <w:szCs w:val="18"/>
                    </w:rPr>
                  </w:pPr>
                  <w:r>
                    <w:rPr>
                      <w:rFonts w:eastAsia="宋体" w:cs="Times New Roman"/>
                      <w:sz w:val="18"/>
                      <w:szCs w:val="18"/>
                    </w:rPr>
                    <w:t>非甲烷总烃</w:t>
                  </w:r>
                </w:p>
              </w:tc>
              <w:tc>
                <w:tcPr>
                  <w:tcW w:w="771" w:type="pct"/>
                  <w:vAlign w:val="center"/>
                </w:tcPr>
                <w:p w14:paraId="7C37DDEF">
                  <w:pPr>
                    <w:pStyle w:val="109"/>
                    <w:adjustRightInd w:val="0"/>
                    <w:snapToGrid w:val="0"/>
                    <w:ind w:firstLine="0" w:firstLineChars="0"/>
                    <w:jc w:val="center"/>
                    <w:rPr>
                      <w:rFonts w:eastAsia="宋体" w:cs="Times New Roman"/>
                      <w:sz w:val="18"/>
                      <w:szCs w:val="18"/>
                    </w:rPr>
                  </w:pPr>
                  <w:r>
                    <w:rPr>
                      <w:rFonts w:eastAsia="宋体" w:cs="Times New Roman"/>
                      <w:sz w:val="18"/>
                      <w:szCs w:val="18"/>
                    </w:rPr>
                    <w:t>一年一次</w:t>
                  </w:r>
                </w:p>
              </w:tc>
              <w:tc>
                <w:tcPr>
                  <w:tcW w:w="1782" w:type="pct"/>
                  <w:vAlign w:val="center"/>
                </w:tcPr>
                <w:p w14:paraId="064A18E8">
                  <w:pPr>
                    <w:pStyle w:val="109"/>
                    <w:adjustRightInd w:val="0"/>
                    <w:snapToGrid w:val="0"/>
                    <w:ind w:firstLine="0" w:firstLineChars="0"/>
                    <w:jc w:val="center"/>
                    <w:rPr>
                      <w:rFonts w:eastAsia="宋体" w:cs="Times New Roman"/>
                      <w:sz w:val="18"/>
                      <w:szCs w:val="18"/>
                    </w:rPr>
                  </w:pPr>
                  <w:r>
                    <w:rPr>
                      <w:rFonts w:eastAsia="宋体" w:cs="Times New Roman"/>
                      <w:sz w:val="18"/>
                      <w:szCs w:val="18"/>
                    </w:rPr>
                    <w:t>《大气污染物综合排放标准》（DB32/4041-2021）</w:t>
                  </w:r>
                </w:p>
              </w:tc>
            </w:tr>
          </w:tbl>
          <w:p w14:paraId="1352F303">
            <w:pPr>
              <w:widowControl/>
              <w:shd w:val="clear" w:color="auto" w:fill="FFFFFF"/>
              <w:spacing w:before="240" w:line="360" w:lineRule="auto"/>
              <w:ind w:firstLine="454" w:firstLineChars="200"/>
              <w:jc w:val="left"/>
              <w:rPr>
                <w:b/>
                <w:bCs/>
                <w:spacing w:val="8"/>
                <w:kern w:val="0"/>
                <w:szCs w:val="21"/>
              </w:rPr>
            </w:pPr>
            <w:r>
              <w:rPr>
                <w:b/>
                <w:bCs/>
                <w:spacing w:val="8"/>
                <w:kern w:val="0"/>
                <w:szCs w:val="21"/>
              </w:rPr>
              <w:t>（6）废气污染治理设施可行性分析</w:t>
            </w:r>
          </w:p>
          <w:p w14:paraId="704182B1">
            <w:pPr>
              <w:widowControl/>
              <w:shd w:val="clear" w:color="auto" w:fill="FFFFFF"/>
              <w:spacing w:line="360" w:lineRule="auto"/>
              <w:ind w:firstLine="420" w:firstLineChars="200"/>
              <w:jc w:val="left"/>
              <w:rPr>
                <w:spacing w:val="8"/>
                <w:kern w:val="0"/>
                <w:szCs w:val="21"/>
              </w:rPr>
            </w:pPr>
            <w:r>
              <w:rPr>
                <w:szCs w:val="21"/>
              </w:rPr>
              <w:t>项目建成投产后，产生的废气为</w:t>
            </w:r>
            <w:r>
              <w:rPr>
                <w:rFonts w:hint="eastAsia"/>
                <w:szCs w:val="21"/>
              </w:rPr>
              <w:t>均质、均匀性初检、稳定性评估废气和危废仓库废气</w:t>
            </w:r>
            <w:r>
              <w:t>。</w:t>
            </w:r>
          </w:p>
          <w:p w14:paraId="1C3FC0E1">
            <w:pPr>
              <w:widowControl/>
              <w:shd w:val="clear" w:color="auto" w:fill="FFFFFF"/>
              <w:spacing w:line="360" w:lineRule="auto"/>
              <w:ind w:firstLine="420" w:firstLineChars="200"/>
              <w:jc w:val="left"/>
            </w:pPr>
            <w:r>
              <w:rPr>
                <w:rFonts w:hint="eastAsia"/>
              </w:rPr>
              <w:t>本项目根据研发及检测需要分别在通风橱或实验台上完成实验，通风橱采用抽风系统收集废气，实验台采用万向集气罩进行收集，本项目研发及检测过程中产生的各类废气均经收集+水喷淋+除雾器+二级活性炭吸附处置后通过15米高排气筒（DA001）排放，危废仓库废气经收集+活性炭吸附处置后通过15米高排气筒（DA002）排放。</w:t>
            </w:r>
          </w:p>
          <w:p w14:paraId="54D745E3">
            <w:pPr>
              <w:widowControl/>
              <w:jc w:val="center"/>
              <w:rPr>
                <w:rFonts w:hint="eastAsia" w:eastAsia="宋体"/>
                <w:kern w:val="0"/>
                <w:sz w:val="24"/>
                <w:lang w:eastAsia="zh-CN"/>
              </w:rPr>
            </w:pPr>
            <w:r>
              <w:rPr>
                <w:rFonts w:hint="eastAsia" w:eastAsia="宋体"/>
                <w:kern w:val="0"/>
                <w:sz w:val="24"/>
                <w:lang w:eastAsia="zh-CN"/>
              </w:rPr>
              <w:drawing>
                <wp:inline distT="0" distB="0" distL="114300" distR="114300">
                  <wp:extent cx="5330825" cy="1443990"/>
                  <wp:effectExtent l="0" t="0" r="3175" b="3810"/>
                  <wp:docPr id="8" name="图片 8" descr="废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废气"/>
                          <pic:cNvPicPr>
                            <a:picLocks noChangeAspect="1"/>
                          </pic:cNvPicPr>
                        </pic:nvPicPr>
                        <pic:blipFill>
                          <a:blip r:embed="rId11"/>
                          <a:stretch>
                            <a:fillRect/>
                          </a:stretch>
                        </pic:blipFill>
                        <pic:spPr>
                          <a:xfrm>
                            <a:off x="0" y="0"/>
                            <a:ext cx="5330825" cy="1443990"/>
                          </a:xfrm>
                          <a:prstGeom prst="rect">
                            <a:avLst/>
                          </a:prstGeom>
                        </pic:spPr>
                      </pic:pic>
                    </a:graphicData>
                  </a:graphic>
                </wp:inline>
              </w:drawing>
            </w:r>
          </w:p>
          <w:p w14:paraId="61A1009C">
            <w:pPr>
              <w:widowControl/>
              <w:shd w:val="clear" w:color="auto" w:fill="FFFFFF"/>
              <w:adjustRightInd w:val="0"/>
              <w:snapToGrid w:val="0"/>
              <w:spacing w:before="120" w:line="360" w:lineRule="auto"/>
              <w:jc w:val="center"/>
              <w:rPr>
                <w:b/>
                <w:bCs/>
                <w:spacing w:val="8"/>
                <w:kern w:val="0"/>
                <w:szCs w:val="21"/>
              </w:rPr>
            </w:pPr>
            <w:r>
              <w:rPr>
                <w:b/>
                <w:bCs/>
                <w:spacing w:val="8"/>
                <w:kern w:val="0"/>
                <w:szCs w:val="21"/>
              </w:rPr>
              <w:t>图4-</w:t>
            </w:r>
            <w:r>
              <w:rPr>
                <w:rFonts w:hint="eastAsia"/>
                <w:b/>
                <w:bCs/>
                <w:spacing w:val="8"/>
                <w:kern w:val="0"/>
                <w:szCs w:val="21"/>
              </w:rPr>
              <w:t>1</w:t>
            </w:r>
            <w:r>
              <w:rPr>
                <w:b/>
                <w:bCs/>
                <w:spacing w:val="8"/>
                <w:kern w:val="0"/>
                <w:szCs w:val="21"/>
              </w:rPr>
              <w:t xml:space="preserve"> 项目废气处理及排放方式图</w:t>
            </w:r>
          </w:p>
          <w:p w14:paraId="78A15721">
            <w:pPr>
              <w:widowControl/>
              <w:shd w:val="clear" w:color="auto" w:fill="FFFFFF"/>
              <w:spacing w:line="360" w:lineRule="auto"/>
              <w:ind w:firstLine="454" w:firstLineChars="200"/>
              <w:jc w:val="left"/>
              <w:rPr>
                <w:b/>
                <w:bCs/>
                <w:spacing w:val="8"/>
                <w:kern w:val="0"/>
                <w:szCs w:val="21"/>
              </w:rPr>
            </w:pPr>
            <w:r>
              <w:rPr>
                <w:b/>
                <w:bCs/>
                <w:spacing w:val="8"/>
                <w:kern w:val="0"/>
                <w:szCs w:val="21"/>
              </w:rPr>
              <w:t>1）风量核算</w:t>
            </w:r>
          </w:p>
          <w:p w14:paraId="609893DC">
            <w:pPr>
              <w:widowControl/>
              <w:shd w:val="clear" w:color="auto" w:fill="FFFFFF"/>
              <w:tabs>
                <w:tab w:val="left" w:pos="388"/>
              </w:tabs>
              <w:spacing w:line="360" w:lineRule="auto"/>
              <w:ind w:firstLine="452" w:firstLineChars="200"/>
              <w:rPr>
                <w:spacing w:val="8"/>
                <w:kern w:val="0"/>
                <w:szCs w:val="21"/>
              </w:rPr>
            </w:pPr>
            <w:r>
              <w:rPr>
                <w:spacing w:val="8"/>
                <w:kern w:val="0"/>
                <w:szCs w:val="21"/>
              </w:rPr>
              <w:t>项目实验研发及检测过程采用通风橱及万向集气罩收集废气，项目实验研发及检测设有6台通风橱，</w:t>
            </w:r>
            <w:r>
              <w:rPr>
                <w:rFonts w:hint="eastAsia"/>
                <w:spacing w:val="8"/>
                <w:kern w:val="0"/>
                <w:szCs w:val="21"/>
              </w:rPr>
              <w:t>内部尺寸为1100mmx650mmx750mm，收集效率为90%，开口断面风速取 0.6m/s。《挥发性有机物治理实用手册（第二版）》（生态环境部大气环境司、生态环境部环境规划院编著）：“风机风量取值为系统设计风量的1.1~1.2倍，末端治理设备或系统漏风率大时取上限值，漏风率小时取下限值”,本项目末端治理设备漏风率小，风量Q=1.1</w:t>
            </w:r>
            <w:r>
              <w:rPr>
                <w:rFonts w:ascii="Arial" w:hAnsi="Arial" w:cs="Arial"/>
                <w:spacing w:val="8"/>
                <w:kern w:val="0"/>
                <w:szCs w:val="21"/>
              </w:rPr>
              <w:t>×</w:t>
            </w:r>
            <w:r>
              <w:rPr>
                <w:rFonts w:hint="eastAsia"/>
                <w:spacing w:val="8"/>
                <w:kern w:val="0"/>
                <w:szCs w:val="21"/>
              </w:rPr>
              <w:t>0.75/2</w:t>
            </w:r>
            <w:r>
              <w:rPr>
                <w:rFonts w:ascii="Arial" w:hAnsi="Arial" w:cs="Arial"/>
                <w:spacing w:val="8"/>
                <w:kern w:val="0"/>
                <w:szCs w:val="21"/>
              </w:rPr>
              <w:t>×</w:t>
            </w:r>
            <w:r>
              <w:rPr>
                <w:rFonts w:hint="eastAsia"/>
                <w:spacing w:val="8"/>
                <w:kern w:val="0"/>
                <w:szCs w:val="21"/>
              </w:rPr>
              <w:t>0.6</w:t>
            </w:r>
            <w:r>
              <w:rPr>
                <w:rFonts w:ascii="Arial" w:hAnsi="Arial" w:cs="Arial"/>
                <w:spacing w:val="8"/>
                <w:kern w:val="0"/>
                <w:szCs w:val="21"/>
              </w:rPr>
              <w:t>×</w:t>
            </w:r>
            <w:r>
              <w:rPr>
                <w:rFonts w:hint="eastAsia"/>
                <w:spacing w:val="8"/>
                <w:kern w:val="0"/>
                <w:szCs w:val="21"/>
              </w:rPr>
              <w:t>3600</w:t>
            </w:r>
            <w:r>
              <w:rPr>
                <w:rFonts w:ascii="Arial" w:hAnsi="Arial" w:cs="Arial"/>
                <w:spacing w:val="8"/>
                <w:kern w:val="0"/>
                <w:szCs w:val="21"/>
              </w:rPr>
              <w:t>×</w:t>
            </w:r>
            <w:r>
              <w:rPr>
                <w:rFonts w:hint="eastAsia"/>
                <w:spacing w:val="8"/>
                <w:kern w:val="0"/>
                <w:szCs w:val="21"/>
              </w:rPr>
              <w:t>1.1=980.1m</w:t>
            </w:r>
            <w:r>
              <w:rPr>
                <w:rFonts w:hint="eastAsia"/>
                <w:spacing w:val="8"/>
                <w:kern w:val="0"/>
                <w:szCs w:val="21"/>
                <w:vertAlign w:val="superscript"/>
              </w:rPr>
              <w:t>3</w:t>
            </w:r>
            <w:r>
              <w:rPr>
                <w:rFonts w:hint="eastAsia"/>
                <w:spacing w:val="8"/>
                <w:kern w:val="0"/>
                <w:szCs w:val="21"/>
              </w:rPr>
              <w:t>/h。本项目共设置6台通风橱，则共需风量5880.6m</w:t>
            </w:r>
            <w:r>
              <w:rPr>
                <w:rFonts w:hint="eastAsia"/>
                <w:spacing w:val="8"/>
                <w:kern w:val="0"/>
                <w:szCs w:val="21"/>
                <w:vertAlign w:val="superscript"/>
              </w:rPr>
              <w:t>3</w:t>
            </w:r>
            <w:r>
              <w:rPr>
                <w:rFonts w:hint="eastAsia"/>
                <w:spacing w:val="8"/>
                <w:kern w:val="0"/>
                <w:szCs w:val="21"/>
              </w:rPr>
              <w:t>/h。</w:t>
            </w:r>
            <w:r>
              <w:rPr>
                <w:spacing w:val="8"/>
                <w:kern w:val="0"/>
                <w:szCs w:val="21"/>
              </w:rPr>
              <w:t>；实验台上拟设置</w:t>
            </w:r>
            <w:r>
              <w:rPr>
                <w:rFonts w:hint="eastAsia"/>
                <w:spacing w:val="8"/>
                <w:kern w:val="0"/>
                <w:szCs w:val="21"/>
              </w:rPr>
              <w:t>12</w:t>
            </w:r>
            <w:r>
              <w:rPr>
                <w:spacing w:val="8"/>
                <w:kern w:val="0"/>
                <w:szCs w:val="21"/>
              </w:rPr>
              <w:t>个万向集气罩，直径为90-110mm，</w:t>
            </w:r>
            <w:r>
              <w:rPr>
                <w:rFonts w:hint="eastAsia"/>
                <w:spacing w:val="8"/>
                <w:kern w:val="0"/>
                <w:szCs w:val="21"/>
              </w:rPr>
              <w:t>集气罩面积比产污面大，四边敞开，罩口风速按1.25m/s计算，收集效率为 90%，根据《挥发性有机物治理实用手册（第二版）》（生态不境部大气环境司、生态环境部环境规划院编著）：“风机风量取值为系统设计风量的1.1~1.2倍，末端治理设备或系统漏风率大时取上限值，漏风率小时取下限值”，本项目末端治理设备漏风率小，风量=0.055</w:t>
            </w:r>
            <w:r>
              <w:rPr>
                <w:rFonts w:ascii="Arial" w:hAnsi="Arial" w:cs="Arial"/>
                <w:spacing w:val="8"/>
                <w:kern w:val="0"/>
                <w:szCs w:val="21"/>
              </w:rPr>
              <w:t>×</w:t>
            </w:r>
            <w:r>
              <w:rPr>
                <w:rFonts w:hint="eastAsia"/>
                <w:spacing w:val="8"/>
                <w:kern w:val="0"/>
                <w:szCs w:val="21"/>
              </w:rPr>
              <w:t>0.055</w:t>
            </w:r>
            <w:r>
              <w:rPr>
                <w:rFonts w:ascii="Arial" w:hAnsi="Arial" w:cs="Arial"/>
                <w:spacing w:val="8"/>
                <w:kern w:val="0"/>
                <w:szCs w:val="21"/>
              </w:rPr>
              <w:t>×</w:t>
            </w:r>
            <w:r>
              <w:rPr>
                <w:rFonts w:hint="eastAsia"/>
                <w:spacing w:val="8"/>
                <w:kern w:val="0"/>
                <w:szCs w:val="21"/>
              </w:rPr>
              <w:t>3.14</w:t>
            </w:r>
            <w:r>
              <w:rPr>
                <w:rFonts w:ascii="Arial" w:hAnsi="Arial" w:cs="Arial"/>
                <w:spacing w:val="8"/>
                <w:kern w:val="0"/>
                <w:szCs w:val="21"/>
              </w:rPr>
              <w:t>×</w:t>
            </w:r>
            <w:r>
              <w:rPr>
                <w:rFonts w:hint="eastAsia"/>
                <w:spacing w:val="8"/>
                <w:kern w:val="0"/>
                <w:szCs w:val="21"/>
              </w:rPr>
              <w:t>1.25</w:t>
            </w:r>
            <w:r>
              <w:rPr>
                <w:rFonts w:ascii="Arial" w:hAnsi="Arial" w:cs="Arial"/>
                <w:spacing w:val="8"/>
                <w:kern w:val="0"/>
                <w:szCs w:val="21"/>
              </w:rPr>
              <w:t>×</w:t>
            </w:r>
            <w:r>
              <w:rPr>
                <w:rFonts w:hint="eastAsia"/>
                <w:spacing w:val="8"/>
                <w:kern w:val="0"/>
                <w:szCs w:val="21"/>
              </w:rPr>
              <w:t>3600</w:t>
            </w:r>
            <w:r>
              <w:rPr>
                <w:rFonts w:ascii="Arial" w:hAnsi="Arial" w:cs="Arial"/>
                <w:spacing w:val="8"/>
                <w:kern w:val="0"/>
                <w:szCs w:val="21"/>
              </w:rPr>
              <w:t>×</w:t>
            </w:r>
            <w:r>
              <w:rPr>
                <w:rFonts w:hint="eastAsia"/>
                <w:spacing w:val="8"/>
                <w:kern w:val="0"/>
                <w:szCs w:val="21"/>
              </w:rPr>
              <w:t>1.1≈47</w:t>
            </w:r>
            <w:r>
              <w:rPr>
                <w:spacing w:val="8"/>
                <w:kern w:val="0"/>
                <w:szCs w:val="21"/>
              </w:rPr>
              <w:t>m</w:t>
            </w:r>
            <w:r>
              <w:rPr>
                <w:spacing w:val="8"/>
                <w:kern w:val="0"/>
                <w:szCs w:val="21"/>
                <w:vertAlign w:val="superscript"/>
              </w:rPr>
              <w:t>3</w:t>
            </w:r>
            <w:r>
              <w:rPr>
                <w:spacing w:val="8"/>
                <w:kern w:val="0"/>
                <w:szCs w:val="21"/>
              </w:rPr>
              <w:t>/h</w:t>
            </w:r>
            <w:r>
              <w:rPr>
                <w:rFonts w:hint="eastAsia"/>
                <w:spacing w:val="8"/>
                <w:kern w:val="0"/>
                <w:szCs w:val="21"/>
              </w:rPr>
              <w:t>。本项目</w:t>
            </w:r>
            <w:r>
              <w:rPr>
                <w:spacing w:val="8"/>
                <w:kern w:val="0"/>
                <w:szCs w:val="21"/>
              </w:rPr>
              <w:t>此处风量约为</w:t>
            </w:r>
            <w:r>
              <w:rPr>
                <w:rFonts w:hint="eastAsia"/>
                <w:spacing w:val="8"/>
                <w:kern w:val="0"/>
                <w:szCs w:val="21"/>
              </w:rPr>
              <w:t>47</w:t>
            </w:r>
            <w:r>
              <w:rPr>
                <w:rFonts w:ascii="Arial" w:hAnsi="Arial" w:cs="Arial"/>
                <w:spacing w:val="8"/>
                <w:kern w:val="0"/>
                <w:szCs w:val="21"/>
              </w:rPr>
              <w:t>×</w:t>
            </w:r>
            <w:r>
              <w:rPr>
                <w:spacing w:val="8"/>
                <w:kern w:val="0"/>
                <w:szCs w:val="21"/>
              </w:rPr>
              <w:t>1</w:t>
            </w:r>
            <w:r>
              <w:rPr>
                <w:rFonts w:hint="eastAsia"/>
                <w:spacing w:val="8"/>
                <w:kern w:val="0"/>
                <w:szCs w:val="21"/>
              </w:rPr>
              <w:t>2</w:t>
            </w:r>
            <w:r>
              <w:rPr>
                <w:spacing w:val="8"/>
                <w:kern w:val="0"/>
                <w:szCs w:val="21"/>
              </w:rPr>
              <w:t>=</w:t>
            </w:r>
            <w:r>
              <w:rPr>
                <w:rFonts w:hint="eastAsia"/>
                <w:spacing w:val="8"/>
                <w:kern w:val="0"/>
                <w:szCs w:val="21"/>
              </w:rPr>
              <w:t>564</w:t>
            </w:r>
            <w:r>
              <w:rPr>
                <w:spacing w:val="8"/>
                <w:kern w:val="0"/>
                <w:szCs w:val="21"/>
              </w:rPr>
              <w:t>m</w:t>
            </w:r>
            <w:r>
              <w:rPr>
                <w:spacing w:val="8"/>
                <w:kern w:val="0"/>
                <w:szCs w:val="21"/>
                <w:vertAlign w:val="superscript"/>
              </w:rPr>
              <w:t>3</w:t>
            </w:r>
            <w:r>
              <w:rPr>
                <w:spacing w:val="8"/>
                <w:kern w:val="0"/>
                <w:szCs w:val="21"/>
              </w:rPr>
              <w:t>/h；综上，实验研发、检测所需风机风量约为</w:t>
            </w:r>
            <w:r>
              <w:rPr>
                <w:rFonts w:hint="eastAsia"/>
                <w:spacing w:val="8"/>
                <w:kern w:val="0"/>
                <w:szCs w:val="21"/>
              </w:rPr>
              <w:t>6444.6</w:t>
            </w:r>
            <w:r>
              <w:rPr>
                <w:spacing w:val="8"/>
                <w:kern w:val="0"/>
                <w:szCs w:val="21"/>
              </w:rPr>
              <w:t>m</w:t>
            </w:r>
            <w:r>
              <w:rPr>
                <w:spacing w:val="8"/>
                <w:kern w:val="0"/>
                <w:szCs w:val="21"/>
                <w:vertAlign w:val="superscript"/>
              </w:rPr>
              <w:t>3</w:t>
            </w:r>
            <w:r>
              <w:rPr>
                <w:spacing w:val="8"/>
                <w:kern w:val="0"/>
                <w:szCs w:val="21"/>
              </w:rPr>
              <w:t xml:space="preserve"> /h，考虑风损、管道距离等因素，风机风量按照 </w:t>
            </w:r>
            <w:r>
              <w:rPr>
                <w:rFonts w:hint="eastAsia"/>
                <w:spacing w:val="8"/>
                <w:kern w:val="0"/>
                <w:szCs w:val="21"/>
              </w:rPr>
              <w:t>70</w:t>
            </w:r>
            <w:r>
              <w:rPr>
                <w:spacing w:val="8"/>
                <w:kern w:val="0"/>
                <w:szCs w:val="21"/>
              </w:rPr>
              <w:t>00m</w:t>
            </w:r>
            <w:r>
              <w:rPr>
                <w:spacing w:val="8"/>
                <w:kern w:val="0"/>
                <w:szCs w:val="21"/>
                <w:vertAlign w:val="superscript"/>
              </w:rPr>
              <w:t>3</w:t>
            </w:r>
            <w:r>
              <w:rPr>
                <w:spacing w:val="8"/>
                <w:kern w:val="0"/>
                <w:szCs w:val="21"/>
              </w:rPr>
              <w:t>/h 计，从而确保废气能被有效收集进入处理系统。</w:t>
            </w:r>
          </w:p>
          <w:p w14:paraId="586D36F6">
            <w:pPr>
              <w:widowControl/>
              <w:shd w:val="clear" w:color="auto" w:fill="FFFFFF"/>
              <w:tabs>
                <w:tab w:val="left" w:pos="388"/>
              </w:tabs>
              <w:spacing w:line="360" w:lineRule="auto"/>
              <w:ind w:firstLine="452" w:firstLineChars="200"/>
              <w:jc w:val="left"/>
              <w:rPr>
                <w:spacing w:val="8"/>
                <w:kern w:val="0"/>
                <w:szCs w:val="21"/>
              </w:rPr>
            </w:pPr>
            <w:r>
              <w:rPr>
                <w:spacing w:val="8"/>
                <w:kern w:val="0"/>
                <w:szCs w:val="21"/>
              </w:rPr>
              <w:t>危废库体积约为</w:t>
            </w:r>
            <w:r>
              <w:rPr>
                <w:rFonts w:hint="eastAsia"/>
                <w:spacing w:val="8"/>
                <w:kern w:val="0"/>
                <w:szCs w:val="21"/>
              </w:rPr>
              <w:t>18</w:t>
            </w:r>
            <w:r>
              <w:rPr>
                <w:spacing w:val="8"/>
                <w:kern w:val="0"/>
                <w:szCs w:val="21"/>
              </w:rPr>
              <w:t>m</w:t>
            </w:r>
            <w:r>
              <w:rPr>
                <w:spacing w:val="8"/>
                <w:kern w:val="0"/>
                <w:szCs w:val="21"/>
                <w:vertAlign w:val="superscript"/>
              </w:rPr>
              <w:t>3</w:t>
            </w:r>
            <w:r>
              <w:rPr>
                <w:spacing w:val="8"/>
                <w:kern w:val="0"/>
                <w:szCs w:val="21"/>
              </w:rPr>
              <w:t>，每小时换气6-8次，危废库所需风量约为</w:t>
            </w:r>
            <w:r>
              <w:rPr>
                <w:rFonts w:hint="eastAsia"/>
                <w:spacing w:val="8"/>
                <w:kern w:val="0"/>
                <w:szCs w:val="21"/>
              </w:rPr>
              <w:t>144</w:t>
            </w:r>
            <w:r>
              <w:rPr>
                <w:spacing w:val="8"/>
                <w:kern w:val="0"/>
                <w:szCs w:val="21"/>
              </w:rPr>
              <w:t>m</w:t>
            </w:r>
            <w:r>
              <w:rPr>
                <w:spacing w:val="8"/>
                <w:kern w:val="0"/>
                <w:szCs w:val="21"/>
                <w:vertAlign w:val="superscript"/>
              </w:rPr>
              <w:t>3</w:t>
            </w:r>
            <w:r>
              <w:rPr>
                <w:spacing w:val="8"/>
                <w:kern w:val="0"/>
                <w:szCs w:val="21"/>
              </w:rPr>
              <w:t xml:space="preserve">/h，考虑风损、管道距离等因素，风机风量按照 </w:t>
            </w:r>
            <w:r>
              <w:rPr>
                <w:rFonts w:hint="eastAsia"/>
                <w:spacing w:val="8"/>
                <w:kern w:val="0"/>
                <w:szCs w:val="21"/>
              </w:rPr>
              <w:t>2</w:t>
            </w:r>
            <w:r>
              <w:rPr>
                <w:spacing w:val="8"/>
                <w:kern w:val="0"/>
                <w:szCs w:val="21"/>
              </w:rPr>
              <w:t>00m</w:t>
            </w:r>
            <w:r>
              <w:rPr>
                <w:spacing w:val="8"/>
                <w:kern w:val="0"/>
                <w:szCs w:val="21"/>
                <w:vertAlign w:val="superscript"/>
              </w:rPr>
              <w:t>3</w:t>
            </w:r>
            <w:r>
              <w:rPr>
                <w:spacing w:val="8"/>
                <w:kern w:val="0"/>
                <w:szCs w:val="21"/>
              </w:rPr>
              <w:t>/h 计，从而确保废气能被有效收集进入处理系统。</w:t>
            </w:r>
          </w:p>
          <w:p w14:paraId="5A47CA3D">
            <w:pPr>
              <w:pStyle w:val="113"/>
              <w:ind w:firstLine="422"/>
              <w:rPr>
                <w:rFonts w:hint="eastAsia"/>
                <w:b/>
                <w:bCs/>
                <w:color w:val="auto"/>
                <w:sz w:val="21"/>
              </w:rPr>
            </w:pPr>
            <w:r>
              <w:rPr>
                <w:rFonts w:hint="eastAsia"/>
                <w:b/>
                <w:bCs/>
                <w:color w:val="auto"/>
                <w:sz w:val="21"/>
              </w:rPr>
              <w:t>2）</w:t>
            </w:r>
            <w:r>
              <w:rPr>
                <w:rFonts w:hint="eastAsia"/>
                <w:b/>
                <w:bCs/>
                <w:color w:val="auto"/>
                <w:sz w:val="21"/>
                <w:lang w:val="en-US" w:eastAsia="zh-CN"/>
              </w:rPr>
              <w:t>喷淋塔和除雾装置</w:t>
            </w:r>
          </w:p>
          <w:p w14:paraId="4B2FD4BD">
            <w:pPr>
              <w:pStyle w:val="113"/>
              <w:keepNext w:val="0"/>
              <w:keepLines w:val="0"/>
              <w:pageBreakBefore w:val="0"/>
              <w:kinsoku/>
              <w:wordWrap/>
              <w:overflowPunct/>
              <w:topLinePunct w:val="0"/>
              <w:autoSpaceDE/>
              <w:autoSpaceDN/>
              <w:bidi w:val="0"/>
              <w:adjustRightInd/>
              <w:snapToGrid/>
              <w:spacing w:line="360" w:lineRule="auto"/>
              <w:ind w:firstLine="422"/>
              <w:textAlignment w:val="auto"/>
              <w:rPr>
                <w:rFonts w:hint="eastAsia"/>
                <w:b w:val="0"/>
                <w:bCs w:val="0"/>
                <w:color w:val="auto"/>
                <w:sz w:val="21"/>
                <w:lang w:val="en-US" w:eastAsia="zh-CN"/>
              </w:rPr>
            </w:pPr>
            <w:r>
              <w:rPr>
                <w:rFonts w:hint="eastAsia"/>
                <w:b w:val="0"/>
                <w:bCs w:val="0"/>
                <w:color w:val="auto"/>
                <w:sz w:val="21"/>
                <w:lang w:val="en-US" w:eastAsia="zh-CN"/>
              </w:rPr>
              <w:t>喷淋塔：通过喷淋</w:t>
            </w:r>
            <w:r>
              <w:rPr>
                <w:rFonts w:hint="eastAsia"/>
                <w:b w:val="0"/>
                <w:bCs w:val="0"/>
                <w:color w:val="auto"/>
                <w:sz w:val="21"/>
                <w:lang w:val="en-US" w:eastAsia="zh-CN"/>
              </w:rPr>
              <w:fldChar w:fldCharType="begin"/>
            </w:r>
            <w:r>
              <w:rPr>
                <w:rFonts w:hint="eastAsia"/>
                <w:b w:val="0"/>
                <w:bCs w:val="0"/>
                <w:color w:val="auto"/>
                <w:sz w:val="21"/>
                <w:lang w:val="en-US" w:eastAsia="zh-CN"/>
              </w:rPr>
              <w:instrText xml:space="preserve"> HYPERLINK "https://baike.baidu.com/item/%E5%A1%94%E4%BD%93/1401913?fromModule=lemma_inlink" \t "https://baike.baidu.com/item/%E5%96%B7%E6%B7%8B%E5%A1%94/_blank" </w:instrText>
            </w:r>
            <w:r>
              <w:rPr>
                <w:rFonts w:hint="eastAsia"/>
                <w:b w:val="0"/>
                <w:bCs w:val="0"/>
                <w:color w:val="auto"/>
                <w:sz w:val="21"/>
                <w:lang w:val="en-US" w:eastAsia="zh-CN"/>
              </w:rPr>
              <w:fldChar w:fldCharType="separate"/>
            </w:r>
            <w:r>
              <w:rPr>
                <w:rFonts w:hint="eastAsia"/>
                <w:b w:val="0"/>
                <w:bCs w:val="0"/>
                <w:color w:val="auto"/>
                <w:sz w:val="21"/>
                <w:lang w:val="en-US" w:eastAsia="zh-CN"/>
              </w:rPr>
              <w:t>塔体</w:t>
            </w:r>
            <w:r>
              <w:rPr>
                <w:rFonts w:hint="eastAsia"/>
                <w:b w:val="0"/>
                <w:bCs w:val="0"/>
                <w:color w:val="auto"/>
                <w:sz w:val="21"/>
                <w:lang w:val="en-US" w:eastAsia="zh-CN"/>
              </w:rPr>
              <w:fldChar w:fldCharType="end"/>
            </w:r>
            <w:r>
              <w:rPr>
                <w:rFonts w:hint="eastAsia"/>
                <w:b w:val="0"/>
                <w:bCs w:val="0"/>
                <w:color w:val="auto"/>
                <w:sz w:val="21"/>
                <w:lang w:val="en-US" w:eastAsia="zh-CN"/>
              </w:rPr>
              <w:t>时，塔体内部合适位置（根据设计而定）喷出水。当废气从塔体底部进入时就与喷淋塔喷出的水接触，接触后废气被水珠包裹，包裹</w:t>
            </w:r>
            <w:r>
              <w:rPr>
                <w:rFonts w:hint="eastAsia"/>
                <w:b w:val="0"/>
                <w:bCs w:val="0"/>
                <w:color w:val="auto"/>
                <w:sz w:val="21"/>
                <w:lang w:val="en-US" w:eastAsia="zh-CN"/>
              </w:rPr>
              <w:fldChar w:fldCharType="begin"/>
            </w:r>
            <w:r>
              <w:rPr>
                <w:rFonts w:hint="eastAsia"/>
                <w:b w:val="0"/>
                <w:bCs w:val="0"/>
                <w:color w:val="auto"/>
                <w:sz w:val="21"/>
                <w:lang w:val="en-US" w:eastAsia="zh-CN"/>
              </w:rPr>
              <w:instrText xml:space="preserve"> HYPERLINK "https://baike.baidu.com/item/%E6%B1%A1%E6%9F%93%E7%89%A9/5660142?fromModule=lemma_inlink" \t "https://baike.baidu.com/item/%E5%96%B7%E6%B7%8B%E5%A1%94/_blank" </w:instrText>
            </w:r>
            <w:r>
              <w:rPr>
                <w:rFonts w:hint="eastAsia"/>
                <w:b w:val="0"/>
                <w:bCs w:val="0"/>
                <w:color w:val="auto"/>
                <w:sz w:val="21"/>
                <w:lang w:val="en-US" w:eastAsia="zh-CN"/>
              </w:rPr>
              <w:fldChar w:fldCharType="separate"/>
            </w:r>
            <w:r>
              <w:rPr>
                <w:rFonts w:hint="eastAsia"/>
                <w:b w:val="0"/>
                <w:bCs w:val="0"/>
                <w:color w:val="auto"/>
                <w:sz w:val="21"/>
                <w:lang w:val="en-US" w:eastAsia="zh-CN"/>
              </w:rPr>
              <w:t>污染物</w:t>
            </w:r>
            <w:r>
              <w:rPr>
                <w:rFonts w:hint="eastAsia"/>
                <w:b w:val="0"/>
                <w:bCs w:val="0"/>
                <w:color w:val="auto"/>
                <w:sz w:val="21"/>
                <w:lang w:val="en-US" w:eastAsia="zh-CN"/>
              </w:rPr>
              <w:fldChar w:fldCharType="end"/>
            </w:r>
            <w:r>
              <w:rPr>
                <w:rFonts w:hint="eastAsia"/>
                <w:b w:val="0"/>
                <w:bCs w:val="0"/>
                <w:color w:val="auto"/>
                <w:sz w:val="21"/>
                <w:lang w:val="en-US" w:eastAsia="zh-CN"/>
              </w:rPr>
              <w:t>的水珠再次碰撞</w:t>
            </w:r>
            <w:r>
              <w:rPr>
                <w:rFonts w:hint="eastAsia"/>
                <w:b w:val="0"/>
                <w:bCs w:val="0"/>
                <w:color w:val="auto"/>
                <w:sz w:val="21"/>
                <w:lang w:val="en-US" w:eastAsia="zh-CN"/>
              </w:rPr>
              <w:fldChar w:fldCharType="begin"/>
            </w:r>
            <w:r>
              <w:rPr>
                <w:rFonts w:hint="eastAsia"/>
                <w:b w:val="0"/>
                <w:bCs w:val="0"/>
                <w:color w:val="auto"/>
                <w:sz w:val="21"/>
                <w:lang w:val="en-US" w:eastAsia="zh-CN"/>
              </w:rPr>
              <w:instrText xml:space="preserve"> HYPERLINK "https://baike.baidu.com/item/%E8%A1%A8%E9%9D%A2%E7%A7%AF/9430991?fromModule=lemma_inlink" \t "https://baike.baidu.com/item/%E5%96%B7%E6%B7%8B%E5%A1%94/_blank" </w:instrText>
            </w:r>
            <w:r>
              <w:rPr>
                <w:rFonts w:hint="eastAsia"/>
                <w:b w:val="0"/>
                <w:bCs w:val="0"/>
                <w:color w:val="auto"/>
                <w:sz w:val="21"/>
                <w:lang w:val="en-US" w:eastAsia="zh-CN"/>
              </w:rPr>
              <w:fldChar w:fldCharType="separate"/>
            </w:r>
            <w:r>
              <w:rPr>
                <w:rFonts w:hint="eastAsia"/>
                <w:b w:val="0"/>
                <w:bCs w:val="0"/>
                <w:color w:val="auto"/>
                <w:sz w:val="21"/>
                <w:lang w:val="en-US" w:eastAsia="zh-CN"/>
              </w:rPr>
              <w:t>表面积</w:t>
            </w:r>
            <w:r>
              <w:rPr>
                <w:rFonts w:hint="eastAsia"/>
                <w:b w:val="0"/>
                <w:bCs w:val="0"/>
                <w:color w:val="auto"/>
                <w:sz w:val="21"/>
                <w:lang w:val="en-US" w:eastAsia="zh-CN"/>
              </w:rPr>
              <w:fldChar w:fldCharType="end"/>
            </w:r>
            <w:r>
              <w:rPr>
                <w:rFonts w:hint="eastAsia"/>
                <w:b w:val="0"/>
                <w:bCs w:val="0"/>
                <w:color w:val="auto"/>
                <w:sz w:val="21"/>
                <w:lang w:val="en-US" w:eastAsia="zh-CN"/>
              </w:rPr>
              <w:t>增大且重力增大。重力增大的情况下包裹污染物的水滴则在重力影响下落入喷淋塔底部，较重的污染物沉入塔体底部，较轻的污染物则浮于循环水体表面。</w:t>
            </w:r>
          </w:p>
          <w:p w14:paraId="091D74BE">
            <w:pPr>
              <w:pStyle w:val="113"/>
              <w:keepNext w:val="0"/>
              <w:keepLines w:val="0"/>
              <w:pageBreakBefore w:val="0"/>
              <w:kinsoku/>
              <w:wordWrap/>
              <w:overflowPunct/>
              <w:topLinePunct w:val="0"/>
              <w:autoSpaceDE/>
              <w:autoSpaceDN/>
              <w:bidi w:val="0"/>
              <w:adjustRightInd/>
              <w:snapToGrid/>
              <w:spacing w:line="360" w:lineRule="auto"/>
              <w:ind w:firstLine="422"/>
              <w:textAlignment w:val="auto"/>
              <w:rPr>
                <w:rFonts w:ascii="Helvetica" w:hAnsi="Helvetica" w:eastAsia="Helvetica" w:cs="Helvetica"/>
                <w:i w:val="0"/>
                <w:iCs w:val="0"/>
                <w:caps w:val="0"/>
                <w:color w:val="333333"/>
                <w:spacing w:val="0"/>
                <w:sz w:val="21"/>
                <w:szCs w:val="21"/>
                <w:shd w:val="clear" w:fill="FFFFFF"/>
              </w:rPr>
            </w:pPr>
            <w:r>
              <w:rPr>
                <w:rFonts w:hint="eastAsia"/>
                <w:b w:val="0"/>
                <w:bCs w:val="0"/>
                <w:color w:val="auto"/>
                <w:sz w:val="21"/>
                <w:lang w:val="en-US" w:eastAsia="zh-CN"/>
              </w:rPr>
              <w:t>除雾装置：</w:t>
            </w:r>
            <w:r>
              <w:rPr>
                <w:rFonts w:ascii="Helvetica" w:hAnsi="Helvetica" w:eastAsia="Helvetica" w:cs="Helvetica"/>
                <w:i w:val="0"/>
                <w:iCs w:val="0"/>
                <w:caps w:val="0"/>
                <w:color w:val="333333"/>
                <w:spacing w:val="0"/>
                <w:sz w:val="21"/>
                <w:szCs w:val="21"/>
                <w:shd w:val="clear" w:fill="FFFFFF"/>
              </w:rPr>
              <w:t>当含有雾沫的气体以一定速度流经除雾器时，由于气体的惯性撞击作用，雾沫与波形板相碰撞而被聚的液滴大到其自身产生的重力超过气体的上升力与液体表面张力的合力时，液滴就从波形板表面上被分离下来。除雾器波形板的多折向结构增加了雾沫被捕集的机会，未被除去的雾沫在下一个转弯处经过相同的作用而被捕集，这样反复作用，从而大大提高了除雾效率。气体通过波形板除雾器后，基本上不含雾沫。</w:t>
            </w:r>
          </w:p>
          <w:p w14:paraId="1F74CA05">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cs="Times New Roman"/>
                <w:color w:val="auto"/>
                <w:kern w:val="0"/>
                <w:szCs w:val="18"/>
                <w:highlight w:val="none"/>
              </w:rPr>
            </w:pPr>
            <w:r>
              <w:rPr>
                <w:rFonts w:hint="eastAsia" w:cs="Times New Roman"/>
                <w:color w:val="auto"/>
                <w:kern w:val="0"/>
                <w:szCs w:val="18"/>
                <w:highlight w:val="none"/>
              </w:rPr>
              <w:t>喷淋塔技术参数见表</w:t>
            </w:r>
            <w:r>
              <w:rPr>
                <w:rFonts w:hint="eastAsia" w:cs="Times New Roman"/>
                <w:color w:val="auto"/>
                <w:kern w:val="0"/>
                <w:szCs w:val="18"/>
                <w:highlight w:val="none"/>
                <w:lang w:val="en-US" w:eastAsia="zh-CN"/>
              </w:rPr>
              <w:t>4-9</w:t>
            </w:r>
            <w:r>
              <w:rPr>
                <w:rFonts w:hint="eastAsia" w:cs="Times New Roman"/>
                <w:color w:val="auto"/>
                <w:kern w:val="0"/>
                <w:szCs w:val="18"/>
                <w:highlight w:val="none"/>
              </w:rPr>
              <w:t>。</w:t>
            </w:r>
          </w:p>
          <w:p w14:paraId="71416D83">
            <w:pPr>
              <w:widowControl/>
              <w:adjustRightInd w:val="0"/>
              <w:snapToGrid w:val="0"/>
              <w:spacing w:line="240" w:lineRule="auto"/>
              <w:ind w:firstLine="0" w:firstLineChars="0"/>
              <w:jc w:val="center"/>
              <w:rPr>
                <w:rFonts w:cs="Times New Roman"/>
                <w:b/>
                <w:bCs/>
                <w:color w:val="auto"/>
                <w:kern w:val="44"/>
                <w:szCs w:val="44"/>
                <w:highlight w:val="none"/>
              </w:rPr>
            </w:pPr>
            <w:r>
              <w:rPr>
                <w:rFonts w:hint="eastAsia" w:cs="Times New Roman"/>
                <w:b/>
                <w:bCs/>
                <w:color w:val="auto"/>
                <w:kern w:val="44"/>
                <w:szCs w:val="44"/>
                <w:highlight w:val="none"/>
                <w:lang w:val="zh-CN"/>
              </w:rPr>
              <w:t>表</w:t>
            </w:r>
            <w:r>
              <w:rPr>
                <w:rFonts w:hint="eastAsia" w:cs="Times New Roman"/>
                <w:b/>
                <w:bCs/>
                <w:color w:val="auto"/>
                <w:kern w:val="44"/>
                <w:szCs w:val="44"/>
                <w:highlight w:val="none"/>
                <w:lang w:val="en-US" w:eastAsia="zh-CN"/>
              </w:rPr>
              <w:t>4-9</w:t>
            </w:r>
            <w:r>
              <w:rPr>
                <w:rFonts w:hint="eastAsia" w:cs="Times New Roman"/>
                <w:b/>
                <w:bCs/>
                <w:color w:val="auto"/>
                <w:kern w:val="44"/>
                <w:szCs w:val="44"/>
                <w:highlight w:val="none"/>
              </w:rPr>
              <w:t xml:space="preserve"> 喷淋塔技术参数一览</w:t>
            </w:r>
            <w:r>
              <w:rPr>
                <w:rFonts w:hint="eastAsia" w:cs="Times New Roman"/>
                <w:b/>
                <w:bCs/>
                <w:color w:val="auto"/>
                <w:kern w:val="44"/>
                <w:szCs w:val="44"/>
                <w:highlight w:val="none"/>
                <w:lang w:val="zh-CN"/>
              </w:rPr>
              <w:t>表</w:t>
            </w:r>
          </w:p>
          <w:tbl>
            <w:tblPr>
              <w:tblStyle w:val="23"/>
              <w:tblW w:w="4941" w:type="pct"/>
              <w:tblInd w:w="-1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545"/>
              <w:gridCol w:w="6169"/>
            </w:tblGrid>
            <w:tr w14:paraId="2BFC4C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460" w:type="pct"/>
                  <w:tcBorders>
                    <w:tl2br w:val="nil"/>
                    <w:tr2bl w:val="nil"/>
                  </w:tcBorders>
                  <w:noWrap w:val="0"/>
                  <w:vAlign w:val="center"/>
                </w:tcPr>
                <w:p w14:paraId="27E6DBE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cs="Times New Roman"/>
                      <w:b/>
                      <w:bCs/>
                      <w:color w:val="auto"/>
                      <w:kern w:val="0"/>
                      <w:sz w:val="18"/>
                      <w:szCs w:val="18"/>
                      <w:highlight w:val="none"/>
                    </w:rPr>
                  </w:pPr>
                  <w:r>
                    <w:rPr>
                      <w:rFonts w:cs="Times New Roman"/>
                      <w:b/>
                      <w:bCs/>
                      <w:color w:val="auto"/>
                      <w:kern w:val="0"/>
                      <w:sz w:val="18"/>
                      <w:szCs w:val="18"/>
                      <w:highlight w:val="none"/>
                    </w:rPr>
                    <w:t>参数名称</w:t>
                  </w:r>
                </w:p>
              </w:tc>
              <w:tc>
                <w:tcPr>
                  <w:tcW w:w="3539" w:type="pct"/>
                  <w:tcBorders>
                    <w:tl2br w:val="nil"/>
                    <w:tr2bl w:val="nil"/>
                  </w:tcBorders>
                  <w:noWrap w:val="0"/>
                  <w:vAlign w:val="center"/>
                </w:tcPr>
                <w:p w14:paraId="602EBB2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cs="Times New Roman"/>
                      <w:b/>
                      <w:bCs/>
                      <w:color w:val="auto"/>
                      <w:kern w:val="0"/>
                      <w:sz w:val="18"/>
                      <w:szCs w:val="18"/>
                      <w:highlight w:val="none"/>
                    </w:rPr>
                  </w:pPr>
                  <w:r>
                    <w:rPr>
                      <w:rFonts w:cs="Times New Roman"/>
                      <w:b/>
                      <w:bCs/>
                      <w:color w:val="auto"/>
                      <w:kern w:val="0"/>
                      <w:sz w:val="18"/>
                      <w:szCs w:val="18"/>
                      <w:highlight w:val="none"/>
                    </w:rPr>
                    <w:t>运行参数控制标准</w:t>
                  </w:r>
                </w:p>
              </w:tc>
            </w:tr>
            <w:tr w14:paraId="537D87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460" w:type="pct"/>
                  <w:tcBorders>
                    <w:tl2br w:val="nil"/>
                    <w:tr2bl w:val="nil"/>
                  </w:tcBorders>
                  <w:noWrap w:val="0"/>
                  <w:vAlign w:val="center"/>
                </w:tcPr>
                <w:p w14:paraId="06E0C83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cs="Times New Roman"/>
                      <w:color w:val="auto"/>
                      <w:kern w:val="0"/>
                      <w:sz w:val="18"/>
                      <w:szCs w:val="18"/>
                      <w:highlight w:val="none"/>
                    </w:rPr>
                  </w:pPr>
                  <w:r>
                    <w:rPr>
                      <w:rFonts w:cs="Times New Roman"/>
                      <w:color w:val="auto"/>
                      <w:kern w:val="0"/>
                      <w:sz w:val="18"/>
                      <w:szCs w:val="18"/>
                      <w:highlight w:val="none"/>
                    </w:rPr>
                    <w:t>设施名称</w:t>
                  </w:r>
                </w:p>
              </w:tc>
              <w:tc>
                <w:tcPr>
                  <w:tcW w:w="3539" w:type="pct"/>
                  <w:tcBorders>
                    <w:tl2br w:val="nil"/>
                    <w:tr2bl w:val="nil"/>
                  </w:tcBorders>
                  <w:noWrap w:val="0"/>
                  <w:vAlign w:val="center"/>
                </w:tcPr>
                <w:p w14:paraId="5CFEFCD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cs="Times New Roman"/>
                      <w:color w:val="auto"/>
                      <w:kern w:val="0"/>
                      <w:sz w:val="18"/>
                      <w:szCs w:val="18"/>
                      <w:highlight w:val="none"/>
                    </w:rPr>
                  </w:pPr>
                  <w:r>
                    <w:rPr>
                      <w:rFonts w:cs="Times New Roman"/>
                      <w:color w:val="auto"/>
                      <w:kern w:val="0"/>
                      <w:sz w:val="18"/>
                      <w:szCs w:val="18"/>
                      <w:highlight w:val="none"/>
                    </w:rPr>
                    <w:t>喷淋塔</w:t>
                  </w:r>
                </w:p>
              </w:tc>
            </w:tr>
            <w:tr w14:paraId="7BB215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460" w:type="pct"/>
                  <w:tcBorders>
                    <w:tl2br w:val="nil"/>
                    <w:tr2bl w:val="nil"/>
                  </w:tcBorders>
                  <w:noWrap w:val="0"/>
                  <w:vAlign w:val="center"/>
                </w:tcPr>
                <w:p w14:paraId="492E231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尺寸</w:t>
                  </w:r>
                </w:p>
              </w:tc>
              <w:tc>
                <w:tcPr>
                  <w:tcW w:w="3539" w:type="pct"/>
                  <w:tcBorders>
                    <w:tl2br w:val="nil"/>
                    <w:tr2bl w:val="nil"/>
                  </w:tcBorders>
                  <w:noWrap w:val="0"/>
                  <w:vAlign w:val="center"/>
                </w:tcPr>
                <w:p w14:paraId="565A42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cs="Times New Roman"/>
                      <w:color w:val="auto"/>
                      <w:kern w:val="0"/>
                      <w:sz w:val="18"/>
                      <w:szCs w:val="18"/>
                      <w:highlight w:val="none"/>
                    </w:rPr>
                  </w:pPr>
                  <w:r>
                    <w:rPr>
                      <w:rFonts w:hint="eastAsia" w:cs="Times New Roman"/>
                      <w:color w:val="auto"/>
                      <w:kern w:val="0"/>
                      <w:sz w:val="18"/>
                      <w:szCs w:val="18"/>
                      <w:highlight w:val="none"/>
                    </w:rPr>
                    <w:t>φ1200*H4500</w:t>
                  </w:r>
                </w:p>
              </w:tc>
            </w:tr>
            <w:tr w14:paraId="011642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460" w:type="pct"/>
                  <w:tcBorders>
                    <w:tl2br w:val="nil"/>
                    <w:tr2bl w:val="nil"/>
                  </w:tcBorders>
                  <w:noWrap w:val="0"/>
                  <w:vAlign w:val="center"/>
                </w:tcPr>
                <w:p w14:paraId="7F7C01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cs="Times New Roman"/>
                      <w:color w:val="auto"/>
                      <w:kern w:val="0"/>
                      <w:sz w:val="18"/>
                      <w:szCs w:val="18"/>
                      <w:highlight w:val="none"/>
                    </w:rPr>
                  </w:pPr>
                  <w:r>
                    <w:rPr>
                      <w:rFonts w:hint="eastAsia" w:cs="Times New Roman"/>
                      <w:color w:val="auto"/>
                      <w:kern w:val="0"/>
                      <w:sz w:val="18"/>
                      <w:szCs w:val="18"/>
                      <w:highlight w:val="none"/>
                    </w:rPr>
                    <w:t>设计风量</w:t>
                  </w:r>
                </w:p>
              </w:tc>
              <w:tc>
                <w:tcPr>
                  <w:tcW w:w="3539" w:type="pct"/>
                  <w:tcBorders>
                    <w:tl2br w:val="nil"/>
                    <w:tr2bl w:val="nil"/>
                  </w:tcBorders>
                  <w:noWrap w:val="0"/>
                  <w:vAlign w:val="center"/>
                </w:tcPr>
                <w:p w14:paraId="573B71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7000m</w:t>
                  </w:r>
                  <w:r>
                    <w:rPr>
                      <w:rFonts w:hint="eastAsia" w:cs="Times New Roman"/>
                      <w:color w:val="auto"/>
                      <w:kern w:val="0"/>
                      <w:sz w:val="18"/>
                      <w:szCs w:val="18"/>
                      <w:highlight w:val="none"/>
                      <w:vertAlign w:val="superscript"/>
                      <w:lang w:val="en-US" w:eastAsia="zh-CN"/>
                    </w:rPr>
                    <w:t>3</w:t>
                  </w:r>
                  <w:r>
                    <w:rPr>
                      <w:rFonts w:hint="eastAsia" w:cs="Times New Roman"/>
                      <w:color w:val="auto"/>
                      <w:kern w:val="0"/>
                      <w:sz w:val="18"/>
                      <w:szCs w:val="18"/>
                      <w:highlight w:val="none"/>
                      <w:lang w:val="en-US" w:eastAsia="zh-CN"/>
                    </w:rPr>
                    <w:t>/h</w:t>
                  </w:r>
                </w:p>
              </w:tc>
            </w:tr>
            <w:tr w14:paraId="32DD0E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460" w:type="pct"/>
                  <w:tcBorders>
                    <w:tl2br w:val="nil"/>
                    <w:tr2bl w:val="nil"/>
                  </w:tcBorders>
                  <w:noWrap w:val="0"/>
                  <w:vAlign w:val="center"/>
                </w:tcPr>
                <w:p w14:paraId="568476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cs="Times New Roman"/>
                      <w:color w:val="auto"/>
                      <w:kern w:val="0"/>
                      <w:sz w:val="18"/>
                      <w:szCs w:val="18"/>
                      <w:highlight w:val="none"/>
                    </w:rPr>
                  </w:pPr>
                  <w:r>
                    <w:rPr>
                      <w:rFonts w:hint="eastAsia" w:cs="Times New Roman"/>
                      <w:color w:val="auto"/>
                      <w:kern w:val="0"/>
                      <w:sz w:val="18"/>
                      <w:szCs w:val="18"/>
                      <w:highlight w:val="none"/>
                    </w:rPr>
                    <w:t>喷嘴规格</w:t>
                  </w:r>
                </w:p>
              </w:tc>
              <w:tc>
                <w:tcPr>
                  <w:tcW w:w="3539" w:type="pct"/>
                  <w:tcBorders>
                    <w:tl2br w:val="nil"/>
                    <w:tr2bl w:val="nil"/>
                  </w:tcBorders>
                  <w:noWrap w:val="0"/>
                  <w:vAlign w:val="center"/>
                </w:tcPr>
                <w:p w14:paraId="0168C15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4分喷嘴</w:t>
                  </w:r>
                </w:p>
              </w:tc>
            </w:tr>
            <w:tr w14:paraId="2F2961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460" w:type="pct"/>
                  <w:tcBorders>
                    <w:tl2br w:val="nil"/>
                    <w:tr2bl w:val="nil"/>
                  </w:tcBorders>
                  <w:noWrap w:val="0"/>
                  <w:vAlign w:val="center"/>
                </w:tcPr>
                <w:p w14:paraId="5BBC12D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cs="Times New Roman"/>
                      <w:color w:val="auto"/>
                      <w:kern w:val="0"/>
                      <w:sz w:val="18"/>
                      <w:szCs w:val="18"/>
                      <w:highlight w:val="none"/>
                    </w:rPr>
                  </w:pPr>
                  <w:r>
                    <w:rPr>
                      <w:rFonts w:hint="eastAsia" w:cs="Times New Roman"/>
                      <w:color w:val="auto"/>
                      <w:kern w:val="0"/>
                      <w:sz w:val="18"/>
                      <w:szCs w:val="18"/>
                      <w:highlight w:val="none"/>
                    </w:rPr>
                    <w:t>喷嘴数量</w:t>
                  </w:r>
                </w:p>
              </w:tc>
              <w:tc>
                <w:tcPr>
                  <w:tcW w:w="3539" w:type="pct"/>
                  <w:tcBorders>
                    <w:tl2br w:val="nil"/>
                    <w:tr2bl w:val="nil"/>
                  </w:tcBorders>
                  <w:noWrap w:val="0"/>
                  <w:vAlign w:val="center"/>
                </w:tcPr>
                <w:p w14:paraId="6331B0E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cs="Times New Roman"/>
                      <w:color w:val="auto"/>
                      <w:kern w:val="0"/>
                      <w:sz w:val="18"/>
                      <w:szCs w:val="18"/>
                      <w:highlight w:val="none"/>
                    </w:rPr>
                  </w:pPr>
                  <w:r>
                    <w:rPr>
                      <w:rFonts w:hint="eastAsia" w:cs="Times New Roman"/>
                      <w:color w:val="auto"/>
                      <w:kern w:val="0"/>
                      <w:sz w:val="18"/>
                      <w:szCs w:val="18"/>
                      <w:highlight w:val="none"/>
                    </w:rPr>
                    <w:t>4个/层，2层共8个</w:t>
                  </w:r>
                </w:p>
              </w:tc>
            </w:tr>
            <w:tr w14:paraId="1F18E6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460" w:type="pct"/>
                  <w:tcBorders>
                    <w:tl2br w:val="nil"/>
                    <w:tr2bl w:val="nil"/>
                  </w:tcBorders>
                  <w:noWrap w:val="0"/>
                  <w:vAlign w:val="center"/>
                </w:tcPr>
                <w:p w14:paraId="27D0FFE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cs="Times New Roman"/>
                      <w:color w:val="auto"/>
                      <w:kern w:val="0"/>
                      <w:sz w:val="18"/>
                      <w:szCs w:val="18"/>
                      <w:highlight w:val="none"/>
                    </w:rPr>
                  </w:pPr>
                  <w:r>
                    <w:rPr>
                      <w:rFonts w:hint="eastAsia" w:cs="Times New Roman"/>
                      <w:color w:val="auto"/>
                      <w:kern w:val="0"/>
                      <w:sz w:val="18"/>
                      <w:szCs w:val="18"/>
                      <w:highlight w:val="none"/>
                    </w:rPr>
                    <w:t>水泵功率</w:t>
                  </w:r>
                </w:p>
              </w:tc>
              <w:tc>
                <w:tcPr>
                  <w:tcW w:w="3539" w:type="pct"/>
                  <w:tcBorders>
                    <w:tl2br w:val="nil"/>
                    <w:tr2bl w:val="nil"/>
                  </w:tcBorders>
                  <w:noWrap w:val="0"/>
                  <w:vAlign w:val="center"/>
                </w:tcPr>
                <w:p w14:paraId="7D0956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1.5KW</w:t>
                  </w:r>
                </w:p>
              </w:tc>
            </w:tr>
            <w:tr w14:paraId="36A16B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460" w:type="pct"/>
                  <w:tcBorders>
                    <w:tl2br w:val="nil"/>
                    <w:tr2bl w:val="nil"/>
                  </w:tcBorders>
                  <w:noWrap w:val="0"/>
                  <w:vAlign w:val="center"/>
                </w:tcPr>
                <w:p w14:paraId="4E93663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cs="Times New Roman"/>
                      <w:color w:val="auto"/>
                      <w:kern w:val="0"/>
                      <w:sz w:val="18"/>
                      <w:szCs w:val="18"/>
                      <w:highlight w:val="none"/>
                    </w:rPr>
                  </w:pPr>
                  <w:r>
                    <w:rPr>
                      <w:rFonts w:hint="eastAsia" w:cs="Times New Roman"/>
                      <w:color w:val="auto"/>
                      <w:kern w:val="0"/>
                      <w:sz w:val="18"/>
                      <w:szCs w:val="18"/>
                      <w:highlight w:val="none"/>
                    </w:rPr>
                    <w:t>水泵参数</w:t>
                  </w:r>
                </w:p>
              </w:tc>
              <w:tc>
                <w:tcPr>
                  <w:tcW w:w="3539" w:type="pct"/>
                  <w:tcBorders>
                    <w:tl2br w:val="nil"/>
                    <w:tr2bl w:val="nil"/>
                  </w:tcBorders>
                  <w:noWrap w:val="0"/>
                  <w:vAlign w:val="center"/>
                </w:tcPr>
                <w:p w14:paraId="0A6DFB5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color w:val="auto"/>
                      <w:kern w:val="0"/>
                      <w:sz w:val="18"/>
                      <w:szCs w:val="18"/>
                      <w:highlight w:val="none"/>
                      <w:lang w:eastAsia="zh-CN"/>
                    </w:rPr>
                  </w:pPr>
                  <w:r>
                    <w:rPr>
                      <w:rFonts w:hint="eastAsia" w:eastAsia="宋体" w:cs="Times New Roman"/>
                      <w:color w:val="auto"/>
                      <w:kern w:val="0"/>
                      <w:sz w:val="18"/>
                      <w:szCs w:val="18"/>
                      <w:highlight w:val="none"/>
                      <w:lang w:eastAsia="zh-CN"/>
                    </w:rPr>
                    <w:t>流量 25</w:t>
                  </w:r>
                  <w:r>
                    <w:rPr>
                      <w:rFonts w:hint="eastAsia" w:eastAsia="宋体" w:cs="Times New Roman"/>
                      <w:color w:val="auto"/>
                      <w:kern w:val="0"/>
                      <w:sz w:val="18"/>
                      <w:szCs w:val="18"/>
                      <w:highlight w:val="none"/>
                      <w:lang w:val="en-US" w:eastAsia="zh-CN"/>
                    </w:rPr>
                    <w:t>m</w:t>
                  </w:r>
                  <w:r>
                    <w:rPr>
                      <w:rFonts w:hint="eastAsia" w:eastAsia="宋体" w:cs="Times New Roman"/>
                      <w:color w:val="auto"/>
                      <w:kern w:val="0"/>
                      <w:sz w:val="18"/>
                      <w:szCs w:val="18"/>
                      <w:highlight w:val="none"/>
                      <w:vertAlign w:val="superscript"/>
                      <w:lang w:val="en-US" w:eastAsia="zh-CN"/>
                    </w:rPr>
                    <w:t>3</w:t>
                  </w:r>
                  <w:r>
                    <w:rPr>
                      <w:rFonts w:hint="eastAsia" w:eastAsia="宋体" w:cs="Times New Roman"/>
                      <w:color w:val="auto"/>
                      <w:kern w:val="0"/>
                      <w:sz w:val="18"/>
                      <w:szCs w:val="18"/>
                      <w:highlight w:val="none"/>
                      <w:lang w:eastAsia="zh-CN"/>
                    </w:rPr>
                    <w:t>/</w:t>
                  </w:r>
                  <w:r>
                    <w:rPr>
                      <w:rFonts w:hint="eastAsia" w:eastAsia="宋体" w:cs="Times New Roman"/>
                      <w:color w:val="auto"/>
                      <w:kern w:val="0"/>
                      <w:sz w:val="18"/>
                      <w:szCs w:val="18"/>
                      <w:highlight w:val="none"/>
                      <w:lang w:val="en-US" w:eastAsia="zh-CN"/>
                    </w:rPr>
                    <w:t>h</w:t>
                  </w:r>
                  <w:r>
                    <w:rPr>
                      <w:rFonts w:hint="eastAsia" w:eastAsia="宋体" w:cs="Times New Roman"/>
                      <w:color w:val="auto"/>
                      <w:kern w:val="0"/>
                      <w:sz w:val="18"/>
                      <w:szCs w:val="18"/>
                      <w:highlight w:val="none"/>
                      <w:lang w:eastAsia="zh-CN"/>
                    </w:rPr>
                    <w:t>，扬程</w:t>
                  </w:r>
                  <w:r>
                    <w:rPr>
                      <w:rFonts w:hint="eastAsia" w:eastAsia="宋体" w:cs="Times New Roman"/>
                      <w:color w:val="auto"/>
                      <w:kern w:val="0"/>
                      <w:sz w:val="18"/>
                      <w:szCs w:val="18"/>
                      <w:highlight w:val="none"/>
                      <w:lang w:val="en-US" w:eastAsia="zh-CN"/>
                    </w:rPr>
                    <w:t>:</w:t>
                  </w:r>
                  <w:r>
                    <w:rPr>
                      <w:rFonts w:hint="eastAsia" w:eastAsia="宋体" w:cs="Times New Roman"/>
                      <w:color w:val="auto"/>
                      <w:kern w:val="0"/>
                      <w:sz w:val="18"/>
                      <w:szCs w:val="18"/>
                      <w:highlight w:val="none"/>
                      <w:lang w:eastAsia="zh-CN"/>
                    </w:rPr>
                    <w:t>13米</w:t>
                  </w:r>
                </w:p>
              </w:tc>
            </w:tr>
            <w:tr w14:paraId="14C561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460" w:type="pct"/>
                  <w:tcBorders>
                    <w:tl2br w:val="nil"/>
                    <w:tr2bl w:val="nil"/>
                  </w:tcBorders>
                  <w:noWrap w:val="0"/>
                  <w:vAlign w:val="center"/>
                </w:tcPr>
                <w:p w14:paraId="30BEEE0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填料</w:t>
                  </w:r>
                </w:p>
              </w:tc>
              <w:tc>
                <w:tcPr>
                  <w:tcW w:w="3539" w:type="pct"/>
                  <w:tcBorders>
                    <w:tl2br w:val="nil"/>
                    <w:tr2bl w:val="nil"/>
                  </w:tcBorders>
                  <w:noWrap w:val="0"/>
                  <w:vAlign w:val="center"/>
                </w:tcPr>
                <w:p w14:paraId="105AD97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cs="Times New Roman"/>
                      <w:color w:val="auto"/>
                      <w:kern w:val="0"/>
                      <w:sz w:val="18"/>
                      <w:szCs w:val="18"/>
                      <w:highlight w:val="none"/>
                    </w:rPr>
                  </w:pPr>
                  <w:r>
                    <w:rPr>
                      <w:rFonts w:hint="eastAsia" w:cs="Times New Roman"/>
                      <w:color w:val="auto"/>
                      <w:kern w:val="0"/>
                      <w:sz w:val="18"/>
                      <w:szCs w:val="18"/>
                      <w:highlight w:val="none"/>
                    </w:rPr>
                    <w:t>两层φ75拉西环，装填数量：0.56立方/层</w:t>
                  </w:r>
                </w:p>
              </w:tc>
            </w:tr>
            <w:tr w14:paraId="221B17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460" w:type="pct"/>
                  <w:tcBorders>
                    <w:tl2br w:val="nil"/>
                    <w:tr2bl w:val="nil"/>
                  </w:tcBorders>
                  <w:noWrap w:val="0"/>
                  <w:vAlign w:val="center"/>
                </w:tcPr>
                <w:p w14:paraId="59002AC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cs="Times New Roman"/>
                      <w:color w:val="auto"/>
                      <w:kern w:val="0"/>
                      <w:sz w:val="18"/>
                      <w:szCs w:val="18"/>
                      <w:highlight w:val="none"/>
                    </w:rPr>
                  </w:pPr>
                  <w:r>
                    <w:rPr>
                      <w:rFonts w:hint="eastAsia" w:cs="Times New Roman"/>
                      <w:color w:val="auto"/>
                      <w:kern w:val="0"/>
                      <w:sz w:val="18"/>
                      <w:szCs w:val="18"/>
                      <w:highlight w:val="none"/>
                    </w:rPr>
                    <w:t>除雾</w:t>
                  </w:r>
                </w:p>
              </w:tc>
              <w:tc>
                <w:tcPr>
                  <w:tcW w:w="3539" w:type="pct"/>
                  <w:tcBorders>
                    <w:tl2br w:val="nil"/>
                    <w:tr2bl w:val="nil"/>
                  </w:tcBorders>
                  <w:noWrap w:val="0"/>
                  <w:vAlign w:val="center"/>
                </w:tcPr>
                <w:p w14:paraId="5BCE265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cs="Times New Roman"/>
                      <w:color w:val="auto"/>
                      <w:kern w:val="0"/>
                      <w:sz w:val="18"/>
                      <w:szCs w:val="18"/>
                      <w:highlight w:val="none"/>
                    </w:rPr>
                  </w:pPr>
                  <w:r>
                    <w:rPr>
                      <w:rFonts w:hint="eastAsia" w:cs="Times New Roman"/>
                      <w:color w:val="auto"/>
                      <w:kern w:val="0"/>
                      <w:sz w:val="18"/>
                      <w:szCs w:val="18"/>
                      <w:highlight w:val="none"/>
                    </w:rPr>
                    <w:t>一层 φ50多面空心球，装填数量：0.9立方</w:t>
                  </w:r>
                </w:p>
              </w:tc>
            </w:tr>
            <w:tr w14:paraId="20F79B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460" w:type="pct"/>
                  <w:tcBorders>
                    <w:tl2br w:val="nil"/>
                    <w:tr2bl w:val="nil"/>
                  </w:tcBorders>
                  <w:noWrap w:val="0"/>
                  <w:vAlign w:val="center"/>
                </w:tcPr>
                <w:p w14:paraId="276E80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cs="Times New Roman"/>
                      <w:color w:val="auto"/>
                      <w:kern w:val="0"/>
                      <w:sz w:val="18"/>
                      <w:szCs w:val="18"/>
                      <w:highlight w:val="none"/>
                    </w:rPr>
                  </w:pPr>
                  <w:r>
                    <w:rPr>
                      <w:rFonts w:hint="eastAsia" w:cs="Times New Roman"/>
                      <w:color w:val="auto"/>
                      <w:kern w:val="0"/>
                      <w:sz w:val="18"/>
                      <w:szCs w:val="18"/>
                      <w:highlight w:val="none"/>
                    </w:rPr>
                    <w:t>液气比</w:t>
                  </w:r>
                </w:p>
              </w:tc>
              <w:tc>
                <w:tcPr>
                  <w:tcW w:w="3539" w:type="pct"/>
                  <w:tcBorders>
                    <w:tl2br w:val="nil"/>
                    <w:tr2bl w:val="nil"/>
                  </w:tcBorders>
                  <w:noWrap w:val="0"/>
                  <w:vAlign w:val="center"/>
                </w:tcPr>
                <w:p w14:paraId="57E8D81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color w:val="auto"/>
                      <w:kern w:val="0"/>
                      <w:sz w:val="18"/>
                      <w:szCs w:val="18"/>
                      <w:highlight w:val="none"/>
                      <w:lang w:eastAsia="zh-CN"/>
                    </w:rPr>
                  </w:pPr>
                  <w:r>
                    <w:rPr>
                      <w:rFonts w:hint="eastAsia" w:cs="Times New Roman"/>
                      <w:color w:val="auto"/>
                      <w:kern w:val="0"/>
                      <w:sz w:val="18"/>
                      <w:szCs w:val="18"/>
                      <w:highlight w:val="none"/>
                    </w:rPr>
                    <w:t>1.2 ~ 1.5 L/m</w:t>
                  </w:r>
                  <w:r>
                    <w:rPr>
                      <w:rFonts w:hint="eastAsia" w:cs="Times New Roman"/>
                      <w:color w:val="auto"/>
                      <w:kern w:val="0"/>
                      <w:sz w:val="18"/>
                      <w:szCs w:val="18"/>
                      <w:highlight w:val="none"/>
                      <w:vertAlign w:val="superscript"/>
                      <w:lang w:val="en-US" w:eastAsia="zh-CN"/>
                    </w:rPr>
                    <w:t>3</w:t>
                  </w:r>
                </w:p>
              </w:tc>
            </w:tr>
            <w:tr w14:paraId="77FC8A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460" w:type="pct"/>
                  <w:tcBorders>
                    <w:tl2br w:val="nil"/>
                    <w:tr2bl w:val="nil"/>
                  </w:tcBorders>
                  <w:noWrap w:val="0"/>
                  <w:vAlign w:val="center"/>
                </w:tcPr>
                <w:p w14:paraId="07D16E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cs="Times New Roman"/>
                      <w:color w:val="auto"/>
                      <w:kern w:val="0"/>
                      <w:sz w:val="18"/>
                      <w:szCs w:val="18"/>
                      <w:highlight w:val="none"/>
                    </w:rPr>
                  </w:pPr>
                  <w:r>
                    <w:rPr>
                      <w:rFonts w:hint="eastAsia" w:cs="Times New Roman"/>
                      <w:color w:val="auto"/>
                      <w:kern w:val="0"/>
                      <w:sz w:val="18"/>
                      <w:szCs w:val="18"/>
                      <w:highlight w:val="none"/>
                    </w:rPr>
                    <w:t>设计停留时间</w:t>
                  </w:r>
                </w:p>
              </w:tc>
              <w:tc>
                <w:tcPr>
                  <w:tcW w:w="3539" w:type="pct"/>
                  <w:tcBorders>
                    <w:tl2br w:val="nil"/>
                    <w:tr2bl w:val="nil"/>
                  </w:tcBorders>
                  <w:noWrap w:val="0"/>
                  <w:vAlign w:val="center"/>
                </w:tcPr>
                <w:p w14:paraId="6013650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1.5S</w:t>
                  </w:r>
                </w:p>
              </w:tc>
            </w:tr>
            <w:tr w14:paraId="6A504D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460" w:type="pct"/>
                  <w:tcBorders>
                    <w:tl2br w:val="nil"/>
                    <w:tr2bl w:val="nil"/>
                  </w:tcBorders>
                  <w:noWrap w:val="0"/>
                  <w:vAlign w:val="center"/>
                </w:tcPr>
                <w:p w14:paraId="2D92B0A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cs="Times New Roman"/>
                      <w:color w:val="auto"/>
                      <w:kern w:val="0"/>
                      <w:sz w:val="18"/>
                      <w:szCs w:val="18"/>
                      <w:highlight w:val="none"/>
                    </w:rPr>
                  </w:pPr>
                  <w:r>
                    <w:rPr>
                      <w:rFonts w:hint="eastAsia" w:cs="Times New Roman"/>
                      <w:color w:val="auto"/>
                      <w:kern w:val="0"/>
                      <w:sz w:val="18"/>
                      <w:szCs w:val="18"/>
                      <w:highlight w:val="none"/>
                    </w:rPr>
                    <w:t>空塔气速</w:t>
                  </w:r>
                </w:p>
              </w:tc>
              <w:tc>
                <w:tcPr>
                  <w:tcW w:w="3539" w:type="pct"/>
                  <w:tcBorders>
                    <w:tl2br w:val="nil"/>
                    <w:tr2bl w:val="nil"/>
                  </w:tcBorders>
                  <w:noWrap w:val="0"/>
                  <w:vAlign w:val="center"/>
                </w:tcPr>
                <w:p w14:paraId="4C352FB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1m/s</w:t>
                  </w:r>
                </w:p>
              </w:tc>
            </w:tr>
            <w:tr w14:paraId="45BF4A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460" w:type="pct"/>
                  <w:tcBorders>
                    <w:tl2br w:val="nil"/>
                    <w:tr2bl w:val="nil"/>
                  </w:tcBorders>
                  <w:noWrap w:val="0"/>
                  <w:vAlign w:val="center"/>
                </w:tcPr>
                <w:p w14:paraId="109E95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设备阻力</w:t>
                  </w:r>
                </w:p>
              </w:tc>
              <w:tc>
                <w:tcPr>
                  <w:tcW w:w="3539" w:type="pct"/>
                  <w:tcBorders>
                    <w:tl2br w:val="nil"/>
                    <w:tr2bl w:val="nil"/>
                  </w:tcBorders>
                  <w:noWrap w:val="0"/>
                  <w:vAlign w:val="center"/>
                </w:tcPr>
                <w:p w14:paraId="4913830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cs="Times New Roman"/>
                      <w:color w:val="auto"/>
                      <w:kern w:val="0"/>
                      <w:sz w:val="18"/>
                      <w:szCs w:val="18"/>
                      <w:highlight w:val="none"/>
                    </w:rPr>
                  </w:pPr>
                  <w:r>
                    <w:rPr>
                      <w:rFonts w:hint="eastAsia" w:cs="Times New Roman"/>
                      <w:color w:val="auto"/>
                      <w:kern w:val="0"/>
                      <w:sz w:val="18"/>
                      <w:szCs w:val="18"/>
                      <w:highlight w:val="none"/>
                    </w:rPr>
                    <w:t>＜390-600 PA</w:t>
                  </w:r>
                </w:p>
              </w:tc>
            </w:tr>
          </w:tbl>
          <w:p w14:paraId="70E2659D">
            <w:pPr>
              <w:pStyle w:val="113"/>
              <w:ind w:firstLine="422"/>
              <w:rPr>
                <w:rFonts w:ascii="Times New Roman" w:hAnsi="Times New Roman"/>
                <w:b/>
                <w:bCs/>
                <w:color w:val="auto"/>
                <w:sz w:val="21"/>
              </w:rPr>
            </w:pPr>
            <w:r>
              <w:rPr>
                <w:rFonts w:hint="eastAsia"/>
                <w:b/>
                <w:bCs/>
                <w:color w:val="auto"/>
                <w:sz w:val="21"/>
                <w:lang w:val="en-US" w:eastAsia="zh-CN"/>
              </w:rPr>
              <w:t>3）</w:t>
            </w:r>
            <w:r>
              <w:rPr>
                <w:rFonts w:ascii="Times New Roman" w:hAnsi="Times New Roman"/>
                <w:b/>
                <w:bCs/>
                <w:color w:val="auto"/>
                <w:sz w:val="21"/>
              </w:rPr>
              <w:t>二级活性炭吸附装置</w:t>
            </w:r>
          </w:p>
          <w:p w14:paraId="3861279B">
            <w:pPr>
              <w:pStyle w:val="105"/>
              <w:spacing w:line="360" w:lineRule="auto"/>
              <w:ind w:firstLine="482"/>
              <w:rPr>
                <w:szCs w:val="21"/>
              </w:rPr>
            </w:pPr>
            <w:r>
              <w:rPr>
                <w:b w:val="0"/>
                <w:bCs w:val="0"/>
                <w:szCs w:val="21"/>
              </w:rPr>
              <w:t>活性炭吸附：当废气</w:t>
            </w:r>
            <w:r>
              <w:rPr>
                <w:szCs w:val="21"/>
              </w:rPr>
              <w:t>由风机提供动力，负压进入吸附箱后进入活性炭吸附层，由于活性炭吸附剂表面上存在着未平衡和未饱和的分子引力或化学键力，因此当活性炭吸附剂的表面与气体接触时，就能吸引气体分子，使其浓聚并保持在活性炭表面，此现象称为吸附。利用活性炭吸附剂表面的吸附能力，使废气与大表面的多孔性活性炭吸附剂相接触，废气中的污染物被吸附在活性炭表面上，使其与气体混合物分离，净化后的气体高空排放。活性炭吸附箱是一种干式废气处理设备，由箱体和填装在箱体内的吸附单元组成。</w:t>
            </w:r>
          </w:p>
          <w:p w14:paraId="02392A9F">
            <w:pPr>
              <w:pStyle w:val="105"/>
              <w:spacing w:line="360" w:lineRule="auto"/>
              <w:jc w:val="center"/>
              <w:rPr>
                <w:szCs w:val="21"/>
              </w:rPr>
            </w:pPr>
            <w:r>
              <w:rPr>
                <w:szCs w:val="21"/>
              </w:rPr>
              <w:drawing>
                <wp:inline distT="0" distB="0" distL="114300" distR="114300">
                  <wp:extent cx="3046095" cy="1092835"/>
                  <wp:effectExtent l="0" t="0" r="1905" b="12065"/>
                  <wp:docPr id="32" name="图片 49" descr="VSV$7C@~(A$$$CUY8U9W0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9" descr="VSV$7C@~(A$$$CUY8U9W0GM"/>
                          <pic:cNvPicPr>
                            <a:picLocks noChangeAspect="1"/>
                          </pic:cNvPicPr>
                        </pic:nvPicPr>
                        <pic:blipFill>
                          <a:blip r:embed="rId12"/>
                          <a:srcRect b="25645"/>
                          <a:stretch>
                            <a:fillRect/>
                          </a:stretch>
                        </pic:blipFill>
                        <pic:spPr>
                          <a:xfrm>
                            <a:off x="0" y="0"/>
                            <a:ext cx="3046095" cy="1092835"/>
                          </a:xfrm>
                          <a:prstGeom prst="rect">
                            <a:avLst/>
                          </a:prstGeom>
                          <a:noFill/>
                          <a:ln>
                            <a:noFill/>
                          </a:ln>
                        </pic:spPr>
                      </pic:pic>
                    </a:graphicData>
                  </a:graphic>
                </wp:inline>
              </w:drawing>
            </w:r>
          </w:p>
          <w:p w14:paraId="6624C9E9">
            <w:pPr>
              <w:pStyle w:val="105"/>
              <w:spacing w:line="360" w:lineRule="auto"/>
              <w:jc w:val="center"/>
              <w:rPr>
                <w:b/>
                <w:bCs/>
                <w:szCs w:val="21"/>
              </w:rPr>
            </w:pPr>
            <w:r>
              <w:rPr>
                <w:b/>
                <w:bCs/>
                <w:szCs w:val="21"/>
              </w:rPr>
              <w:t>图</w:t>
            </w:r>
            <w:r>
              <w:rPr>
                <w:rFonts w:hint="eastAsia"/>
                <w:b/>
                <w:bCs/>
                <w:szCs w:val="21"/>
              </w:rPr>
              <w:t>4</w:t>
            </w:r>
            <w:r>
              <w:rPr>
                <w:b/>
                <w:bCs/>
                <w:szCs w:val="21"/>
              </w:rPr>
              <w:t>-</w:t>
            </w:r>
            <w:r>
              <w:rPr>
                <w:rFonts w:hint="eastAsia"/>
                <w:b/>
                <w:bCs/>
                <w:szCs w:val="21"/>
              </w:rPr>
              <w:t>2</w:t>
            </w:r>
            <w:r>
              <w:rPr>
                <w:b/>
                <w:bCs/>
                <w:szCs w:val="21"/>
              </w:rPr>
              <w:t xml:space="preserve"> 项目活性炭吸附器装置示意图</w:t>
            </w:r>
          </w:p>
          <w:p w14:paraId="674566C9">
            <w:pPr>
              <w:pStyle w:val="105"/>
              <w:spacing w:line="360" w:lineRule="auto"/>
              <w:ind w:firstLine="480"/>
              <w:rPr>
                <w:rFonts w:hint="eastAsia" w:ascii="宋体" w:hAnsi="宋体" w:cs="宋体"/>
                <w:b/>
                <w:bCs/>
                <w:szCs w:val="21"/>
              </w:rPr>
            </w:pPr>
            <w:r>
              <w:rPr>
                <w:szCs w:val="21"/>
              </w:rPr>
              <w:t>项目使用的蜂窝活性炭的吸附阻力为</w:t>
            </w:r>
            <w:r>
              <w:rPr>
                <w:rFonts w:hint="eastAsia"/>
                <w:szCs w:val="21"/>
              </w:rPr>
              <w:t>10</w:t>
            </w:r>
            <w:r>
              <w:rPr>
                <w:szCs w:val="21"/>
              </w:rPr>
              <w:t>00Pa，符合《吸附法工业有机废气治理工程技术规范》（HJ2026-2013）中横向强度不低于0.3MPa的要求。</w:t>
            </w:r>
            <w:r>
              <w:rPr>
                <w:rFonts w:hint="eastAsia"/>
                <w:color w:val="0000FF"/>
                <w:szCs w:val="21"/>
              </w:rPr>
              <w:t>进入活性炭吸附装置的废气，采用蜂窝状活性炭的，湿度宜低于60%</w:t>
            </w:r>
            <w:r>
              <w:rPr>
                <w:rFonts w:hint="eastAsia"/>
                <w:color w:val="0000FF"/>
                <w:szCs w:val="21"/>
                <w:lang w:eastAsia="zh-CN"/>
              </w:rPr>
              <w:t>。</w:t>
            </w:r>
            <w:r>
              <w:rPr>
                <w:szCs w:val="21"/>
              </w:rPr>
              <w:t>项目废气处理装置设计参数见</w:t>
            </w:r>
            <w:r>
              <w:rPr>
                <w:rFonts w:hint="eastAsia"/>
                <w:szCs w:val="21"/>
                <w:lang w:val="en-US" w:eastAsia="zh-CN"/>
              </w:rPr>
              <w:t>下</w:t>
            </w:r>
            <w:r>
              <w:rPr>
                <w:szCs w:val="21"/>
              </w:rPr>
              <w:t>表。</w:t>
            </w:r>
          </w:p>
          <w:p w14:paraId="6C851BE9">
            <w:pPr>
              <w:pStyle w:val="119"/>
              <w:adjustRightInd w:val="0"/>
              <w:snapToGrid w:val="0"/>
              <w:spacing w:line="360" w:lineRule="auto"/>
              <w:ind w:firstLine="482"/>
              <w:jc w:val="center"/>
              <w:rPr>
                <w:color w:val="auto"/>
                <w:szCs w:val="21"/>
              </w:rPr>
            </w:pPr>
            <w:r>
              <w:rPr>
                <w:rFonts w:cs="Times New Roman"/>
                <w:b/>
                <w:bCs/>
                <w:color w:val="auto"/>
                <w:szCs w:val="21"/>
              </w:rPr>
              <w:t>表4-</w:t>
            </w:r>
            <w:r>
              <w:rPr>
                <w:rFonts w:hint="eastAsia" w:cs="Times New Roman"/>
                <w:b/>
                <w:bCs/>
                <w:color w:val="auto"/>
                <w:szCs w:val="21"/>
                <w:lang w:val="en-US" w:eastAsia="zh-CN"/>
              </w:rPr>
              <w:t>10</w:t>
            </w:r>
            <w:r>
              <w:rPr>
                <w:rFonts w:hint="eastAsia" w:cs="Times New Roman"/>
                <w:b/>
                <w:bCs/>
                <w:color w:val="auto"/>
                <w:szCs w:val="21"/>
              </w:rPr>
              <w:t>北侧研发检测车间</w:t>
            </w:r>
            <w:r>
              <w:rPr>
                <w:b/>
                <w:bCs/>
                <w:color w:val="auto"/>
                <w:szCs w:val="21"/>
              </w:rPr>
              <w:t>活性炭吸附装置主要技术参数一览表</w:t>
            </w:r>
          </w:p>
          <w:tbl>
            <w:tblPr>
              <w:tblStyle w:val="23"/>
              <w:tblW w:w="47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720"/>
              <w:gridCol w:w="3895"/>
              <w:gridCol w:w="3843"/>
            </w:tblGrid>
            <w:tr w14:paraId="5D043C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93" w:hRule="atLeast"/>
                <w:jc w:val="center"/>
              </w:trPr>
              <w:tc>
                <w:tcPr>
                  <w:tcW w:w="425" w:type="pct"/>
                  <w:tcBorders>
                    <w:tl2br w:val="nil"/>
                    <w:tr2bl w:val="nil"/>
                  </w:tcBorders>
                  <w:vAlign w:val="center"/>
                </w:tcPr>
                <w:p w14:paraId="498CB341">
                  <w:pPr>
                    <w:pStyle w:val="47"/>
                    <w:rPr>
                      <w:rFonts w:hint="eastAsia" w:ascii="宋体" w:hAnsi="宋体" w:eastAsia="宋体" w:cs="宋体"/>
                      <w:b/>
                      <w:bCs/>
                      <w:snapToGrid w:val="0"/>
                      <w:color w:val="auto"/>
                      <w:sz w:val="18"/>
                      <w:szCs w:val="18"/>
                    </w:rPr>
                  </w:pPr>
                  <w:r>
                    <w:rPr>
                      <w:rFonts w:hint="eastAsia" w:ascii="宋体" w:hAnsi="宋体" w:eastAsia="宋体" w:cs="宋体"/>
                      <w:b/>
                      <w:bCs/>
                      <w:snapToGrid w:val="0"/>
                      <w:color w:val="auto"/>
                      <w:sz w:val="18"/>
                      <w:szCs w:val="18"/>
                    </w:rPr>
                    <w:t>序号</w:t>
                  </w:r>
                </w:p>
              </w:tc>
              <w:tc>
                <w:tcPr>
                  <w:tcW w:w="2302" w:type="pct"/>
                  <w:tcBorders>
                    <w:tl2br w:val="nil"/>
                    <w:tr2bl w:val="nil"/>
                  </w:tcBorders>
                  <w:vAlign w:val="center"/>
                </w:tcPr>
                <w:p w14:paraId="35C596F6">
                  <w:pPr>
                    <w:pStyle w:val="47"/>
                    <w:rPr>
                      <w:rFonts w:hint="eastAsia" w:ascii="宋体" w:hAnsi="宋体" w:eastAsia="宋体" w:cs="宋体"/>
                      <w:b/>
                      <w:bCs/>
                      <w:snapToGrid w:val="0"/>
                      <w:color w:val="auto"/>
                      <w:sz w:val="18"/>
                      <w:szCs w:val="18"/>
                    </w:rPr>
                  </w:pPr>
                  <w:r>
                    <w:rPr>
                      <w:rFonts w:hint="eastAsia" w:ascii="宋体" w:hAnsi="宋体" w:eastAsia="宋体" w:cs="宋体"/>
                      <w:b/>
                      <w:bCs/>
                      <w:snapToGrid w:val="0"/>
                      <w:color w:val="auto"/>
                      <w:sz w:val="18"/>
                      <w:szCs w:val="18"/>
                    </w:rPr>
                    <w:t>项目</w:t>
                  </w:r>
                </w:p>
              </w:tc>
              <w:tc>
                <w:tcPr>
                  <w:tcW w:w="2272" w:type="pct"/>
                  <w:tcBorders>
                    <w:tl2br w:val="nil"/>
                    <w:tr2bl w:val="nil"/>
                  </w:tcBorders>
                  <w:vAlign w:val="center"/>
                </w:tcPr>
                <w:p w14:paraId="783D26BE">
                  <w:pPr>
                    <w:pStyle w:val="47"/>
                    <w:rPr>
                      <w:rFonts w:hint="eastAsia" w:ascii="宋体" w:hAnsi="宋体" w:eastAsia="宋体" w:cs="宋体"/>
                      <w:b/>
                      <w:bCs/>
                      <w:snapToGrid w:val="0"/>
                      <w:color w:val="auto"/>
                      <w:sz w:val="18"/>
                      <w:szCs w:val="18"/>
                    </w:rPr>
                  </w:pPr>
                  <w:r>
                    <w:rPr>
                      <w:rFonts w:hint="eastAsia" w:ascii="宋体" w:hAnsi="宋体" w:eastAsia="宋体" w:cs="宋体"/>
                      <w:b/>
                      <w:bCs/>
                      <w:snapToGrid w:val="0"/>
                      <w:color w:val="auto"/>
                      <w:sz w:val="18"/>
                      <w:szCs w:val="18"/>
                    </w:rPr>
                    <w:t>技术指标</w:t>
                  </w:r>
                </w:p>
              </w:tc>
            </w:tr>
            <w:tr w14:paraId="2E5302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8" w:hRule="atLeast"/>
                <w:jc w:val="center"/>
              </w:trPr>
              <w:tc>
                <w:tcPr>
                  <w:tcW w:w="425" w:type="pct"/>
                  <w:tcBorders>
                    <w:tl2br w:val="nil"/>
                    <w:tr2bl w:val="nil"/>
                  </w:tcBorders>
                  <w:vAlign w:val="center"/>
                </w:tcPr>
                <w:p w14:paraId="06A09FAB">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1</w:t>
                  </w:r>
                </w:p>
              </w:tc>
              <w:tc>
                <w:tcPr>
                  <w:tcW w:w="2302" w:type="pct"/>
                  <w:tcBorders>
                    <w:tl2br w:val="nil"/>
                    <w:tr2bl w:val="nil"/>
                  </w:tcBorders>
                  <w:vAlign w:val="center"/>
                </w:tcPr>
                <w:p w14:paraId="5B1A165F">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配套风机风量（m</w:t>
                  </w:r>
                  <w:r>
                    <w:rPr>
                      <w:rFonts w:hint="eastAsia" w:ascii="宋体" w:hAnsi="宋体" w:eastAsia="宋体" w:cs="宋体"/>
                      <w:snapToGrid w:val="0"/>
                      <w:color w:val="auto"/>
                      <w:sz w:val="18"/>
                      <w:szCs w:val="18"/>
                      <w:vertAlign w:val="superscript"/>
                    </w:rPr>
                    <w:t>3</w:t>
                  </w:r>
                  <w:r>
                    <w:rPr>
                      <w:rFonts w:hint="eastAsia" w:ascii="宋体" w:hAnsi="宋体" w:eastAsia="宋体" w:cs="宋体"/>
                      <w:snapToGrid w:val="0"/>
                      <w:color w:val="auto"/>
                      <w:sz w:val="18"/>
                      <w:szCs w:val="18"/>
                    </w:rPr>
                    <w:t>/h）</w:t>
                  </w:r>
                </w:p>
              </w:tc>
              <w:tc>
                <w:tcPr>
                  <w:tcW w:w="2272" w:type="pct"/>
                  <w:tcBorders>
                    <w:tl2br w:val="nil"/>
                    <w:tr2bl w:val="nil"/>
                  </w:tcBorders>
                  <w:vAlign w:val="center"/>
                </w:tcPr>
                <w:p w14:paraId="12D91DA5">
                  <w:pPr>
                    <w:pStyle w:val="47"/>
                    <w:rPr>
                      <w:rFonts w:eastAsia="宋体"/>
                      <w:snapToGrid w:val="0"/>
                      <w:color w:val="auto"/>
                      <w:sz w:val="18"/>
                      <w:szCs w:val="18"/>
                    </w:rPr>
                  </w:pPr>
                  <w:r>
                    <w:rPr>
                      <w:rFonts w:eastAsia="宋体"/>
                      <w:snapToGrid w:val="0"/>
                      <w:color w:val="auto"/>
                      <w:sz w:val="18"/>
                      <w:szCs w:val="18"/>
                    </w:rPr>
                    <w:t>风量</w:t>
                  </w:r>
                  <w:r>
                    <w:rPr>
                      <w:rFonts w:hint="eastAsia" w:eastAsia="宋体"/>
                      <w:snapToGrid w:val="0"/>
                      <w:color w:val="auto"/>
                      <w:sz w:val="18"/>
                      <w:szCs w:val="18"/>
                    </w:rPr>
                    <w:t>70</w:t>
                  </w:r>
                  <w:r>
                    <w:rPr>
                      <w:rFonts w:eastAsia="宋体"/>
                      <w:snapToGrid w:val="0"/>
                      <w:color w:val="auto"/>
                      <w:sz w:val="18"/>
                      <w:szCs w:val="18"/>
                    </w:rPr>
                    <w:t>00</w:t>
                  </w:r>
                </w:p>
              </w:tc>
            </w:tr>
            <w:tr w14:paraId="7BFA4C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93" w:hRule="atLeast"/>
                <w:jc w:val="center"/>
              </w:trPr>
              <w:tc>
                <w:tcPr>
                  <w:tcW w:w="425" w:type="pct"/>
                  <w:tcBorders>
                    <w:tl2br w:val="nil"/>
                    <w:tr2bl w:val="nil"/>
                  </w:tcBorders>
                  <w:vAlign w:val="center"/>
                </w:tcPr>
                <w:p w14:paraId="418D43FB">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2</w:t>
                  </w:r>
                </w:p>
              </w:tc>
              <w:tc>
                <w:tcPr>
                  <w:tcW w:w="2302" w:type="pct"/>
                  <w:tcBorders>
                    <w:tl2br w:val="nil"/>
                    <w:tr2bl w:val="nil"/>
                  </w:tcBorders>
                  <w:vAlign w:val="center"/>
                </w:tcPr>
                <w:p w14:paraId="6375CA80">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活性炭吸附箱尺寸</w:t>
                  </w:r>
                </w:p>
              </w:tc>
              <w:tc>
                <w:tcPr>
                  <w:tcW w:w="2272" w:type="pct"/>
                  <w:tcBorders>
                    <w:tl2br w:val="nil"/>
                    <w:tr2bl w:val="nil"/>
                  </w:tcBorders>
                  <w:vAlign w:val="center"/>
                </w:tcPr>
                <w:p w14:paraId="38E673EE">
                  <w:pPr>
                    <w:pStyle w:val="47"/>
                    <w:rPr>
                      <w:rFonts w:eastAsia="宋体"/>
                      <w:snapToGrid w:val="0"/>
                      <w:color w:val="auto"/>
                      <w:sz w:val="18"/>
                      <w:szCs w:val="18"/>
                    </w:rPr>
                  </w:pPr>
                  <w:r>
                    <w:rPr>
                      <w:rFonts w:eastAsia="宋体"/>
                      <w:snapToGrid w:val="0"/>
                      <w:color w:val="auto"/>
                      <w:sz w:val="18"/>
                      <w:szCs w:val="18"/>
                    </w:rPr>
                    <w:t>L</w:t>
                  </w:r>
                  <w:r>
                    <w:rPr>
                      <w:rFonts w:hint="eastAsia" w:eastAsia="宋体"/>
                      <w:snapToGrid w:val="0"/>
                      <w:color w:val="auto"/>
                      <w:sz w:val="18"/>
                      <w:szCs w:val="18"/>
                    </w:rPr>
                    <w:t>100</w:t>
                  </w:r>
                  <w:r>
                    <w:rPr>
                      <w:rFonts w:eastAsia="宋体"/>
                      <w:snapToGrid w:val="0"/>
                      <w:color w:val="auto"/>
                      <w:sz w:val="18"/>
                      <w:szCs w:val="18"/>
                    </w:rPr>
                    <w:t>0×W</w:t>
                  </w:r>
                  <w:r>
                    <w:rPr>
                      <w:rFonts w:hint="eastAsia" w:eastAsia="宋体"/>
                      <w:snapToGrid w:val="0"/>
                      <w:color w:val="auto"/>
                      <w:sz w:val="18"/>
                      <w:szCs w:val="18"/>
                    </w:rPr>
                    <w:t>10</w:t>
                  </w:r>
                  <w:r>
                    <w:rPr>
                      <w:rFonts w:eastAsia="宋体"/>
                      <w:snapToGrid w:val="0"/>
                      <w:color w:val="auto"/>
                      <w:sz w:val="18"/>
                      <w:szCs w:val="18"/>
                    </w:rPr>
                    <w:t>00×H</w:t>
                  </w:r>
                  <w:r>
                    <w:rPr>
                      <w:rFonts w:hint="eastAsia" w:eastAsia="宋体"/>
                      <w:snapToGrid w:val="0"/>
                      <w:color w:val="auto"/>
                      <w:sz w:val="18"/>
                      <w:szCs w:val="18"/>
                    </w:rPr>
                    <w:t>16</w:t>
                  </w:r>
                  <w:r>
                    <w:rPr>
                      <w:rFonts w:eastAsia="宋体"/>
                      <w:snapToGrid w:val="0"/>
                      <w:color w:val="auto"/>
                      <w:sz w:val="18"/>
                      <w:szCs w:val="18"/>
                    </w:rPr>
                    <w:t>00mm/个</w:t>
                  </w:r>
                </w:p>
              </w:tc>
            </w:tr>
            <w:tr w14:paraId="404E29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93" w:hRule="atLeast"/>
                <w:jc w:val="center"/>
              </w:trPr>
              <w:tc>
                <w:tcPr>
                  <w:tcW w:w="425" w:type="pct"/>
                  <w:tcBorders>
                    <w:tl2br w:val="nil"/>
                    <w:tr2bl w:val="nil"/>
                  </w:tcBorders>
                  <w:vAlign w:val="center"/>
                </w:tcPr>
                <w:p w14:paraId="4C5E3830">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3</w:t>
                  </w:r>
                </w:p>
              </w:tc>
              <w:tc>
                <w:tcPr>
                  <w:tcW w:w="2302" w:type="pct"/>
                  <w:tcBorders>
                    <w:tl2br w:val="nil"/>
                    <w:tr2bl w:val="nil"/>
                  </w:tcBorders>
                  <w:vAlign w:val="center"/>
                </w:tcPr>
                <w:p w14:paraId="559E6154">
                  <w:pPr>
                    <w:autoSpaceDE w:val="0"/>
                    <w:autoSpaceDN w:val="0"/>
                    <w:adjustRightInd w:val="0"/>
                    <w:snapToGrid w:val="0"/>
                    <w:jc w:val="center"/>
                    <w:rPr>
                      <w:sz w:val="18"/>
                      <w:szCs w:val="18"/>
                    </w:rPr>
                  </w:pPr>
                  <w:r>
                    <w:rPr>
                      <w:rFonts w:hint="eastAsia"/>
                      <w:sz w:val="18"/>
                      <w:szCs w:val="18"/>
                    </w:rPr>
                    <w:t>每层碳层规格（mm）</w:t>
                  </w:r>
                </w:p>
              </w:tc>
              <w:tc>
                <w:tcPr>
                  <w:tcW w:w="2272" w:type="pct"/>
                  <w:tcBorders>
                    <w:tl2br w:val="nil"/>
                    <w:tr2bl w:val="nil"/>
                  </w:tcBorders>
                  <w:vAlign w:val="center"/>
                </w:tcPr>
                <w:p w14:paraId="3808AFD4">
                  <w:pPr>
                    <w:autoSpaceDE w:val="0"/>
                    <w:autoSpaceDN w:val="0"/>
                    <w:adjustRightInd w:val="0"/>
                    <w:snapToGrid w:val="0"/>
                    <w:jc w:val="center"/>
                    <w:rPr>
                      <w:kern w:val="0"/>
                      <w:sz w:val="18"/>
                      <w:szCs w:val="18"/>
                    </w:rPr>
                  </w:pPr>
                  <w:r>
                    <w:rPr>
                      <w:rFonts w:hint="eastAsia"/>
                      <w:kern w:val="0"/>
                      <w:sz w:val="18"/>
                      <w:szCs w:val="18"/>
                      <w:lang w:val="en-US" w:eastAsia="zh-CN"/>
                    </w:rPr>
                    <w:t>9</w:t>
                  </w:r>
                  <w:r>
                    <w:rPr>
                      <w:rFonts w:hint="eastAsia"/>
                      <w:kern w:val="0"/>
                      <w:sz w:val="18"/>
                      <w:szCs w:val="18"/>
                    </w:rPr>
                    <w:t>00*</w:t>
                  </w:r>
                  <w:r>
                    <w:rPr>
                      <w:rFonts w:hint="eastAsia"/>
                      <w:kern w:val="0"/>
                      <w:sz w:val="18"/>
                      <w:szCs w:val="18"/>
                      <w:lang w:val="en-US" w:eastAsia="zh-CN"/>
                    </w:rPr>
                    <w:t>9</w:t>
                  </w:r>
                  <w:r>
                    <w:rPr>
                      <w:rFonts w:hint="eastAsia"/>
                      <w:kern w:val="0"/>
                      <w:sz w:val="18"/>
                      <w:szCs w:val="18"/>
                    </w:rPr>
                    <w:t>00*500</w:t>
                  </w:r>
                </w:p>
              </w:tc>
            </w:tr>
            <w:tr w14:paraId="60BBE6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18" w:hRule="atLeast"/>
                <w:jc w:val="center"/>
              </w:trPr>
              <w:tc>
                <w:tcPr>
                  <w:tcW w:w="425" w:type="pct"/>
                  <w:tcBorders>
                    <w:tl2br w:val="nil"/>
                    <w:tr2bl w:val="nil"/>
                  </w:tcBorders>
                  <w:vAlign w:val="center"/>
                </w:tcPr>
                <w:p w14:paraId="11997EB8">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4</w:t>
                  </w:r>
                </w:p>
              </w:tc>
              <w:tc>
                <w:tcPr>
                  <w:tcW w:w="2302" w:type="pct"/>
                  <w:tcBorders>
                    <w:tl2br w:val="nil"/>
                    <w:tr2bl w:val="nil"/>
                  </w:tcBorders>
                  <w:vAlign w:val="center"/>
                </w:tcPr>
                <w:p w14:paraId="489F0D12">
                  <w:pPr>
                    <w:autoSpaceDE w:val="0"/>
                    <w:autoSpaceDN w:val="0"/>
                    <w:adjustRightInd w:val="0"/>
                    <w:snapToGrid w:val="0"/>
                    <w:jc w:val="center"/>
                    <w:rPr>
                      <w:sz w:val="18"/>
                      <w:szCs w:val="18"/>
                    </w:rPr>
                  </w:pPr>
                  <w:r>
                    <w:rPr>
                      <w:rFonts w:hint="eastAsia"/>
                      <w:sz w:val="18"/>
                      <w:szCs w:val="18"/>
                    </w:rPr>
                    <w:t>层数</w:t>
                  </w:r>
                </w:p>
              </w:tc>
              <w:tc>
                <w:tcPr>
                  <w:tcW w:w="2272" w:type="pct"/>
                  <w:tcBorders>
                    <w:tl2br w:val="nil"/>
                    <w:tr2bl w:val="nil"/>
                  </w:tcBorders>
                  <w:vAlign w:val="center"/>
                </w:tcPr>
                <w:p w14:paraId="18C5362C">
                  <w:pPr>
                    <w:autoSpaceDE w:val="0"/>
                    <w:autoSpaceDN w:val="0"/>
                    <w:adjustRightInd w:val="0"/>
                    <w:snapToGrid w:val="0"/>
                    <w:jc w:val="center"/>
                    <w:rPr>
                      <w:kern w:val="0"/>
                      <w:sz w:val="18"/>
                      <w:szCs w:val="18"/>
                    </w:rPr>
                  </w:pPr>
                  <w:r>
                    <w:rPr>
                      <w:rFonts w:hint="eastAsia"/>
                      <w:kern w:val="0"/>
                      <w:sz w:val="18"/>
                      <w:szCs w:val="18"/>
                    </w:rPr>
                    <w:t>3层</w:t>
                  </w:r>
                </w:p>
              </w:tc>
            </w:tr>
            <w:tr w14:paraId="0AC75D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3" w:hRule="atLeast"/>
                <w:jc w:val="center"/>
              </w:trPr>
              <w:tc>
                <w:tcPr>
                  <w:tcW w:w="425" w:type="pct"/>
                  <w:tcBorders>
                    <w:tl2br w:val="nil"/>
                    <w:tr2bl w:val="nil"/>
                  </w:tcBorders>
                  <w:vAlign w:val="center"/>
                </w:tcPr>
                <w:p w14:paraId="2379AB3B">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5</w:t>
                  </w:r>
                </w:p>
              </w:tc>
              <w:tc>
                <w:tcPr>
                  <w:tcW w:w="2302" w:type="pct"/>
                  <w:tcBorders>
                    <w:tl2br w:val="nil"/>
                    <w:tr2bl w:val="nil"/>
                  </w:tcBorders>
                  <w:vAlign w:val="center"/>
                </w:tcPr>
                <w:p w14:paraId="0DAAC556">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活性炭类型</w:t>
                  </w:r>
                </w:p>
              </w:tc>
              <w:tc>
                <w:tcPr>
                  <w:tcW w:w="2272" w:type="pct"/>
                  <w:tcBorders>
                    <w:tl2br w:val="nil"/>
                    <w:tr2bl w:val="nil"/>
                  </w:tcBorders>
                  <w:vAlign w:val="center"/>
                </w:tcPr>
                <w:p w14:paraId="6B6131FB">
                  <w:pPr>
                    <w:pStyle w:val="47"/>
                    <w:rPr>
                      <w:rFonts w:eastAsia="宋体"/>
                      <w:snapToGrid w:val="0"/>
                      <w:color w:val="auto"/>
                      <w:sz w:val="18"/>
                      <w:szCs w:val="18"/>
                    </w:rPr>
                  </w:pPr>
                  <w:r>
                    <w:rPr>
                      <w:rFonts w:eastAsia="宋体"/>
                      <w:snapToGrid w:val="0"/>
                      <w:color w:val="auto"/>
                      <w:sz w:val="18"/>
                      <w:szCs w:val="18"/>
                    </w:rPr>
                    <w:t>蜂窝状</w:t>
                  </w:r>
                </w:p>
              </w:tc>
            </w:tr>
            <w:tr w14:paraId="188EF8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3" w:hRule="atLeast"/>
                <w:jc w:val="center"/>
              </w:trPr>
              <w:tc>
                <w:tcPr>
                  <w:tcW w:w="425" w:type="pct"/>
                  <w:tcBorders>
                    <w:tl2br w:val="nil"/>
                    <w:tr2bl w:val="nil"/>
                  </w:tcBorders>
                  <w:vAlign w:val="center"/>
                </w:tcPr>
                <w:p w14:paraId="1D663F71">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6</w:t>
                  </w:r>
                </w:p>
              </w:tc>
              <w:tc>
                <w:tcPr>
                  <w:tcW w:w="2302" w:type="pct"/>
                  <w:tcBorders>
                    <w:tl2br w:val="nil"/>
                    <w:tr2bl w:val="nil"/>
                  </w:tcBorders>
                  <w:vAlign w:val="center"/>
                </w:tcPr>
                <w:p w14:paraId="769C8DD7">
                  <w:pPr>
                    <w:autoSpaceDE w:val="0"/>
                    <w:autoSpaceDN w:val="0"/>
                    <w:adjustRightInd w:val="0"/>
                    <w:snapToGrid w:val="0"/>
                    <w:jc w:val="center"/>
                    <w:rPr>
                      <w:sz w:val="18"/>
                      <w:szCs w:val="18"/>
                    </w:rPr>
                  </w:pPr>
                  <w:r>
                    <w:rPr>
                      <w:rFonts w:hint="eastAsia"/>
                      <w:sz w:val="18"/>
                      <w:szCs w:val="18"/>
                    </w:rPr>
                    <w:t>比表面积（m</w:t>
                  </w:r>
                  <w:r>
                    <w:rPr>
                      <w:rFonts w:hint="eastAsia"/>
                      <w:sz w:val="18"/>
                      <w:szCs w:val="18"/>
                      <w:vertAlign w:val="superscript"/>
                    </w:rPr>
                    <w:t>2</w:t>
                  </w:r>
                  <w:r>
                    <w:rPr>
                      <w:rFonts w:hint="eastAsia"/>
                      <w:sz w:val="18"/>
                      <w:szCs w:val="18"/>
                    </w:rPr>
                    <w:t>/g）</w:t>
                  </w:r>
                </w:p>
              </w:tc>
              <w:tc>
                <w:tcPr>
                  <w:tcW w:w="2272" w:type="pct"/>
                  <w:tcBorders>
                    <w:tl2br w:val="nil"/>
                    <w:tr2bl w:val="nil"/>
                  </w:tcBorders>
                  <w:vAlign w:val="center"/>
                </w:tcPr>
                <w:p w14:paraId="6EFA6F5B">
                  <w:pPr>
                    <w:autoSpaceDE w:val="0"/>
                    <w:autoSpaceDN w:val="0"/>
                    <w:adjustRightInd w:val="0"/>
                    <w:snapToGrid w:val="0"/>
                    <w:jc w:val="center"/>
                    <w:rPr>
                      <w:kern w:val="0"/>
                      <w:sz w:val="18"/>
                      <w:szCs w:val="18"/>
                    </w:rPr>
                  </w:pPr>
                  <w:r>
                    <w:rPr>
                      <w:rFonts w:hint="eastAsia"/>
                      <w:kern w:val="0"/>
                      <w:sz w:val="18"/>
                      <w:szCs w:val="18"/>
                    </w:rPr>
                    <w:t>800</w:t>
                  </w:r>
                </w:p>
              </w:tc>
            </w:tr>
            <w:tr w14:paraId="48A93B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93" w:hRule="atLeast"/>
                <w:jc w:val="center"/>
              </w:trPr>
              <w:tc>
                <w:tcPr>
                  <w:tcW w:w="425" w:type="pct"/>
                  <w:tcBorders>
                    <w:tl2br w:val="nil"/>
                    <w:tr2bl w:val="nil"/>
                  </w:tcBorders>
                  <w:vAlign w:val="center"/>
                </w:tcPr>
                <w:p w14:paraId="3FEBF5B1">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7</w:t>
                  </w:r>
                </w:p>
              </w:tc>
              <w:tc>
                <w:tcPr>
                  <w:tcW w:w="2302" w:type="pct"/>
                  <w:tcBorders>
                    <w:tl2br w:val="nil"/>
                    <w:tr2bl w:val="nil"/>
                  </w:tcBorders>
                  <w:vAlign w:val="center"/>
                </w:tcPr>
                <w:p w14:paraId="5A3D4EA2">
                  <w:pPr>
                    <w:pStyle w:val="47"/>
                    <w:rPr>
                      <w:rFonts w:hint="eastAsia" w:ascii="宋体" w:hAnsi="宋体" w:cs="宋体"/>
                      <w:snapToGrid w:val="0"/>
                      <w:color w:val="auto"/>
                      <w:sz w:val="18"/>
                      <w:szCs w:val="18"/>
                    </w:rPr>
                  </w:pPr>
                  <w:r>
                    <w:rPr>
                      <w:rFonts w:hint="eastAsia" w:ascii="宋体" w:hAnsi="宋体" w:eastAsia="宋体" w:cs="宋体"/>
                      <w:snapToGrid w:val="0"/>
                      <w:color w:val="auto"/>
                      <w:sz w:val="18"/>
                      <w:szCs w:val="18"/>
                    </w:rPr>
                    <w:t>活性炭密度（</w:t>
                  </w:r>
                  <w:r>
                    <w:rPr>
                      <w:rFonts w:hint="eastAsia"/>
                      <w:color w:val="auto"/>
                      <w:sz w:val="18"/>
                      <w:szCs w:val="18"/>
                    </w:rPr>
                    <w:t>g/m</w:t>
                  </w:r>
                  <w:r>
                    <w:rPr>
                      <w:rFonts w:hint="eastAsia"/>
                      <w:color w:val="auto"/>
                      <w:sz w:val="18"/>
                      <w:szCs w:val="18"/>
                      <w:vertAlign w:val="superscript"/>
                    </w:rPr>
                    <w:t>3</w:t>
                  </w:r>
                  <w:r>
                    <w:rPr>
                      <w:rFonts w:hint="eastAsia"/>
                      <w:color w:val="auto"/>
                      <w:sz w:val="18"/>
                      <w:szCs w:val="18"/>
                    </w:rPr>
                    <w:t>）</w:t>
                  </w:r>
                </w:p>
              </w:tc>
              <w:tc>
                <w:tcPr>
                  <w:tcW w:w="2272" w:type="pct"/>
                  <w:tcBorders>
                    <w:tl2br w:val="nil"/>
                    <w:tr2bl w:val="nil"/>
                  </w:tcBorders>
                  <w:vAlign w:val="center"/>
                </w:tcPr>
                <w:p w14:paraId="7CFE73B1">
                  <w:pPr>
                    <w:pStyle w:val="47"/>
                    <w:rPr>
                      <w:rFonts w:eastAsia="宋体"/>
                      <w:snapToGrid w:val="0"/>
                      <w:color w:val="auto"/>
                      <w:sz w:val="18"/>
                      <w:szCs w:val="18"/>
                    </w:rPr>
                  </w:pPr>
                  <w:r>
                    <w:rPr>
                      <w:rFonts w:hint="eastAsia" w:eastAsia="宋体"/>
                      <w:snapToGrid w:val="0"/>
                      <w:color w:val="auto"/>
                      <w:sz w:val="18"/>
                      <w:szCs w:val="18"/>
                    </w:rPr>
                    <w:t>450</w:t>
                  </w:r>
                </w:p>
              </w:tc>
            </w:tr>
            <w:tr w14:paraId="4805FF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3" w:hRule="atLeast"/>
                <w:jc w:val="center"/>
              </w:trPr>
              <w:tc>
                <w:tcPr>
                  <w:tcW w:w="425" w:type="pct"/>
                  <w:tcBorders>
                    <w:tl2br w:val="nil"/>
                    <w:tr2bl w:val="nil"/>
                  </w:tcBorders>
                  <w:vAlign w:val="center"/>
                </w:tcPr>
                <w:p w14:paraId="1F4EDF5F">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8</w:t>
                  </w:r>
                </w:p>
              </w:tc>
              <w:tc>
                <w:tcPr>
                  <w:tcW w:w="2302" w:type="pct"/>
                  <w:tcBorders>
                    <w:tl2br w:val="nil"/>
                    <w:tr2bl w:val="nil"/>
                  </w:tcBorders>
                  <w:vAlign w:val="center"/>
                </w:tcPr>
                <w:p w14:paraId="2FDC0CB0">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过滤风速</w:t>
                  </w:r>
                </w:p>
              </w:tc>
              <w:tc>
                <w:tcPr>
                  <w:tcW w:w="2272" w:type="pct"/>
                  <w:tcBorders>
                    <w:tl2br w:val="nil"/>
                    <w:tr2bl w:val="nil"/>
                  </w:tcBorders>
                  <w:vAlign w:val="center"/>
                </w:tcPr>
                <w:p w14:paraId="27DF993A">
                  <w:pPr>
                    <w:pStyle w:val="47"/>
                    <w:rPr>
                      <w:rFonts w:eastAsia="宋体"/>
                      <w:snapToGrid w:val="0"/>
                      <w:color w:val="auto"/>
                      <w:sz w:val="18"/>
                      <w:szCs w:val="18"/>
                    </w:rPr>
                  </w:pPr>
                  <w:r>
                    <w:rPr>
                      <w:rFonts w:hint="eastAsia" w:eastAsia="宋体"/>
                      <w:snapToGrid w:val="0"/>
                      <w:color w:val="auto"/>
                      <w:sz w:val="18"/>
                      <w:szCs w:val="18"/>
                      <w:lang w:val="en-US" w:eastAsia="zh-CN"/>
                    </w:rPr>
                    <w:t>0.798</w:t>
                  </w:r>
                  <w:r>
                    <w:rPr>
                      <w:rFonts w:eastAsia="宋体"/>
                      <w:snapToGrid w:val="0"/>
                      <w:color w:val="auto"/>
                      <w:sz w:val="18"/>
                      <w:szCs w:val="18"/>
                    </w:rPr>
                    <w:t>m/s</w:t>
                  </w:r>
                </w:p>
              </w:tc>
            </w:tr>
            <w:tr w14:paraId="4FF9C7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93" w:hRule="atLeast"/>
                <w:jc w:val="center"/>
              </w:trPr>
              <w:tc>
                <w:tcPr>
                  <w:tcW w:w="425" w:type="pct"/>
                  <w:tcBorders>
                    <w:tl2br w:val="nil"/>
                    <w:tr2bl w:val="nil"/>
                  </w:tcBorders>
                  <w:vAlign w:val="center"/>
                </w:tcPr>
                <w:p w14:paraId="29151818">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9</w:t>
                  </w:r>
                </w:p>
              </w:tc>
              <w:tc>
                <w:tcPr>
                  <w:tcW w:w="2302" w:type="pct"/>
                  <w:tcBorders>
                    <w:tl2br w:val="nil"/>
                    <w:tr2bl w:val="nil"/>
                  </w:tcBorders>
                  <w:vAlign w:val="center"/>
                </w:tcPr>
                <w:p w14:paraId="294A09D1">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碘吸附值</w:t>
                  </w:r>
                </w:p>
              </w:tc>
              <w:tc>
                <w:tcPr>
                  <w:tcW w:w="2272" w:type="pct"/>
                  <w:tcBorders>
                    <w:tl2br w:val="nil"/>
                    <w:tr2bl w:val="nil"/>
                  </w:tcBorders>
                  <w:vAlign w:val="center"/>
                </w:tcPr>
                <w:p w14:paraId="18675A24">
                  <w:pPr>
                    <w:pStyle w:val="47"/>
                    <w:rPr>
                      <w:rFonts w:eastAsia="宋体"/>
                      <w:snapToGrid w:val="0"/>
                      <w:color w:val="auto"/>
                      <w:sz w:val="18"/>
                      <w:szCs w:val="18"/>
                    </w:rPr>
                  </w:pPr>
                  <w:r>
                    <w:rPr>
                      <w:rFonts w:eastAsia="宋体"/>
                      <w:snapToGrid w:val="0"/>
                      <w:color w:val="auto"/>
                      <w:sz w:val="18"/>
                      <w:szCs w:val="18"/>
                    </w:rPr>
                    <w:t>≥</w:t>
                  </w:r>
                  <w:r>
                    <w:rPr>
                      <w:rFonts w:hint="eastAsia" w:eastAsia="宋体"/>
                      <w:snapToGrid w:val="0"/>
                      <w:color w:val="auto"/>
                      <w:sz w:val="18"/>
                      <w:szCs w:val="18"/>
                    </w:rPr>
                    <w:t>65</w:t>
                  </w:r>
                  <w:r>
                    <w:rPr>
                      <w:rFonts w:eastAsia="宋体"/>
                      <w:snapToGrid w:val="0"/>
                      <w:color w:val="auto"/>
                      <w:sz w:val="18"/>
                      <w:szCs w:val="18"/>
                    </w:rPr>
                    <w:t>0mg/g</w:t>
                  </w:r>
                </w:p>
              </w:tc>
            </w:tr>
            <w:tr w14:paraId="6C845C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93" w:hRule="atLeast"/>
                <w:jc w:val="center"/>
              </w:trPr>
              <w:tc>
                <w:tcPr>
                  <w:tcW w:w="425" w:type="pct"/>
                  <w:tcBorders>
                    <w:tl2br w:val="nil"/>
                    <w:tr2bl w:val="nil"/>
                  </w:tcBorders>
                  <w:vAlign w:val="center"/>
                </w:tcPr>
                <w:p w14:paraId="3C77DFC9">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10</w:t>
                  </w:r>
                </w:p>
              </w:tc>
              <w:tc>
                <w:tcPr>
                  <w:tcW w:w="2302" w:type="pct"/>
                  <w:tcBorders>
                    <w:tl2br w:val="nil"/>
                    <w:tr2bl w:val="nil"/>
                  </w:tcBorders>
                  <w:vAlign w:val="center"/>
                </w:tcPr>
                <w:p w14:paraId="5DD0F231">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吸附阻力</w:t>
                  </w:r>
                </w:p>
              </w:tc>
              <w:tc>
                <w:tcPr>
                  <w:tcW w:w="2272" w:type="pct"/>
                  <w:tcBorders>
                    <w:tl2br w:val="nil"/>
                    <w:tr2bl w:val="nil"/>
                  </w:tcBorders>
                  <w:vAlign w:val="center"/>
                </w:tcPr>
                <w:p w14:paraId="33E82947">
                  <w:pPr>
                    <w:pStyle w:val="47"/>
                    <w:rPr>
                      <w:rFonts w:eastAsia="宋体"/>
                      <w:snapToGrid w:val="0"/>
                      <w:color w:val="auto"/>
                      <w:sz w:val="18"/>
                      <w:szCs w:val="18"/>
                    </w:rPr>
                  </w:pPr>
                  <w:r>
                    <w:rPr>
                      <w:rFonts w:hint="eastAsia" w:eastAsia="宋体"/>
                      <w:snapToGrid w:val="0"/>
                      <w:color w:val="auto"/>
                      <w:sz w:val="18"/>
                      <w:szCs w:val="18"/>
                    </w:rPr>
                    <w:t>1000Pa</w:t>
                  </w:r>
                </w:p>
              </w:tc>
            </w:tr>
            <w:tr w14:paraId="33FBF6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93" w:hRule="atLeast"/>
                <w:jc w:val="center"/>
              </w:trPr>
              <w:tc>
                <w:tcPr>
                  <w:tcW w:w="425" w:type="pct"/>
                  <w:tcBorders>
                    <w:tl2br w:val="nil"/>
                    <w:tr2bl w:val="nil"/>
                  </w:tcBorders>
                  <w:vAlign w:val="center"/>
                </w:tcPr>
                <w:p w14:paraId="2CE59CBE">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11</w:t>
                  </w:r>
                </w:p>
              </w:tc>
              <w:tc>
                <w:tcPr>
                  <w:tcW w:w="2302" w:type="pct"/>
                  <w:tcBorders>
                    <w:tl2br w:val="nil"/>
                    <w:tr2bl w:val="nil"/>
                  </w:tcBorders>
                  <w:vAlign w:val="center"/>
                </w:tcPr>
                <w:p w14:paraId="7FBAEAC7">
                  <w:pPr>
                    <w:autoSpaceDE w:val="0"/>
                    <w:autoSpaceDN w:val="0"/>
                    <w:adjustRightInd w:val="0"/>
                    <w:snapToGrid w:val="0"/>
                    <w:jc w:val="center"/>
                    <w:rPr>
                      <w:sz w:val="18"/>
                      <w:szCs w:val="18"/>
                    </w:rPr>
                  </w:pPr>
                  <w:r>
                    <w:rPr>
                      <w:rFonts w:hint="eastAsia"/>
                      <w:sz w:val="18"/>
                      <w:szCs w:val="18"/>
                    </w:rPr>
                    <w:t>净化效率</w:t>
                  </w:r>
                </w:p>
              </w:tc>
              <w:tc>
                <w:tcPr>
                  <w:tcW w:w="2272" w:type="pct"/>
                  <w:tcBorders>
                    <w:tl2br w:val="nil"/>
                    <w:tr2bl w:val="nil"/>
                  </w:tcBorders>
                  <w:vAlign w:val="center"/>
                </w:tcPr>
                <w:p w14:paraId="40CDD89E">
                  <w:pPr>
                    <w:autoSpaceDE w:val="0"/>
                    <w:autoSpaceDN w:val="0"/>
                    <w:adjustRightInd w:val="0"/>
                    <w:snapToGrid w:val="0"/>
                    <w:jc w:val="center"/>
                    <w:rPr>
                      <w:kern w:val="0"/>
                      <w:sz w:val="18"/>
                      <w:szCs w:val="18"/>
                    </w:rPr>
                  </w:pPr>
                  <w:r>
                    <w:rPr>
                      <w:rFonts w:hint="eastAsia"/>
                      <w:kern w:val="0"/>
                      <w:sz w:val="18"/>
                      <w:szCs w:val="18"/>
                    </w:rPr>
                    <w:t>理论单级70%，二级综合效率</w:t>
                  </w:r>
                  <w:r>
                    <w:rPr>
                      <w:rFonts w:hint="eastAsia"/>
                      <w:kern w:val="0"/>
                      <w:sz w:val="18"/>
                      <w:szCs w:val="18"/>
                      <w:lang w:val="en-US" w:eastAsia="zh-CN"/>
                    </w:rPr>
                    <w:t>80</w:t>
                  </w:r>
                  <w:r>
                    <w:rPr>
                      <w:rFonts w:hint="eastAsia"/>
                      <w:kern w:val="0"/>
                      <w:sz w:val="18"/>
                      <w:szCs w:val="18"/>
                    </w:rPr>
                    <w:t>%</w:t>
                  </w:r>
                </w:p>
              </w:tc>
            </w:tr>
            <w:tr w14:paraId="4C8301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3" w:hRule="atLeast"/>
                <w:jc w:val="center"/>
              </w:trPr>
              <w:tc>
                <w:tcPr>
                  <w:tcW w:w="425" w:type="pct"/>
                  <w:tcBorders>
                    <w:tl2br w:val="nil"/>
                    <w:tr2bl w:val="nil"/>
                  </w:tcBorders>
                  <w:vAlign w:val="center"/>
                </w:tcPr>
                <w:p w14:paraId="6439A751">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12</w:t>
                  </w:r>
                </w:p>
              </w:tc>
              <w:tc>
                <w:tcPr>
                  <w:tcW w:w="2302" w:type="pct"/>
                  <w:tcBorders>
                    <w:tl2br w:val="nil"/>
                    <w:tr2bl w:val="nil"/>
                  </w:tcBorders>
                  <w:vAlign w:val="center"/>
                </w:tcPr>
                <w:p w14:paraId="12D4A904">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吸附容量</w:t>
                  </w:r>
                </w:p>
              </w:tc>
              <w:tc>
                <w:tcPr>
                  <w:tcW w:w="2272" w:type="pct"/>
                  <w:tcBorders>
                    <w:tl2br w:val="nil"/>
                    <w:tr2bl w:val="nil"/>
                  </w:tcBorders>
                  <w:vAlign w:val="center"/>
                </w:tcPr>
                <w:p w14:paraId="0364C916">
                  <w:pPr>
                    <w:pStyle w:val="47"/>
                    <w:rPr>
                      <w:rFonts w:eastAsia="宋体"/>
                      <w:snapToGrid w:val="0"/>
                      <w:color w:val="auto"/>
                      <w:sz w:val="18"/>
                      <w:szCs w:val="18"/>
                    </w:rPr>
                  </w:pPr>
                  <w:r>
                    <w:rPr>
                      <w:rFonts w:eastAsia="宋体"/>
                      <w:snapToGrid w:val="0"/>
                      <w:color w:val="auto"/>
                      <w:sz w:val="18"/>
                      <w:szCs w:val="18"/>
                    </w:rPr>
                    <w:t>0.3g/g</w:t>
                  </w:r>
                </w:p>
              </w:tc>
            </w:tr>
            <w:tr w14:paraId="357238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3" w:hRule="atLeast"/>
                <w:jc w:val="center"/>
              </w:trPr>
              <w:tc>
                <w:tcPr>
                  <w:tcW w:w="425" w:type="pct"/>
                  <w:tcBorders>
                    <w:tl2br w:val="nil"/>
                    <w:tr2bl w:val="nil"/>
                  </w:tcBorders>
                  <w:vAlign w:val="center"/>
                </w:tcPr>
                <w:p w14:paraId="58D0C6F4">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13</w:t>
                  </w:r>
                </w:p>
              </w:tc>
              <w:tc>
                <w:tcPr>
                  <w:tcW w:w="2302" w:type="pct"/>
                  <w:tcBorders>
                    <w:tl2br w:val="nil"/>
                    <w:tr2bl w:val="nil"/>
                  </w:tcBorders>
                  <w:vAlign w:val="center"/>
                </w:tcPr>
                <w:p w14:paraId="5C6D73E7">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填充量（t/次）</w:t>
                  </w:r>
                </w:p>
              </w:tc>
              <w:tc>
                <w:tcPr>
                  <w:tcW w:w="2272" w:type="pct"/>
                  <w:tcBorders>
                    <w:tl2br w:val="nil"/>
                    <w:tr2bl w:val="nil"/>
                  </w:tcBorders>
                  <w:vAlign w:val="center"/>
                </w:tcPr>
                <w:p w14:paraId="6E044905">
                  <w:pPr>
                    <w:pStyle w:val="47"/>
                    <w:rPr>
                      <w:rFonts w:eastAsia="宋体"/>
                      <w:snapToGrid w:val="0"/>
                      <w:color w:val="auto"/>
                      <w:sz w:val="18"/>
                      <w:szCs w:val="18"/>
                    </w:rPr>
                  </w:pPr>
                  <w:r>
                    <w:rPr>
                      <w:rFonts w:hint="eastAsia" w:eastAsia="宋体"/>
                      <w:snapToGrid w:val="0"/>
                      <w:color w:val="auto"/>
                      <w:sz w:val="18"/>
                      <w:szCs w:val="18"/>
                    </w:rPr>
                    <w:t>0.864</w:t>
                  </w:r>
                  <w:r>
                    <w:rPr>
                      <w:rFonts w:eastAsia="宋体"/>
                      <w:snapToGrid w:val="0"/>
                      <w:color w:val="auto"/>
                      <w:sz w:val="18"/>
                      <w:szCs w:val="18"/>
                    </w:rPr>
                    <w:t>t</w:t>
                  </w:r>
                </w:p>
              </w:tc>
            </w:tr>
            <w:tr w14:paraId="014864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78" w:hRule="atLeast"/>
                <w:jc w:val="center"/>
              </w:trPr>
              <w:tc>
                <w:tcPr>
                  <w:tcW w:w="425" w:type="pct"/>
                  <w:tcBorders>
                    <w:tl2br w:val="nil"/>
                    <w:tr2bl w:val="nil"/>
                  </w:tcBorders>
                  <w:vAlign w:val="center"/>
                </w:tcPr>
                <w:p w14:paraId="79EBB849">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14</w:t>
                  </w:r>
                </w:p>
              </w:tc>
              <w:tc>
                <w:tcPr>
                  <w:tcW w:w="2302" w:type="pct"/>
                  <w:tcBorders>
                    <w:tl2br w:val="nil"/>
                    <w:tr2bl w:val="nil"/>
                  </w:tcBorders>
                  <w:vAlign w:val="center"/>
                </w:tcPr>
                <w:p w14:paraId="6309D109">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活性炭更换频次</w:t>
                  </w:r>
                </w:p>
              </w:tc>
              <w:tc>
                <w:tcPr>
                  <w:tcW w:w="2272" w:type="pct"/>
                  <w:tcBorders>
                    <w:tl2br w:val="nil"/>
                    <w:tr2bl w:val="nil"/>
                  </w:tcBorders>
                  <w:vAlign w:val="center"/>
                </w:tcPr>
                <w:p w14:paraId="0AA544AD">
                  <w:pPr>
                    <w:pStyle w:val="47"/>
                    <w:rPr>
                      <w:rFonts w:eastAsia="宋体"/>
                      <w:snapToGrid w:val="0"/>
                      <w:color w:val="auto"/>
                      <w:sz w:val="18"/>
                      <w:szCs w:val="18"/>
                    </w:rPr>
                  </w:pPr>
                  <w:r>
                    <w:rPr>
                      <w:rFonts w:hint="eastAsia" w:eastAsia="宋体"/>
                      <w:snapToGrid w:val="0"/>
                      <w:color w:val="auto"/>
                      <w:sz w:val="18"/>
                      <w:szCs w:val="18"/>
                    </w:rPr>
                    <w:t>3个月更换一次</w:t>
                  </w:r>
                </w:p>
              </w:tc>
            </w:tr>
          </w:tbl>
          <w:p w14:paraId="514D4980">
            <w:pPr>
              <w:spacing w:line="360" w:lineRule="auto"/>
              <w:ind w:firstLine="422" w:firstLineChars="200"/>
              <w:jc w:val="left"/>
              <w:rPr>
                <w:b/>
                <w:bCs/>
                <w:kern w:val="0"/>
                <w:szCs w:val="21"/>
              </w:rPr>
            </w:pPr>
            <w:r>
              <w:rPr>
                <w:b/>
                <w:bCs/>
                <w:kern w:val="0"/>
                <w:szCs w:val="21"/>
              </w:rPr>
              <w:t>活性炭技术参数合理性分析：</w:t>
            </w:r>
          </w:p>
          <w:p w14:paraId="1D099F1A">
            <w:pPr>
              <w:wordWrap w:val="0"/>
              <w:spacing w:line="360" w:lineRule="auto"/>
              <w:ind w:firstLine="420" w:firstLineChars="200"/>
              <w:jc w:val="left"/>
              <w:rPr>
                <w:szCs w:val="21"/>
              </w:rPr>
            </w:pPr>
            <w:r>
              <w:rPr>
                <w:szCs w:val="21"/>
              </w:rPr>
              <w:t>废气处理装置</w:t>
            </w:r>
            <w:r>
              <w:rPr>
                <w:szCs w:val="21"/>
                <w:lang w:val="zh-CN"/>
              </w:rPr>
              <w:t>配套风机</w:t>
            </w:r>
            <w:r>
              <w:rPr>
                <w:kern w:val="0"/>
                <w:szCs w:val="21"/>
              </w:rPr>
              <w:t>风量</w:t>
            </w:r>
            <w:r>
              <w:rPr>
                <w:rFonts w:hint="eastAsia"/>
                <w:kern w:val="0"/>
                <w:szCs w:val="21"/>
              </w:rPr>
              <w:t>70</w:t>
            </w:r>
            <w:r>
              <w:rPr>
                <w:kern w:val="0"/>
                <w:szCs w:val="21"/>
              </w:rPr>
              <w:t>00m</w:t>
            </w:r>
            <w:r>
              <w:rPr>
                <w:kern w:val="0"/>
                <w:szCs w:val="21"/>
                <w:vertAlign w:val="superscript"/>
              </w:rPr>
              <w:t>3</w:t>
            </w:r>
            <w:r>
              <w:rPr>
                <w:kern w:val="0"/>
                <w:szCs w:val="21"/>
              </w:rPr>
              <w:t>/h=</w:t>
            </w:r>
            <w:r>
              <w:rPr>
                <w:rFonts w:hint="eastAsia"/>
                <w:kern w:val="0"/>
                <w:szCs w:val="21"/>
              </w:rPr>
              <w:t>1.94</w:t>
            </w:r>
            <w:r>
              <w:rPr>
                <w:kern w:val="0"/>
                <w:szCs w:val="21"/>
              </w:rPr>
              <w:t>m</w:t>
            </w:r>
            <w:r>
              <w:rPr>
                <w:kern w:val="0"/>
                <w:szCs w:val="21"/>
                <w:vertAlign w:val="superscript"/>
              </w:rPr>
              <w:t>3</w:t>
            </w:r>
            <w:r>
              <w:rPr>
                <w:kern w:val="0"/>
                <w:szCs w:val="21"/>
              </w:rPr>
              <w:t>/s；活性炭吸附装置其规格为活性炭体宽度</w:t>
            </w:r>
            <w:r>
              <w:rPr>
                <w:rFonts w:hint="eastAsia"/>
                <w:kern w:val="0"/>
                <w:szCs w:val="21"/>
              </w:rPr>
              <w:t>0.</w:t>
            </w:r>
            <w:r>
              <w:rPr>
                <w:rFonts w:hint="eastAsia"/>
                <w:kern w:val="0"/>
                <w:szCs w:val="21"/>
                <w:lang w:val="en-US" w:eastAsia="zh-CN"/>
              </w:rPr>
              <w:t>9</w:t>
            </w:r>
            <w:r>
              <w:rPr>
                <w:kern w:val="0"/>
                <w:szCs w:val="21"/>
              </w:rPr>
              <w:t>m，活性炭体长度</w:t>
            </w:r>
            <w:r>
              <w:rPr>
                <w:rFonts w:hint="eastAsia"/>
                <w:kern w:val="0"/>
                <w:szCs w:val="21"/>
              </w:rPr>
              <w:t>0.</w:t>
            </w:r>
            <w:r>
              <w:rPr>
                <w:rFonts w:hint="eastAsia"/>
                <w:kern w:val="0"/>
                <w:szCs w:val="21"/>
                <w:lang w:val="en-US" w:eastAsia="zh-CN"/>
              </w:rPr>
              <w:t>9</w:t>
            </w:r>
            <w:r>
              <w:rPr>
                <w:kern w:val="0"/>
                <w:szCs w:val="21"/>
              </w:rPr>
              <w:t>m，活性炭有效填充厚度</w:t>
            </w:r>
            <w:r>
              <w:rPr>
                <w:rFonts w:hint="eastAsia"/>
                <w:kern w:val="0"/>
                <w:szCs w:val="21"/>
              </w:rPr>
              <w:t>0.5</w:t>
            </w:r>
            <w:r>
              <w:rPr>
                <w:kern w:val="0"/>
                <w:szCs w:val="21"/>
              </w:rPr>
              <w:t>m，</w:t>
            </w:r>
            <w:r>
              <w:rPr>
                <w:rFonts w:hint="eastAsia"/>
                <w:kern w:val="0"/>
                <w:szCs w:val="21"/>
              </w:rPr>
              <w:t>单个</w:t>
            </w:r>
            <w:r>
              <w:rPr>
                <w:kern w:val="0"/>
                <w:szCs w:val="21"/>
              </w:rPr>
              <w:t>装置内放</w:t>
            </w:r>
            <w:r>
              <w:rPr>
                <w:rFonts w:hint="eastAsia"/>
                <w:kern w:val="0"/>
                <w:szCs w:val="21"/>
              </w:rPr>
              <w:t>3</w:t>
            </w:r>
            <w:r>
              <w:rPr>
                <w:kern w:val="0"/>
                <w:szCs w:val="21"/>
              </w:rPr>
              <w:t>层，活性炭密度0.</w:t>
            </w:r>
            <w:r>
              <w:rPr>
                <w:rFonts w:hint="eastAsia"/>
                <w:kern w:val="0"/>
                <w:szCs w:val="21"/>
              </w:rPr>
              <w:t>4</w:t>
            </w:r>
            <w:r>
              <w:rPr>
                <w:kern w:val="0"/>
                <w:szCs w:val="21"/>
              </w:rPr>
              <w:t>5g/cm</w:t>
            </w:r>
            <w:r>
              <w:rPr>
                <w:kern w:val="0"/>
                <w:szCs w:val="21"/>
                <w:vertAlign w:val="superscript"/>
              </w:rPr>
              <w:t>3</w:t>
            </w:r>
            <w:r>
              <w:rPr>
                <w:kern w:val="0"/>
                <w:szCs w:val="21"/>
              </w:rPr>
              <w:t>。活性炭吸附装置有效容积=有效长度×有效宽度×有效高度=</w:t>
            </w:r>
            <w:r>
              <w:rPr>
                <w:rFonts w:hint="eastAsia"/>
                <w:kern w:val="0"/>
                <w:szCs w:val="21"/>
              </w:rPr>
              <w:t>0.</w:t>
            </w:r>
            <w:r>
              <w:rPr>
                <w:rFonts w:hint="eastAsia"/>
                <w:kern w:val="0"/>
                <w:szCs w:val="21"/>
                <w:lang w:val="en-US" w:eastAsia="zh-CN"/>
              </w:rPr>
              <w:t>9</w:t>
            </w:r>
            <w:r>
              <w:rPr>
                <w:kern w:val="0"/>
                <w:szCs w:val="21"/>
              </w:rPr>
              <w:t>m×</w:t>
            </w:r>
            <w:r>
              <w:rPr>
                <w:rFonts w:hint="eastAsia"/>
                <w:kern w:val="0"/>
                <w:szCs w:val="21"/>
              </w:rPr>
              <w:t>0.</w:t>
            </w:r>
            <w:r>
              <w:rPr>
                <w:rFonts w:hint="eastAsia"/>
                <w:kern w:val="0"/>
                <w:szCs w:val="21"/>
                <w:lang w:val="en-US" w:eastAsia="zh-CN"/>
              </w:rPr>
              <w:t>9</w:t>
            </w:r>
            <w:r>
              <w:rPr>
                <w:kern w:val="0"/>
                <w:szCs w:val="21"/>
              </w:rPr>
              <w:t>m×</w:t>
            </w:r>
            <w:r>
              <w:rPr>
                <w:rFonts w:hint="eastAsia"/>
                <w:kern w:val="0"/>
                <w:szCs w:val="21"/>
              </w:rPr>
              <w:t>1.5</w:t>
            </w:r>
            <w:r>
              <w:rPr>
                <w:kern w:val="0"/>
                <w:szCs w:val="21"/>
              </w:rPr>
              <w:t>m=</w:t>
            </w:r>
            <w:r>
              <w:rPr>
                <w:rFonts w:hint="eastAsia"/>
                <w:kern w:val="0"/>
                <w:szCs w:val="21"/>
                <w:lang w:val="en-US" w:eastAsia="zh-CN"/>
              </w:rPr>
              <w:t>1.215</w:t>
            </w:r>
            <w:r>
              <w:rPr>
                <w:kern w:val="0"/>
                <w:szCs w:val="21"/>
              </w:rPr>
              <w:t>m</w:t>
            </w:r>
            <w:r>
              <w:rPr>
                <w:kern w:val="0"/>
                <w:szCs w:val="21"/>
                <w:vertAlign w:val="superscript"/>
              </w:rPr>
              <w:t>3</w:t>
            </w:r>
            <w:r>
              <w:rPr>
                <w:kern w:val="0"/>
                <w:szCs w:val="21"/>
              </w:rPr>
              <w:t>，则活性炭填充量经计算=</w:t>
            </w:r>
            <w:r>
              <w:rPr>
                <w:rFonts w:hint="eastAsia"/>
                <w:kern w:val="0"/>
                <w:szCs w:val="21"/>
                <w:lang w:val="en-US" w:eastAsia="zh-CN"/>
              </w:rPr>
              <w:t>1.215</w:t>
            </w:r>
            <w:r>
              <w:rPr>
                <w:kern w:val="0"/>
                <w:szCs w:val="21"/>
              </w:rPr>
              <w:t>×</w:t>
            </w:r>
            <w:r>
              <w:rPr>
                <w:rFonts w:hint="eastAsia"/>
                <w:kern w:val="0"/>
                <w:szCs w:val="21"/>
              </w:rPr>
              <w:t>2</w:t>
            </w:r>
            <w:r>
              <w:rPr>
                <w:kern w:val="0"/>
                <w:szCs w:val="21"/>
              </w:rPr>
              <w:t>×0.</w:t>
            </w:r>
            <w:r>
              <w:rPr>
                <w:rFonts w:hint="eastAsia"/>
                <w:kern w:val="0"/>
                <w:szCs w:val="21"/>
              </w:rPr>
              <w:t>4</w:t>
            </w:r>
            <w:r>
              <w:rPr>
                <w:kern w:val="0"/>
                <w:szCs w:val="21"/>
              </w:rPr>
              <w:t>5=</w:t>
            </w:r>
            <w:r>
              <w:rPr>
                <w:rFonts w:hint="eastAsia"/>
                <w:kern w:val="0"/>
                <w:szCs w:val="21"/>
                <w:lang w:val="en-US" w:eastAsia="zh-CN"/>
              </w:rPr>
              <w:t>1.09</w:t>
            </w:r>
            <w:r>
              <w:rPr>
                <w:kern w:val="0"/>
                <w:szCs w:val="21"/>
              </w:rPr>
              <w:t>t，与参数表内活性炭充填量相同，过滤风速=</w:t>
            </w:r>
            <w:r>
              <w:rPr>
                <w:rFonts w:hint="eastAsia"/>
                <w:kern w:val="0"/>
                <w:szCs w:val="21"/>
              </w:rPr>
              <w:t>1.94</w:t>
            </w:r>
            <w:r>
              <w:rPr>
                <w:kern w:val="0"/>
                <w:szCs w:val="21"/>
              </w:rPr>
              <w:t>/</w:t>
            </w:r>
            <w:r>
              <w:rPr>
                <w:rFonts w:hint="eastAsia"/>
                <w:kern w:val="0"/>
                <w:szCs w:val="21"/>
              </w:rPr>
              <w:t>0.</w:t>
            </w:r>
            <w:r>
              <w:rPr>
                <w:rFonts w:hint="eastAsia"/>
                <w:kern w:val="0"/>
                <w:szCs w:val="21"/>
                <w:lang w:val="en-US" w:eastAsia="zh-CN"/>
              </w:rPr>
              <w:t>9</w:t>
            </w:r>
            <w:r>
              <w:rPr>
                <w:kern w:val="0"/>
                <w:szCs w:val="21"/>
              </w:rPr>
              <w:t>/</w:t>
            </w:r>
            <w:r>
              <w:rPr>
                <w:rFonts w:hint="eastAsia"/>
                <w:kern w:val="0"/>
                <w:szCs w:val="21"/>
              </w:rPr>
              <w:t>0.</w:t>
            </w:r>
            <w:r>
              <w:rPr>
                <w:rFonts w:hint="eastAsia"/>
                <w:kern w:val="0"/>
                <w:szCs w:val="21"/>
                <w:lang w:val="en-US" w:eastAsia="zh-CN"/>
              </w:rPr>
              <w:t>9</w:t>
            </w:r>
            <w:r>
              <w:rPr>
                <w:kern w:val="0"/>
                <w:szCs w:val="21"/>
              </w:rPr>
              <w:t>/</w:t>
            </w:r>
            <w:r>
              <w:rPr>
                <w:rFonts w:hint="eastAsia"/>
                <w:kern w:val="0"/>
                <w:szCs w:val="21"/>
              </w:rPr>
              <w:t>3</w:t>
            </w:r>
            <w:r>
              <w:rPr>
                <w:kern w:val="0"/>
                <w:szCs w:val="21"/>
              </w:rPr>
              <w:t>=</w:t>
            </w:r>
            <w:r>
              <w:rPr>
                <w:rFonts w:hint="eastAsia"/>
                <w:kern w:val="0"/>
                <w:szCs w:val="21"/>
                <w:lang w:val="en-US" w:eastAsia="zh-CN"/>
              </w:rPr>
              <w:t>0.798</w:t>
            </w:r>
            <w:r>
              <w:rPr>
                <w:kern w:val="0"/>
                <w:szCs w:val="21"/>
              </w:rPr>
              <w:t>m/s，</w:t>
            </w:r>
            <w:r>
              <w:rPr>
                <w:szCs w:val="21"/>
              </w:rPr>
              <w:t>满足《吸附法工业有机废气治理工程技术规范（HJ2026—2013）》中“采用蜂窝状吸附剂时，气体流速宜低于1.2m/s”的要求。停留时间=0.</w:t>
            </w:r>
            <w:r>
              <w:rPr>
                <w:rFonts w:hint="eastAsia"/>
                <w:szCs w:val="21"/>
              </w:rPr>
              <w:t>5</w:t>
            </w:r>
            <w:r>
              <w:rPr>
                <w:kern w:val="0"/>
                <w:szCs w:val="21"/>
              </w:rPr>
              <w:t>×</w:t>
            </w:r>
            <w:r>
              <w:rPr>
                <w:rFonts w:hint="eastAsia"/>
                <w:kern w:val="0"/>
                <w:szCs w:val="21"/>
                <w:lang w:val="en-US" w:eastAsia="zh-CN"/>
              </w:rPr>
              <w:t>2</w:t>
            </w:r>
            <w:r>
              <w:rPr>
                <w:szCs w:val="21"/>
              </w:rPr>
              <w:t>/</w:t>
            </w:r>
            <w:r>
              <w:rPr>
                <w:rFonts w:hint="eastAsia"/>
                <w:szCs w:val="21"/>
                <w:lang w:val="en-US" w:eastAsia="zh-CN"/>
              </w:rPr>
              <w:t>0.798</w:t>
            </w:r>
            <w:r>
              <w:rPr>
                <w:rFonts w:hint="eastAsia"/>
                <w:szCs w:val="21"/>
              </w:rPr>
              <w:t>=1.</w:t>
            </w:r>
            <w:r>
              <w:rPr>
                <w:rFonts w:hint="eastAsia"/>
                <w:szCs w:val="21"/>
                <w:lang w:val="en-US" w:eastAsia="zh-CN"/>
              </w:rPr>
              <w:t>2</w:t>
            </w:r>
            <w:r>
              <w:rPr>
                <w:rFonts w:hint="eastAsia"/>
                <w:szCs w:val="21"/>
              </w:rPr>
              <w:t>5</w:t>
            </w:r>
            <w:r>
              <w:rPr>
                <w:szCs w:val="21"/>
              </w:rPr>
              <w:t>s，满足《吸附法工业有机废气治理工程技术规范（HJ2026-2013）》中“</w:t>
            </w:r>
            <w:r>
              <w:rPr>
                <w:rFonts w:hint="eastAsia"/>
                <w:szCs w:val="21"/>
              </w:rPr>
              <w:t>采用蜂窝状吸附剂时，气体流速宜低于1.2m/s，停留时间大于1s”的要求</w:t>
            </w:r>
            <w:r>
              <w:rPr>
                <w:szCs w:val="21"/>
              </w:rPr>
              <w:t>。</w:t>
            </w:r>
          </w:p>
          <w:p w14:paraId="37DC3223">
            <w:pPr>
              <w:pStyle w:val="119"/>
              <w:adjustRightInd w:val="0"/>
              <w:snapToGrid w:val="0"/>
              <w:spacing w:line="360" w:lineRule="auto"/>
              <w:ind w:firstLine="482"/>
              <w:jc w:val="center"/>
              <w:rPr>
                <w:color w:val="auto"/>
                <w:szCs w:val="21"/>
              </w:rPr>
            </w:pPr>
            <w:r>
              <w:rPr>
                <w:rFonts w:cs="Times New Roman"/>
                <w:b/>
                <w:bCs/>
                <w:color w:val="auto"/>
                <w:szCs w:val="21"/>
              </w:rPr>
              <w:t>表4-</w:t>
            </w:r>
            <w:r>
              <w:rPr>
                <w:rFonts w:hint="eastAsia" w:cs="Times New Roman"/>
                <w:b/>
                <w:bCs/>
                <w:color w:val="auto"/>
                <w:szCs w:val="21"/>
              </w:rPr>
              <w:t>1</w:t>
            </w:r>
            <w:r>
              <w:rPr>
                <w:rFonts w:hint="eastAsia" w:cs="Times New Roman"/>
                <w:b/>
                <w:bCs/>
                <w:color w:val="auto"/>
                <w:szCs w:val="21"/>
                <w:lang w:val="en-US" w:eastAsia="zh-CN"/>
              </w:rPr>
              <w:t>1</w:t>
            </w:r>
            <w:r>
              <w:rPr>
                <w:rFonts w:hint="eastAsia" w:cs="Times New Roman"/>
                <w:b/>
                <w:bCs/>
                <w:color w:val="auto"/>
                <w:szCs w:val="21"/>
              </w:rPr>
              <w:t>危废仓库</w:t>
            </w:r>
            <w:r>
              <w:rPr>
                <w:b/>
                <w:bCs/>
                <w:color w:val="auto"/>
                <w:szCs w:val="21"/>
              </w:rPr>
              <w:t>活性炭吸附装置主要技术参数一览表</w:t>
            </w:r>
          </w:p>
          <w:tbl>
            <w:tblPr>
              <w:tblStyle w:val="23"/>
              <w:tblW w:w="47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720"/>
              <w:gridCol w:w="3895"/>
              <w:gridCol w:w="3843"/>
            </w:tblGrid>
            <w:tr w14:paraId="1D4C8D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9" w:hRule="atLeast"/>
                <w:jc w:val="center"/>
              </w:trPr>
              <w:tc>
                <w:tcPr>
                  <w:tcW w:w="425" w:type="pct"/>
                  <w:tcBorders>
                    <w:tl2br w:val="nil"/>
                    <w:tr2bl w:val="nil"/>
                  </w:tcBorders>
                  <w:vAlign w:val="center"/>
                </w:tcPr>
                <w:p w14:paraId="7B41CDB9">
                  <w:pPr>
                    <w:pStyle w:val="47"/>
                    <w:rPr>
                      <w:rFonts w:hint="eastAsia" w:ascii="宋体" w:hAnsi="宋体" w:eastAsia="宋体" w:cs="宋体"/>
                      <w:b/>
                      <w:bCs/>
                      <w:snapToGrid w:val="0"/>
                      <w:color w:val="auto"/>
                      <w:sz w:val="18"/>
                      <w:szCs w:val="18"/>
                    </w:rPr>
                  </w:pPr>
                  <w:r>
                    <w:rPr>
                      <w:rFonts w:hint="eastAsia" w:ascii="宋体" w:hAnsi="宋体" w:eastAsia="宋体" w:cs="宋体"/>
                      <w:b/>
                      <w:bCs/>
                      <w:snapToGrid w:val="0"/>
                      <w:color w:val="auto"/>
                      <w:sz w:val="18"/>
                      <w:szCs w:val="18"/>
                    </w:rPr>
                    <w:t>序号</w:t>
                  </w:r>
                </w:p>
              </w:tc>
              <w:tc>
                <w:tcPr>
                  <w:tcW w:w="2302" w:type="pct"/>
                  <w:tcBorders>
                    <w:tl2br w:val="nil"/>
                    <w:tr2bl w:val="nil"/>
                  </w:tcBorders>
                  <w:vAlign w:val="center"/>
                </w:tcPr>
                <w:p w14:paraId="4F5C66A5">
                  <w:pPr>
                    <w:pStyle w:val="47"/>
                    <w:rPr>
                      <w:rFonts w:hint="eastAsia" w:ascii="宋体" w:hAnsi="宋体" w:eastAsia="宋体" w:cs="宋体"/>
                      <w:b/>
                      <w:bCs/>
                      <w:snapToGrid w:val="0"/>
                      <w:color w:val="auto"/>
                      <w:sz w:val="18"/>
                      <w:szCs w:val="18"/>
                    </w:rPr>
                  </w:pPr>
                  <w:r>
                    <w:rPr>
                      <w:rFonts w:hint="eastAsia" w:ascii="宋体" w:hAnsi="宋体" w:eastAsia="宋体" w:cs="宋体"/>
                      <w:b/>
                      <w:bCs/>
                      <w:snapToGrid w:val="0"/>
                      <w:color w:val="auto"/>
                      <w:sz w:val="18"/>
                      <w:szCs w:val="18"/>
                    </w:rPr>
                    <w:t>项目</w:t>
                  </w:r>
                </w:p>
              </w:tc>
              <w:tc>
                <w:tcPr>
                  <w:tcW w:w="2272" w:type="pct"/>
                  <w:tcBorders>
                    <w:tl2br w:val="nil"/>
                    <w:tr2bl w:val="nil"/>
                  </w:tcBorders>
                  <w:vAlign w:val="center"/>
                </w:tcPr>
                <w:p w14:paraId="25DA8FED">
                  <w:pPr>
                    <w:pStyle w:val="47"/>
                    <w:rPr>
                      <w:rFonts w:hint="eastAsia" w:ascii="宋体" w:hAnsi="宋体" w:eastAsia="宋体" w:cs="宋体"/>
                      <w:b/>
                      <w:bCs/>
                      <w:snapToGrid w:val="0"/>
                      <w:color w:val="auto"/>
                      <w:sz w:val="18"/>
                      <w:szCs w:val="18"/>
                    </w:rPr>
                  </w:pPr>
                  <w:r>
                    <w:rPr>
                      <w:rFonts w:hint="eastAsia" w:ascii="宋体" w:hAnsi="宋体" w:eastAsia="宋体" w:cs="宋体"/>
                      <w:b/>
                      <w:bCs/>
                      <w:snapToGrid w:val="0"/>
                      <w:color w:val="auto"/>
                      <w:sz w:val="18"/>
                      <w:szCs w:val="18"/>
                    </w:rPr>
                    <w:t>技术指标</w:t>
                  </w:r>
                </w:p>
              </w:tc>
            </w:tr>
            <w:tr w14:paraId="55CE5F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93" w:hRule="atLeast"/>
                <w:jc w:val="center"/>
              </w:trPr>
              <w:tc>
                <w:tcPr>
                  <w:tcW w:w="425" w:type="pct"/>
                  <w:tcBorders>
                    <w:tl2br w:val="nil"/>
                    <w:tr2bl w:val="nil"/>
                  </w:tcBorders>
                  <w:vAlign w:val="center"/>
                </w:tcPr>
                <w:p w14:paraId="7CFE38C8">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1</w:t>
                  </w:r>
                </w:p>
              </w:tc>
              <w:tc>
                <w:tcPr>
                  <w:tcW w:w="2302" w:type="pct"/>
                  <w:tcBorders>
                    <w:tl2br w:val="nil"/>
                    <w:tr2bl w:val="nil"/>
                  </w:tcBorders>
                  <w:vAlign w:val="center"/>
                </w:tcPr>
                <w:p w14:paraId="0A9A6709">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配套风机风量（m</w:t>
                  </w:r>
                  <w:r>
                    <w:rPr>
                      <w:rFonts w:hint="eastAsia" w:ascii="宋体" w:hAnsi="宋体" w:eastAsia="宋体" w:cs="宋体"/>
                      <w:snapToGrid w:val="0"/>
                      <w:color w:val="auto"/>
                      <w:sz w:val="18"/>
                      <w:szCs w:val="18"/>
                      <w:vertAlign w:val="superscript"/>
                    </w:rPr>
                    <w:t>3</w:t>
                  </w:r>
                  <w:r>
                    <w:rPr>
                      <w:rFonts w:hint="eastAsia" w:ascii="宋体" w:hAnsi="宋体" w:eastAsia="宋体" w:cs="宋体"/>
                      <w:snapToGrid w:val="0"/>
                      <w:color w:val="auto"/>
                      <w:sz w:val="18"/>
                      <w:szCs w:val="18"/>
                    </w:rPr>
                    <w:t>/h）</w:t>
                  </w:r>
                </w:p>
              </w:tc>
              <w:tc>
                <w:tcPr>
                  <w:tcW w:w="2272" w:type="pct"/>
                  <w:tcBorders>
                    <w:tl2br w:val="nil"/>
                    <w:tr2bl w:val="nil"/>
                  </w:tcBorders>
                  <w:vAlign w:val="center"/>
                </w:tcPr>
                <w:p w14:paraId="0666FDE0">
                  <w:pPr>
                    <w:pStyle w:val="47"/>
                    <w:rPr>
                      <w:rFonts w:eastAsia="宋体"/>
                      <w:snapToGrid w:val="0"/>
                      <w:color w:val="auto"/>
                      <w:sz w:val="18"/>
                      <w:szCs w:val="18"/>
                    </w:rPr>
                  </w:pPr>
                  <w:r>
                    <w:rPr>
                      <w:rFonts w:eastAsia="宋体"/>
                      <w:snapToGrid w:val="0"/>
                      <w:color w:val="auto"/>
                      <w:sz w:val="18"/>
                      <w:szCs w:val="18"/>
                    </w:rPr>
                    <w:t>风量</w:t>
                  </w:r>
                  <w:r>
                    <w:rPr>
                      <w:rFonts w:hint="eastAsia" w:eastAsia="宋体"/>
                      <w:snapToGrid w:val="0"/>
                      <w:color w:val="auto"/>
                      <w:sz w:val="18"/>
                      <w:szCs w:val="18"/>
                    </w:rPr>
                    <w:t>2</w:t>
                  </w:r>
                  <w:r>
                    <w:rPr>
                      <w:rFonts w:eastAsia="宋体"/>
                      <w:snapToGrid w:val="0"/>
                      <w:color w:val="auto"/>
                      <w:sz w:val="18"/>
                      <w:szCs w:val="18"/>
                    </w:rPr>
                    <w:t>00</w:t>
                  </w:r>
                </w:p>
              </w:tc>
            </w:tr>
            <w:tr w14:paraId="226582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93" w:hRule="atLeast"/>
                <w:jc w:val="center"/>
              </w:trPr>
              <w:tc>
                <w:tcPr>
                  <w:tcW w:w="425" w:type="pct"/>
                  <w:tcBorders>
                    <w:tl2br w:val="nil"/>
                    <w:tr2bl w:val="nil"/>
                  </w:tcBorders>
                  <w:vAlign w:val="center"/>
                </w:tcPr>
                <w:p w14:paraId="2388009C">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2</w:t>
                  </w:r>
                </w:p>
              </w:tc>
              <w:tc>
                <w:tcPr>
                  <w:tcW w:w="2302" w:type="pct"/>
                  <w:tcBorders>
                    <w:tl2br w:val="nil"/>
                    <w:tr2bl w:val="nil"/>
                  </w:tcBorders>
                  <w:vAlign w:val="center"/>
                </w:tcPr>
                <w:p w14:paraId="5DC75B5C">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活性炭吸附箱尺寸</w:t>
                  </w:r>
                </w:p>
              </w:tc>
              <w:tc>
                <w:tcPr>
                  <w:tcW w:w="2272" w:type="pct"/>
                  <w:tcBorders>
                    <w:tl2br w:val="nil"/>
                    <w:tr2bl w:val="nil"/>
                  </w:tcBorders>
                  <w:vAlign w:val="center"/>
                </w:tcPr>
                <w:p w14:paraId="77673B09">
                  <w:pPr>
                    <w:pStyle w:val="47"/>
                    <w:rPr>
                      <w:rFonts w:eastAsia="宋体"/>
                      <w:snapToGrid w:val="0"/>
                      <w:color w:val="auto"/>
                      <w:sz w:val="18"/>
                      <w:szCs w:val="18"/>
                    </w:rPr>
                  </w:pPr>
                  <w:r>
                    <w:rPr>
                      <w:rFonts w:eastAsia="宋体"/>
                      <w:snapToGrid w:val="0"/>
                      <w:color w:val="auto"/>
                      <w:sz w:val="18"/>
                      <w:szCs w:val="18"/>
                    </w:rPr>
                    <w:t>L</w:t>
                  </w:r>
                  <w:r>
                    <w:rPr>
                      <w:rFonts w:hint="eastAsia" w:eastAsia="宋体"/>
                      <w:snapToGrid w:val="0"/>
                      <w:color w:val="auto"/>
                      <w:sz w:val="18"/>
                      <w:szCs w:val="18"/>
                    </w:rPr>
                    <w:t>50</w:t>
                  </w:r>
                  <w:r>
                    <w:rPr>
                      <w:rFonts w:eastAsia="宋体"/>
                      <w:snapToGrid w:val="0"/>
                      <w:color w:val="auto"/>
                      <w:sz w:val="18"/>
                      <w:szCs w:val="18"/>
                    </w:rPr>
                    <w:t>0×W</w:t>
                  </w:r>
                  <w:r>
                    <w:rPr>
                      <w:rFonts w:hint="eastAsia" w:eastAsia="宋体"/>
                      <w:snapToGrid w:val="0"/>
                      <w:color w:val="auto"/>
                      <w:sz w:val="18"/>
                      <w:szCs w:val="18"/>
                    </w:rPr>
                    <w:t>5</w:t>
                  </w:r>
                  <w:r>
                    <w:rPr>
                      <w:rFonts w:eastAsia="宋体"/>
                      <w:snapToGrid w:val="0"/>
                      <w:color w:val="auto"/>
                      <w:sz w:val="18"/>
                      <w:szCs w:val="18"/>
                    </w:rPr>
                    <w:t>00×H</w:t>
                  </w:r>
                  <w:r>
                    <w:rPr>
                      <w:rFonts w:hint="eastAsia" w:eastAsia="宋体"/>
                      <w:snapToGrid w:val="0"/>
                      <w:color w:val="auto"/>
                      <w:sz w:val="18"/>
                      <w:szCs w:val="18"/>
                    </w:rPr>
                    <w:t>5</w:t>
                  </w:r>
                  <w:r>
                    <w:rPr>
                      <w:rFonts w:eastAsia="宋体"/>
                      <w:snapToGrid w:val="0"/>
                      <w:color w:val="auto"/>
                      <w:sz w:val="18"/>
                      <w:szCs w:val="18"/>
                    </w:rPr>
                    <w:t>00mm/个</w:t>
                  </w:r>
                </w:p>
              </w:tc>
            </w:tr>
            <w:tr w14:paraId="0F1436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93" w:hRule="atLeast"/>
                <w:jc w:val="center"/>
              </w:trPr>
              <w:tc>
                <w:tcPr>
                  <w:tcW w:w="425" w:type="pct"/>
                  <w:tcBorders>
                    <w:tl2br w:val="nil"/>
                    <w:tr2bl w:val="nil"/>
                  </w:tcBorders>
                  <w:vAlign w:val="center"/>
                </w:tcPr>
                <w:p w14:paraId="271C7B0C">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3</w:t>
                  </w:r>
                </w:p>
              </w:tc>
              <w:tc>
                <w:tcPr>
                  <w:tcW w:w="2302" w:type="pct"/>
                  <w:tcBorders>
                    <w:tl2br w:val="nil"/>
                    <w:tr2bl w:val="nil"/>
                  </w:tcBorders>
                  <w:vAlign w:val="center"/>
                </w:tcPr>
                <w:p w14:paraId="0F00FFE4">
                  <w:pPr>
                    <w:autoSpaceDE w:val="0"/>
                    <w:autoSpaceDN w:val="0"/>
                    <w:adjustRightInd w:val="0"/>
                    <w:snapToGrid w:val="0"/>
                    <w:jc w:val="center"/>
                    <w:rPr>
                      <w:sz w:val="18"/>
                      <w:szCs w:val="18"/>
                    </w:rPr>
                  </w:pPr>
                  <w:r>
                    <w:rPr>
                      <w:rFonts w:hint="eastAsia"/>
                      <w:sz w:val="18"/>
                      <w:szCs w:val="18"/>
                    </w:rPr>
                    <w:t>每层碳层规格（mm）</w:t>
                  </w:r>
                </w:p>
              </w:tc>
              <w:tc>
                <w:tcPr>
                  <w:tcW w:w="2272" w:type="pct"/>
                  <w:tcBorders>
                    <w:tl2br w:val="nil"/>
                    <w:tr2bl w:val="nil"/>
                  </w:tcBorders>
                  <w:vAlign w:val="center"/>
                </w:tcPr>
                <w:p w14:paraId="10DAB836">
                  <w:pPr>
                    <w:autoSpaceDE w:val="0"/>
                    <w:autoSpaceDN w:val="0"/>
                    <w:adjustRightInd w:val="0"/>
                    <w:snapToGrid w:val="0"/>
                    <w:jc w:val="center"/>
                    <w:rPr>
                      <w:kern w:val="0"/>
                      <w:sz w:val="18"/>
                      <w:szCs w:val="18"/>
                    </w:rPr>
                  </w:pPr>
                  <w:r>
                    <w:rPr>
                      <w:rFonts w:hint="eastAsia"/>
                      <w:kern w:val="0"/>
                      <w:sz w:val="18"/>
                      <w:szCs w:val="18"/>
                    </w:rPr>
                    <w:t>400*400*100</w:t>
                  </w:r>
                </w:p>
              </w:tc>
            </w:tr>
            <w:tr w14:paraId="1452DB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3" w:hRule="atLeast"/>
                <w:jc w:val="center"/>
              </w:trPr>
              <w:tc>
                <w:tcPr>
                  <w:tcW w:w="425" w:type="pct"/>
                  <w:tcBorders>
                    <w:tl2br w:val="nil"/>
                    <w:tr2bl w:val="nil"/>
                  </w:tcBorders>
                  <w:vAlign w:val="center"/>
                </w:tcPr>
                <w:p w14:paraId="57400A87">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4</w:t>
                  </w:r>
                </w:p>
              </w:tc>
              <w:tc>
                <w:tcPr>
                  <w:tcW w:w="2302" w:type="pct"/>
                  <w:tcBorders>
                    <w:tl2br w:val="nil"/>
                    <w:tr2bl w:val="nil"/>
                  </w:tcBorders>
                  <w:vAlign w:val="center"/>
                </w:tcPr>
                <w:p w14:paraId="1A3B0969">
                  <w:pPr>
                    <w:autoSpaceDE w:val="0"/>
                    <w:autoSpaceDN w:val="0"/>
                    <w:adjustRightInd w:val="0"/>
                    <w:snapToGrid w:val="0"/>
                    <w:jc w:val="center"/>
                    <w:rPr>
                      <w:sz w:val="18"/>
                      <w:szCs w:val="18"/>
                    </w:rPr>
                  </w:pPr>
                  <w:r>
                    <w:rPr>
                      <w:rFonts w:hint="eastAsia"/>
                      <w:sz w:val="18"/>
                      <w:szCs w:val="18"/>
                    </w:rPr>
                    <w:t>层数</w:t>
                  </w:r>
                </w:p>
              </w:tc>
              <w:tc>
                <w:tcPr>
                  <w:tcW w:w="2272" w:type="pct"/>
                  <w:tcBorders>
                    <w:tl2br w:val="nil"/>
                    <w:tr2bl w:val="nil"/>
                  </w:tcBorders>
                  <w:vAlign w:val="center"/>
                </w:tcPr>
                <w:p w14:paraId="0351051C">
                  <w:pPr>
                    <w:autoSpaceDE w:val="0"/>
                    <w:autoSpaceDN w:val="0"/>
                    <w:adjustRightInd w:val="0"/>
                    <w:snapToGrid w:val="0"/>
                    <w:jc w:val="center"/>
                    <w:rPr>
                      <w:kern w:val="0"/>
                      <w:sz w:val="18"/>
                      <w:szCs w:val="18"/>
                    </w:rPr>
                  </w:pPr>
                  <w:r>
                    <w:rPr>
                      <w:rFonts w:hint="eastAsia"/>
                      <w:kern w:val="0"/>
                      <w:sz w:val="18"/>
                      <w:szCs w:val="18"/>
                    </w:rPr>
                    <w:t>2层</w:t>
                  </w:r>
                </w:p>
              </w:tc>
            </w:tr>
            <w:tr w14:paraId="06A365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93" w:hRule="atLeast"/>
                <w:jc w:val="center"/>
              </w:trPr>
              <w:tc>
                <w:tcPr>
                  <w:tcW w:w="425" w:type="pct"/>
                  <w:tcBorders>
                    <w:tl2br w:val="nil"/>
                    <w:tr2bl w:val="nil"/>
                  </w:tcBorders>
                  <w:vAlign w:val="center"/>
                </w:tcPr>
                <w:p w14:paraId="27EF7C04">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5</w:t>
                  </w:r>
                </w:p>
              </w:tc>
              <w:tc>
                <w:tcPr>
                  <w:tcW w:w="2302" w:type="pct"/>
                  <w:tcBorders>
                    <w:tl2br w:val="nil"/>
                    <w:tr2bl w:val="nil"/>
                  </w:tcBorders>
                  <w:vAlign w:val="center"/>
                </w:tcPr>
                <w:p w14:paraId="36A481C2">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活性炭类型</w:t>
                  </w:r>
                </w:p>
              </w:tc>
              <w:tc>
                <w:tcPr>
                  <w:tcW w:w="2272" w:type="pct"/>
                  <w:tcBorders>
                    <w:tl2br w:val="nil"/>
                    <w:tr2bl w:val="nil"/>
                  </w:tcBorders>
                  <w:vAlign w:val="center"/>
                </w:tcPr>
                <w:p w14:paraId="5DD5BB42">
                  <w:pPr>
                    <w:pStyle w:val="47"/>
                    <w:rPr>
                      <w:rFonts w:eastAsia="宋体"/>
                      <w:snapToGrid w:val="0"/>
                      <w:color w:val="auto"/>
                      <w:sz w:val="18"/>
                      <w:szCs w:val="18"/>
                    </w:rPr>
                  </w:pPr>
                  <w:r>
                    <w:rPr>
                      <w:rFonts w:eastAsia="宋体"/>
                      <w:snapToGrid w:val="0"/>
                      <w:color w:val="auto"/>
                      <w:sz w:val="18"/>
                      <w:szCs w:val="18"/>
                    </w:rPr>
                    <w:t>蜂窝状</w:t>
                  </w:r>
                </w:p>
              </w:tc>
            </w:tr>
            <w:tr w14:paraId="696FEA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93" w:hRule="atLeast"/>
                <w:jc w:val="center"/>
              </w:trPr>
              <w:tc>
                <w:tcPr>
                  <w:tcW w:w="425" w:type="pct"/>
                  <w:tcBorders>
                    <w:tl2br w:val="nil"/>
                    <w:tr2bl w:val="nil"/>
                  </w:tcBorders>
                  <w:vAlign w:val="center"/>
                </w:tcPr>
                <w:p w14:paraId="66527815">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6</w:t>
                  </w:r>
                </w:p>
              </w:tc>
              <w:tc>
                <w:tcPr>
                  <w:tcW w:w="2302" w:type="pct"/>
                  <w:tcBorders>
                    <w:tl2br w:val="nil"/>
                    <w:tr2bl w:val="nil"/>
                  </w:tcBorders>
                  <w:vAlign w:val="center"/>
                </w:tcPr>
                <w:p w14:paraId="76E631F5">
                  <w:pPr>
                    <w:autoSpaceDE w:val="0"/>
                    <w:autoSpaceDN w:val="0"/>
                    <w:adjustRightInd w:val="0"/>
                    <w:snapToGrid w:val="0"/>
                    <w:jc w:val="center"/>
                    <w:rPr>
                      <w:sz w:val="18"/>
                      <w:szCs w:val="18"/>
                    </w:rPr>
                  </w:pPr>
                  <w:r>
                    <w:rPr>
                      <w:rFonts w:hint="eastAsia"/>
                      <w:sz w:val="18"/>
                      <w:szCs w:val="18"/>
                    </w:rPr>
                    <w:t>比表面积（m</w:t>
                  </w:r>
                  <w:r>
                    <w:rPr>
                      <w:rFonts w:hint="eastAsia"/>
                      <w:sz w:val="18"/>
                      <w:szCs w:val="18"/>
                      <w:vertAlign w:val="superscript"/>
                    </w:rPr>
                    <w:t>2</w:t>
                  </w:r>
                  <w:r>
                    <w:rPr>
                      <w:rFonts w:hint="eastAsia"/>
                      <w:sz w:val="18"/>
                      <w:szCs w:val="18"/>
                    </w:rPr>
                    <w:t>/g）</w:t>
                  </w:r>
                </w:p>
              </w:tc>
              <w:tc>
                <w:tcPr>
                  <w:tcW w:w="2272" w:type="pct"/>
                  <w:tcBorders>
                    <w:tl2br w:val="nil"/>
                    <w:tr2bl w:val="nil"/>
                  </w:tcBorders>
                  <w:vAlign w:val="center"/>
                </w:tcPr>
                <w:p w14:paraId="2969CDD7">
                  <w:pPr>
                    <w:autoSpaceDE w:val="0"/>
                    <w:autoSpaceDN w:val="0"/>
                    <w:adjustRightInd w:val="0"/>
                    <w:snapToGrid w:val="0"/>
                    <w:jc w:val="center"/>
                    <w:rPr>
                      <w:kern w:val="0"/>
                      <w:sz w:val="18"/>
                      <w:szCs w:val="18"/>
                    </w:rPr>
                  </w:pPr>
                  <w:r>
                    <w:rPr>
                      <w:rFonts w:hint="eastAsia"/>
                      <w:kern w:val="0"/>
                      <w:sz w:val="18"/>
                      <w:szCs w:val="18"/>
                    </w:rPr>
                    <w:t>800</w:t>
                  </w:r>
                </w:p>
              </w:tc>
            </w:tr>
            <w:tr w14:paraId="712B0F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93" w:hRule="atLeast"/>
                <w:jc w:val="center"/>
              </w:trPr>
              <w:tc>
                <w:tcPr>
                  <w:tcW w:w="425" w:type="pct"/>
                  <w:tcBorders>
                    <w:tl2br w:val="nil"/>
                    <w:tr2bl w:val="nil"/>
                  </w:tcBorders>
                  <w:vAlign w:val="center"/>
                </w:tcPr>
                <w:p w14:paraId="715C9D1F">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7</w:t>
                  </w:r>
                </w:p>
              </w:tc>
              <w:tc>
                <w:tcPr>
                  <w:tcW w:w="2302" w:type="pct"/>
                  <w:tcBorders>
                    <w:tl2br w:val="nil"/>
                    <w:tr2bl w:val="nil"/>
                  </w:tcBorders>
                  <w:vAlign w:val="center"/>
                </w:tcPr>
                <w:p w14:paraId="08542A37">
                  <w:pPr>
                    <w:pStyle w:val="47"/>
                    <w:rPr>
                      <w:rFonts w:hint="eastAsia" w:ascii="宋体" w:hAnsi="宋体" w:cs="宋体"/>
                      <w:snapToGrid w:val="0"/>
                      <w:color w:val="auto"/>
                      <w:sz w:val="18"/>
                      <w:szCs w:val="18"/>
                    </w:rPr>
                  </w:pPr>
                  <w:r>
                    <w:rPr>
                      <w:rFonts w:hint="eastAsia" w:ascii="宋体" w:hAnsi="宋体" w:eastAsia="宋体" w:cs="宋体"/>
                      <w:snapToGrid w:val="0"/>
                      <w:color w:val="auto"/>
                      <w:sz w:val="18"/>
                      <w:szCs w:val="18"/>
                    </w:rPr>
                    <w:t>活性炭密度（</w:t>
                  </w:r>
                  <w:r>
                    <w:rPr>
                      <w:rFonts w:hint="eastAsia"/>
                      <w:color w:val="auto"/>
                      <w:sz w:val="18"/>
                      <w:szCs w:val="18"/>
                    </w:rPr>
                    <w:t>g/m</w:t>
                  </w:r>
                  <w:r>
                    <w:rPr>
                      <w:rFonts w:hint="eastAsia"/>
                      <w:color w:val="auto"/>
                      <w:sz w:val="18"/>
                      <w:szCs w:val="18"/>
                      <w:vertAlign w:val="superscript"/>
                    </w:rPr>
                    <w:t>3</w:t>
                  </w:r>
                  <w:r>
                    <w:rPr>
                      <w:rFonts w:hint="eastAsia"/>
                      <w:color w:val="auto"/>
                      <w:sz w:val="18"/>
                      <w:szCs w:val="18"/>
                    </w:rPr>
                    <w:t>）</w:t>
                  </w:r>
                </w:p>
              </w:tc>
              <w:tc>
                <w:tcPr>
                  <w:tcW w:w="2272" w:type="pct"/>
                  <w:tcBorders>
                    <w:tl2br w:val="nil"/>
                    <w:tr2bl w:val="nil"/>
                  </w:tcBorders>
                  <w:vAlign w:val="center"/>
                </w:tcPr>
                <w:p w14:paraId="4E3C32D8">
                  <w:pPr>
                    <w:pStyle w:val="47"/>
                    <w:rPr>
                      <w:rFonts w:eastAsia="宋体"/>
                      <w:snapToGrid w:val="0"/>
                      <w:color w:val="auto"/>
                      <w:sz w:val="18"/>
                      <w:szCs w:val="18"/>
                    </w:rPr>
                  </w:pPr>
                  <w:r>
                    <w:rPr>
                      <w:rFonts w:hint="eastAsia" w:eastAsia="宋体"/>
                      <w:snapToGrid w:val="0"/>
                      <w:color w:val="auto"/>
                      <w:sz w:val="18"/>
                      <w:szCs w:val="18"/>
                    </w:rPr>
                    <w:t>450</w:t>
                  </w:r>
                </w:p>
              </w:tc>
            </w:tr>
            <w:tr w14:paraId="13B57D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63" w:hRule="atLeast"/>
                <w:jc w:val="center"/>
              </w:trPr>
              <w:tc>
                <w:tcPr>
                  <w:tcW w:w="425" w:type="pct"/>
                  <w:tcBorders>
                    <w:tl2br w:val="nil"/>
                    <w:tr2bl w:val="nil"/>
                  </w:tcBorders>
                  <w:vAlign w:val="center"/>
                </w:tcPr>
                <w:p w14:paraId="0C82FFBD">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8</w:t>
                  </w:r>
                </w:p>
              </w:tc>
              <w:tc>
                <w:tcPr>
                  <w:tcW w:w="2302" w:type="pct"/>
                  <w:tcBorders>
                    <w:tl2br w:val="nil"/>
                    <w:tr2bl w:val="nil"/>
                  </w:tcBorders>
                  <w:vAlign w:val="center"/>
                </w:tcPr>
                <w:p w14:paraId="7BA980C4">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过滤风速</w:t>
                  </w:r>
                </w:p>
              </w:tc>
              <w:tc>
                <w:tcPr>
                  <w:tcW w:w="2272" w:type="pct"/>
                  <w:tcBorders>
                    <w:tl2br w:val="nil"/>
                    <w:tr2bl w:val="nil"/>
                  </w:tcBorders>
                  <w:vAlign w:val="center"/>
                </w:tcPr>
                <w:p w14:paraId="3EE87F9D">
                  <w:pPr>
                    <w:pStyle w:val="47"/>
                    <w:rPr>
                      <w:rFonts w:eastAsia="宋体"/>
                      <w:snapToGrid w:val="0"/>
                      <w:color w:val="auto"/>
                      <w:sz w:val="18"/>
                      <w:szCs w:val="18"/>
                    </w:rPr>
                  </w:pPr>
                  <w:r>
                    <w:rPr>
                      <w:rFonts w:hint="eastAsia" w:eastAsia="宋体"/>
                      <w:snapToGrid w:val="0"/>
                      <w:color w:val="auto"/>
                      <w:sz w:val="18"/>
                      <w:szCs w:val="18"/>
                    </w:rPr>
                    <w:t>0.018</w:t>
                  </w:r>
                  <w:r>
                    <w:rPr>
                      <w:rFonts w:eastAsia="宋体"/>
                      <w:snapToGrid w:val="0"/>
                      <w:color w:val="auto"/>
                      <w:sz w:val="18"/>
                      <w:szCs w:val="18"/>
                    </w:rPr>
                    <w:t>m/s</w:t>
                  </w:r>
                </w:p>
              </w:tc>
            </w:tr>
            <w:tr w14:paraId="63F8FE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93" w:hRule="atLeast"/>
                <w:jc w:val="center"/>
              </w:trPr>
              <w:tc>
                <w:tcPr>
                  <w:tcW w:w="425" w:type="pct"/>
                  <w:tcBorders>
                    <w:tl2br w:val="nil"/>
                    <w:tr2bl w:val="nil"/>
                  </w:tcBorders>
                  <w:vAlign w:val="center"/>
                </w:tcPr>
                <w:p w14:paraId="15F27BD8">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9</w:t>
                  </w:r>
                </w:p>
              </w:tc>
              <w:tc>
                <w:tcPr>
                  <w:tcW w:w="2302" w:type="pct"/>
                  <w:tcBorders>
                    <w:tl2br w:val="nil"/>
                    <w:tr2bl w:val="nil"/>
                  </w:tcBorders>
                  <w:vAlign w:val="center"/>
                </w:tcPr>
                <w:p w14:paraId="76718178">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碘吸附值</w:t>
                  </w:r>
                </w:p>
              </w:tc>
              <w:tc>
                <w:tcPr>
                  <w:tcW w:w="2272" w:type="pct"/>
                  <w:tcBorders>
                    <w:tl2br w:val="nil"/>
                    <w:tr2bl w:val="nil"/>
                  </w:tcBorders>
                  <w:vAlign w:val="center"/>
                </w:tcPr>
                <w:p w14:paraId="3E79C13C">
                  <w:pPr>
                    <w:pStyle w:val="47"/>
                    <w:rPr>
                      <w:rFonts w:eastAsia="宋体"/>
                      <w:snapToGrid w:val="0"/>
                      <w:color w:val="auto"/>
                      <w:sz w:val="18"/>
                      <w:szCs w:val="18"/>
                    </w:rPr>
                  </w:pPr>
                  <w:r>
                    <w:rPr>
                      <w:rFonts w:eastAsia="宋体"/>
                      <w:snapToGrid w:val="0"/>
                      <w:color w:val="auto"/>
                      <w:sz w:val="18"/>
                      <w:szCs w:val="18"/>
                    </w:rPr>
                    <w:t>≥</w:t>
                  </w:r>
                  <w:r>
                    <w:rPr>
                      <w:rFonts w:hint="eastAsia" w:eastAsia="宋体"/>
                      <w:snapToGrid w:val="0"/>
                      <w:color w:val="auto"/>
                      <w:sz w:val="18"/>
                      <w:szCs w:val="18"/>
                    </w:rPr>
                    <w:t>65</w:t>
                  </w:r>
                  <w:r>
                    <w:rPr>
                      <w:rFonts w:eastAsia="宋体"/>
                      <w:snapToGrid w:val="0"/>
                      <w:color w:val="auto"/>
                      <w:sz w:val="18"/>
                      <w:szCs w:val="18"/>
                    </w:rPr>
                    <w:t>0mg/g</w:t>
                  </w:r>
                </w:p>
              </w:tc>
            </w:tr>
            <w:tr w14:paraId="2B93B4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93" w:hRule="atLeast"/>
                <w:jc w:val="center"/>
              </w:trPr>
              <w:tc>
                <w:tcPr>
                  <w:tcW w:w="425" w:type="pct"/>
                  <w:tcBorders>
                    <w:tl2br w:val="nil"/>
                    <w:tr2bl w:val="nil"/>
                  </w:tcBorders>
                  <w:vAlign w:val="center"/>
                </w:tcPr>
                <w:p w14:paraId="41DB2677">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10</w:t>
                  </w:r>
                </w:p>
              </w:tc>
              <w:tc>
                <w:tcPr>
                  <w:tcW w:w="2302" w:type="pct"/>
                  <w:tcBorders>
                    <w:tl2br w:val="nil"/>
                    <w:tr2bl w:val="nil"/>
                  </w:tcBorders>
                  <w:vAlign w:val="center"/>
                </w:tcPr>
                <w:p w14:paraId="740959B4">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吸附阻力</w:t>
                  </w:r>
                </w:p>
              </w:tc>
              <w:tc>
                <w:tcPr>
                  <w:tcW w:w="2272" w:type="pct"/>
                  <w:tcBorders>
                    <w:tl2br w:val="nil"/>
                    <w:tr2bl w:val="nil"/>
                  </w:tcBorders>
                  <w:vAlign w:val="center"/>
                </w:tcPr>
                <w:p w14:paraId="08D0B7FE">
                  <w:pPr>
                    <w:pStyle w:val="47"/>
                    <w:rPr>
                      <w:rFonts w:eastAsia="宋体"/>
                      <w:snapToGrid w:val="0"/>
                      <w:color w:val="auto"/>
                      <w:sz w:val="18"/>
                      <w:szCs w:val="18"/>
                    </w:rPr>
                  </w:pPr>
                  <w:r>
                    <w:rPr>
                      <w:rFonts w:hint="eastAsia" w:eastAsia="宋体"/>
                      <w:snapToGrid w:val="0"/>
                      <w:color w:val="auto"/>
                      <w:sz w:val="18"/>
                      <w:szCs w:val="18"/>
                    </w:rPr>
                    <w:t>1000Pa</w:t>
                  </w:r>
                </w:p>
              </w:tc>
            </w:tr>
            <w:tr w14:paraId="78B90B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93" w:hRule="atLeast"/>
                <w:jc w:val="center"/>
              </w:trPr>
              <w:tc>
                <w:tcPr>
                  <w:tcW w:w="425" w:type="pct"/>
                  <w:tcBorders>
                    <w:tl2br w:val="nil"/>
                    <w:tr2bl w:val="nil"/>
                  </w:tcBorders>
                  <w:vAlign w:val="center"/>
                </w:tcPr>
                <w:p w14:paraId="34F953BA">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11</w:t>
                  </w:r>
                </w:p>
              </w:tc>
              <w:tc>
                <w:tcPr>
                  <w:tcW w:w="2302" w:type="pct"/>
                  <w:tcBorders>
                    <w:tl2br w:val="nil"/>
                    <w:tr2bl w:val="nil"/>
                  </w:tcBorders>
                  <w:vAlign w:val="center"/>
                </w:tcPr>
                <w:p w14:paraId="6054B1F1">
                  <w:pPr>
                    <w:autoSpaceDE w:val="0"/>
                    <w:autoSpaceDN w:val="0"/>
                    <w:adjustRightInd w:val="0"/>
                    <w:snapToGrid w:val="0"/>
                    <w:jc w:val="center"/>
                    <w:rPr>
                      <w:sz w:val="18"/>
                      <w:szCs w:val="18"/>
                    </w:rPr>
                  </w:pPr>
                  <w:r>
                    <w:rPr>
                      <w:rFonts w:hint="eastAsia"/>
                      <w:sz w:val="18"/>
                      <w:szCs w:val="18"/>
                    </w:rPr>
                    <w:t>净化效率</w:t>
                  </w:r>
                </w:p>
              </w:tc>
              <w:tc>
                <w:tcPr>
                  <w:tcW w:w="2272" w:type="pct"/>
                  <w:tcBorders>
                    <w:tl2br w:val="nil"/>
                    <w:tr2bl w:val="nil"/>
                  </w:tcBorders>
                  <w:vAlign w:val="center"/>
                </w:tcPr>
                <w:p w14:paraId="4636E3FA">
                  <w:pPr>
                    <w:autoSpaceDE w:val="0"/>
                    <w:autoSpaceDN w:val="0"/>
                    <w:adjustRightInd w:val="0"/>
                    <w:snapToGrid w:val="0"/>
                    <w:jc w:val="center"/>
                    <w:rPr>
                      <w:kern w:val="0"/>
                      <w:sz w:val="18"/>
                      <w:szCs w:val="18"/>
                    </w:rPr>
                  </w:pPr>
                  <w:r>
                    <w:rPr>
                      <w:rFonts w:hint="eastAsia"/>
                      <w:kern w:val="0"/>
                      <w:sz w:val="18"/>
                      <w:szCs w:val="18"/>
                    </w:rPr>
                    <w:t>理论单级70%</w:t>
                  </w:r>
                </w:p>
              </w:tc>
            </w:tr>
            <w:tr w14:paraId="6AF817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93" w:hRule="atLeast"/>
                <w:jc w:val="center"/>
              </w:trPr>
              <w:tc>
                <w:tcPr>
                  <w:tcW w:w="425" w:type="pct"/>
                  <w:tcBorders>
                    <w:tl2br w:val="nil"/>
                    <w:tr2bl w:val="nil"/>
                  </w:tcBorders>
                  <w:vAlign w:val="center"/>
                </w:tcPr>
                <w:p w14:paraId="63F33C45">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12</w:t>
                  </w:r>
                </w:p>
              </w:tc>
              <w:tc>
                <w:tcPr>
                  <w:tcW w:w="2302" w:type="pct"/>
                  <w:tcBorders>
                    <w:tl2br w:val="nil"/>
                    <w:tr2bl w:val="nil"/>
                  </w:tcBorders>
                  <w:vAlign w:val="center"/>
                </w:tcPr>
                <w:p w14:paraId="6C4D8F6E">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吸附容量</w:t>
                  </w:r>
                </w:p>
              </w:tc>
              <w:tc>
                <w:tcPr>
                  <w:tcW w:w="2272" w:type="pct"/>
                  <w:tcBorders>
                    <w:tl2br w:val="nil"/>
                    <w:tr2bl w:val="nil"/>
                  </w:tcBorders>
                  <w:vAlign w:val="center"/>
                </w:tcPr>
                <w:p w14:paraId="67A5EACD">
                  <w:pPr>
                    <w:pStyle w:val="47"/>
                    <w:rPr>
                      <w:rFonts w:eastAsia="宋体"/>
                      <w:snapToGrid w:val="0"/>
                      <w:color w:val="auto"/>
                      <w:sz w:val="18"/>
                      <w:szCs w:val="18"/>
                    </w:rPr>
                  </w:pPr>
                  <w:r>
                    <w:rPr>
                      <w:rFonts w:eastAsia="宋体"/>
                      <w:snapToGrid w:val="0"/>
                      <w:color w:val="auto"/>
                      <w:sz w:val="18"/>
                      <w:szCs w:val="18"/>
                    </w:rPr>
                    <w:t>0.3g/g</w:t>
                  </w:r>
                </w:p>
              </w:tc>
            </w:tr>
            <w:tr w14:paraId="2B9BDA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8" w:hRule="atLeast"/>
                <w:jc w:val="center"/>
              </w:trPr>
              <w:tc>
                <w:tcPr>
                  <w:tcW w:w="425" w:type="pct"/>
                  <w:tcBorders>
                    <w:tl2br w:val="nil"/>
                    <w:tr2bl w:val="nil"/>
                  </w:tcBorders>
                  <w:vAlign w:val="center"/>
                </w:tcPr>
                <w:p w14:paraId="106C78A3">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13</w:t>
                  </w:r>
                </w:p>
              </w:tc>
              <w:tc>
                <w:tcPr>
                  <w:tcW w:w="2302" w:type="pct"/>
                  <w:tcBorders>
                    <w:tl2br w:val="nil"/>
                    <w:tr2bl w:val="nil"/>
                  </w:tcBorders>
                  <w:vAlign w:val="center"/>
                </w:tcPr>
                <w:p w14:paraId="2DD22BB7">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填充量（t/次）</w:t>
                  </w:r>
                </w:p>
              </w:tc>
              <w:tc>
                <w:tcPr>
                  <w:tcW w:w="2272" w:type="pct"/>
                  <w:tcBorders>
                    <w:tl2br w:val="nil"/>
                    <w:tr2bl w:val="nil"/>
                  </w:tcBorders>
                  <w:vAlign w:val="center"/>
                </w:tcPr>
                <w:p w14:paraId="642BFCF6">
                  <w:pPr>
                    <w:pStyle w:val="47"/>
                    <w:rPr>
                      <w:rFonts w:eastAsia="宋体"/>
                      <w:snapToGrid w:val="0"/>
                      <w:color w:val="auto"/>
                      <w:sz w:val="18"/>
                      <w:szCs w:val="18"/>
                    </w:rPr>
                  </w:pPr>
                  <w:r>
                    <w:rPr>
                      <w:rFonts w:hint="eastAsia" w:eastAsia="宋体"/>
                      <w:snapToGrid w:val="0"/>
                      <w:color w:val="auto"/>
                      <w:sz w:val="18"/>
                      <w:szCs w:val="18"/>
                    </w:rPr>
                    <w:t>0.007t</w:t>
                  </w:r>
                </w:p>
              </w:tc>
            </w:tr>
            <w:tr w14:paraId="4B0869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9" w:hRule="atLeast"/>
                <w:jc w:val="center"/>
              </w:trPr>
              <w:tc>
                <w:tcPr>
                  <w:tcW w:w="425" w:type="pct"/>
                  <w:tcBorders>
                    <w:tl2br w:val="nil"/>
                    <w:tr2bl w:val="nil"/>
                  </w:tcBorders>
                  <w:vAlign w:val="center"/>
                </w:tcPr>
                <w:p w14:paraId="2FD633D6">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14</w:t>
                  </w:r>
                </w:p>
              </w:tc>
              <w:tc>
                <w:tcPr>
                  <w:tcW w:w="2302" w:type="pct"/>
                  <w:tcBorders>
                    <w:tl2br w:val="nil"/>
                    <w:tr2bl w:val="nil"/>
                  </w:tcBorders>
                  <w:vAlign w:val="center"/>
                </w:tcPr>
                <w:p w14:paraId="6CD41D65">
                  <w:pPr>
                    <w:pStyle w:val="47"/>
                    <w:rPr>
                      <w:rFonts w:hint="eastAsia" w:ascii="宋体" w:hAnsi="宋体" w:eastAsia="宋体" w:cs="宋体"/>
                      <w:snapToGrid w:val="0"/>
                      <w:color w:val="auto"/>
                      <w:sz w:val="18"/>
                      <w:szCs w:val="18"/>
                    </w:rPr>
                  </w:pPr>
                  <w:r>
                    <w:rPr>
                      <w:rFonts w:hint="eastAsia" w:ascii="宋体" w:hAnsi="宋体" w:eastAsia="宋体" w:cs="宋体"/>
                      <w:snapToGrid w:val="0"/>
                      <w:color w:val="auto"/>
                      <w:sz w:val="18"/>
                      <w:szCs w:val="18"/>
                    </w:rPr>
                    <w:t>活性炭更换频次</w:t>
                  </w:r>
                </w:p>
              </w:tc>
              <w:tc>
                <w:tcPr>
                  <w:tcW w:w="2272" w:type="pct"/>
                  <w:tcBorders>
                    <w:tl2br w:val="nil"/>
                    <w:tr2bl w:val="nil"/>
                  </w:tcBorders>
                  <w:vAlign w:val="center"/>
                </w:tcPr>
                <w:p w14:paraId="24F5E098">
                  <w:pPr>
                    <w:pStyle w:val="47"/>
                    <w:rPr>
                      <w:rFonts w:eastAsia="宋体"/>
                      <w:snapToGrid w:val="0"/>
                      <w:color w:val="auto"/>
                      <w:sz w:val="18"/>
                      <w:szCs w:val="18"/>
                    </w:rPr>
                  </w:pPr>
                  <w:r>
                    <w:rPr>
                      <w:rFonts w:hint="eastAsia" w:eastAsia="宋体"/>
                      <w:snapToGrid w:val="0"/>
                      <w:color w:val="auto"/>
                      <w:sz w:val="18"/>
                      <w:szCs w:val="18"/>
                    </w:rPr>
                    <w:t>3个月更换一次</w:t>
                  </w:r>
                </w:p>
              </w:tc>
            </w:tr>
          </w:tbl>
          <w:p w14:paraId="15D42C61">
            <w:pPr>
              <w:spacing w:line="360" w:lineRule="auto"/>
              <w:ind w:firstLine="422" w:firstLineChars="200"/>
              <w:jc w:val="left"/>
              <w:rPr>
                <w:b/>
                <w:bCs/>
                <w:kern w:val="0"/>
                <w:szCs w:val="21"/>
              </w:rPr>
            </w:pPr>
            <w:r>
              <w:rPr>
                <w:b/>
                <w:bCs/>
                <w:kern w:val="0"/>
                <w:szCs w:val="21"/>
              </w:rPr>
              <w:t>活性炭技术参数合理性分析：</w:t>
            </w:r>
          </w:p>
          <w:p w14:paraId="4F6D912F">
            <w:pPr>
              <w:wordWrap w:val="0"/>
              <w:spacing w:line="360" w:lineRule="auto"/>
              <w:ind w:firstLine="420" w:firstLineChars="200"/>
              <w:jc w:val="left"/>
              <w:rPr>
                <w:szCs w:val="21"/>
              </w:rPr>
            </w:pPr>
            <w:r>
              <w:rPr>
                <w:szCs w:val="21"/>
              </w:rPr>
              <w:t>废气处理装置</w:t>
            </w:r>
            <w:r>
              <w:rPr>
                <w:szCs w:val="21"/>
                <w:lang w:val="zh-CN"/>
              </w:rPr>
              <w:t>配套风机</w:t>
            </w:r>
            <w:r>
              <w:rPr>
                <w:kern w:val="0"/>
                <w:szCs w:val="21"/>
              </w:rPr>
              <w:t>风量</w:t>
            </w:r>
            <w:r>
              <w:rPr>
                <w:rFonts w:hint="eastAsia"/>
                <w:kern w:val="0"/>
                <w:szCs w:val="21"/>
              </w:rPr>
              <w:t>2</w:t>
            </w:r>
            <w:r>
              <w:rPr>
                <w:kern w:val="0"/>
                <w:szCs w:val="21"/>
              </w:rPr>
              <w:t>00m</w:t>
            </w:r>
            <w:r>
              <w:rPr>
                <w:kern w:val="0"/>
                <w:szCs w:val="21"/>
                <w:vertAlign w:val="superscript"/>
              </w:rPr>
              <w:t>3</w:t>
            </w:r>
            <w:r>
              <w:rPr>
                <w:kern w:val="0"/>
                <w:szCs w:val="21"/>
              </w:rPr>
              <w:t>/h=</w:t>
            </w:r>
            <w:r>
              <w:rPr>
                <w:rFonts w:hint="eastAsia"/>
                <w:kern w:val="0"/>
                <w:szCs w:val="21"/>
              </w:rPr>
              <w:t>0.056</w:t>
            </w:r>
            <w:r>
              <w:rPr>
                <w:kern w:val="0"/>
                <w:szCs w:val="21"/>
              </w:rPr>
              <w:t>m</w:t>
            </w:r>
            <w:r>
              <w:rPr>
                <w:kern w:val="0"/>
                <w:szCs w:val="21"/>
                <w:vertAlign w:val="superscript"/>
              </w:rPr>
              <w:t>3</w:t>
            </w:r>
            <w:r>
              <w:rPr>
                <w:kern w:val="0"/>
                <w:szCs w:val="21"/>
              </w:rPr>
              <w:t>/s；活性炭吸附装置其规格为活性炭体宽度</w:t>
            </w:r>
            <w:r>
              <w:rPr>
                <w:rFonts w:hint="eastAsia"/>
                <w:kern w:val="0"/>
                <w:szCs w:val="21"/>
              </w:rPr>
              <w:t>0.4</w:t>
            </w:r>
            <w:r>
              <w:rPr>
                <w:kern w:val="0"/>
                <w:szCs w:val="21"/>
              </w:rPr>
              <w:t>m，活性炭体长度</w:t>
            </w:r>
            <w:r>
              <w:rPr>
                <w:rFonts w:hint="eastAsia"/>
                <w:kern w:val="0"/>
                <w:szCs w:val="21"/>
              </w:rPr>
              <w:t>0.4</w:t>
            </w:r>
            <w:r>
              <w:rPr>
                <w:kern w:val="0"/>
                <w:szCs w:val="21"/>
              </w:rPr>
              <w:t>m，活性炭有效填充厚度</w:t>
            </w:r>
            <w:r>
              <w:rPr>
                <w:rFonts w:hint="eastAsia"/>
                <w:kern w:val="0"/>
                <w:szCs w:val="21"/>
              </w:rPr>
              <w:t>0.1</w:t>
            </w:r>
            <w:r>
              <w:rPr>
                <w:kern w:val="0"/>
                <w:szCs w:val="21"/>
              </w:rPr>
              <w:t>m，</w:t>
            </w:r>
            <w:r>
              <w:rPr>
                <w:rFonts w:hint="eastAsia"/>
                <w:kern w:val="0"/>
                <w:szCs w:val="21"/>
              </w:rPr>
              <w:t>单个</w:t>
            </w:r>
            <w:r>
              <w:rPr>
                <w:kern w:val="0"/>
                <w:szCs w:val="21"/>
              </w:rPr>
              <w:t>装置内放</w:t>
            </w:r>
            <w:r>
              <w:rPr>
                <w:rFonts w:hint="eastAsia"/>
                <w:kern w:val="0"/>
                <w:szCs w:val="21"/>
              </w:rPr>
              <w:t>2</w:t>
            </w:r>
            <w:r>
              <w:rPr>
                <w:kern w:val="0"/>
                <w:szCs w:val="21"/>
              </w:rPr>
              <w:t>层，活性炭密度0.</w:t>
            </w:r>
            <w:r>
              <w:rPr>
                <w:rFonts w:hint="eastAsia"/>
                <w:kern w:val="0"/>
                <w:szCs w:val="21"/>
              </w:rPr>
              <w:t>4</w:t>
            </w:r>
            <w:r>
              <w:rPr>
                <w:kern w:val="0"/>
                <w:szCs w:val="21"/>
              </w:rPr>
              <w:t>5g/cm</w:t>
            </w:r>
            <w:r>
              <w:rPr>
                <w:kern w:val="0"/>
                <w:szCs w:val="21"/>
                <w:vertAlign w:val="superscript"/>
              </w:rPr>
              <w:t>3</w:t>
            </w:r>
            <w:r>
              <w:rPr>
                <w:kern w:val="0"/>
                <w:szCs w:val="21"/>
              </w:rPr>
              <w:t>。活性炭吸附装置有效容积=有效长度×有效宽度×有效高度=</w:t>
            </w:r>
            <w:r>
              <w:rPr>
                <w:rFonts w:hint="eastAsia"/>
                <w:kern w:val="0"/>
                <w:szCs w:val="21"/>
              </w:rPr>
              <w:t>0.4</w:t>
            </w:r>
            <w:r>
              <w:rPr>
                <w:kern w:val="0"/>
                <w:szCs w:val="21"/>
              </w:rPr>
              <w:t>m×</w:t>
            </w:r>
            <w:r>
              <w:rPr>
                <w:rFonts w:hint="eastAsia"/>
                <w:kern w:val="0"/>
                <w:szCs w:val="21"/>
              </w:rPr>
              <w:t>0.4</w:t>
            </w:r>
            <w:r>
              <w:rPr>
                <w:kern w:val="0"/>
                <w:szCs w:val="21"/>
              </w:rPr>
              <w:t>m×</w:t>
            </w:r>
            <w:r>
              <w:rPr>
                <w:rFonts w:hint="eastAsia"/>
                <w:kern w:val="0"/>
                <w:szCs w:val="21"/>
              </w:rPr>
              <w:t>0.1</w:t>
            </w:r>
            <w:r>
              <w:rPr>
                <w:kern w:val="0"/>
                <w:szCs w:val="21"/>
              </w:rPr>
              <w:t>m=</w:t>
            </w:r>
            <w:r>
              <w:rPr>
                <w:rFonts w:hint="eastAsia"/>
                <w:kern w:val="0"/>
                <w:szCs w:val="21"/>
              </w:rPr>
              <w:t>0.016</w:t>
            </w:r>
            <w:r>
              <w:rPr>
                <w:kern w:val="0"/>
                <w:szCs w:val="21"/>
              </w:rPr>
              <w:t>m</w:t>
            </w:r>
            <w:r>
              <w:rPr>
                <w:kern w:val="0"/>
                <w:szCs w:val="21"/>
                <w:vertAlign w:val="superscript"/>
              </w:rPr>
              <w:t>3</w:t>
            </w:r>
            <w:r>
              <w:rPr>
                <w:kern w:val="0"/>
                <w:szCs w:val="21"/>
              </w:rPr>
              <w:t>，则活性炭填充量经计算=</w:t>
            </w:r>
            <w:r>
              <w:rPr>
                <w:rFonts w:hint="eastAsia"/>
                <w:kern w:val="0"/>
                <w:szCs w:val="21"/>
              </w:rPr>
              <w:t>0.016</w:t>
            </w:r>
            <w:r>
              <w:rPr>
                <w:kern w:val="0"/>
                <w:szCs w:val="21"/>
              </w:rPr>
              <w:t>×0.</w:t>
            </w:r>
            <w:r>
              <w:rPr>
                <w:rFonts w:hint="eastAsia"/>
                <w:kern w:val="0"/>
                <w:szCs w:val="21"/>
              </w:rPr>
              <w:t>4</w:t>
            </w:r>
            <w:r>
              <w:rPr>
                <w:kern w:val="0"/>
                <w:szCs w:val="21"/>
              </w:rPr>
              <w:t>5=</w:t>
            </w:r>
            <w:r>
              <w:rPr>
                <w:rFonts w:hint="eastAsia"/>
                <w:kern w:val="0"/>
                <w:szCs w:val="21"/>
              </w:rPr>
              <w:t>0.007</w:t>
            </w:r>
            <w:r>
              <w:rPr>
                <w:kern w:val="0"/>
                <w:szCs w:val="21"/>
              </w:rPr>
              <w:t>t，与参数表内活性炭充填量相同，过滤风速=</w:t>
            </w:r>
            <w:r>
              <w:rPr>
                <w:rFonts w:hint="eastAsia"/>
                <w:kern w:val="0"/>
                <w:szCs w:val="21"/>
              </w:rPr>
              <w:t>0.056</w:t>
            </w:r>
            <w:r>
              <w:rPr>
                <w:kern w:val="0"/>
                <w:szCs w:val="21"/>
              </w:rPr>
              <w:t>/</w:t>
            </w:r>
            <w:r>
              <w:rPr>
                <w:rFonts w:hint="eastAsia"/>
                <w:kern w:val="0"/>
                <w:szCs w:val="21"/>
              </w:rPr>
              <w:t>0.4</w:t>
            </w:r>
            <w:r>
              <w:rPr>
                <w:kern w:val="0"/>
                <w:szCs w:val="21"/>
              </w:rPr>
              <w:t>/</w:t>
            </w:r>
            <w:r>
              <w:rPr>
                <w:rFonts w:hint="eastAsia"/>
                <w:kern w:val="0"/>
                <w:szCs w:val="21"/>
              </w:rPr>
              <w:t>0.4</w:t>
            </w:r>
            <w:r>
              <w:rPr>
                <w:kern w:val="0"/>
                <w:szCs w:val="21"/>
              </w:rPr>
              <w:t>/</w:t>
            </w:r>
            <w:r>
              <w:rPr>
                <w:rFonts w:hint="eastAsia"/>
                <w:kern w:val="0"/>
                <w:szCs w:val="21"/>
              </w:rPr>
              <w:t>2</w:t>
            </w:r>
            <w:r>
              <w:rPr>
                <w:kern w:val="0"/>
                <w:szCs w:val="21"/>
              </w:rPr>
              <w:t>=</w:t>
            </w:r>
            <w:r>
              <w:rPr>
                <w:rFonts w:hint="eastAsia"/>
                <w:kern w:val="0"/>
                <w:szCs w:val="21"/>
              </w:rPr>
              <w:t>0.018</w:t>
            </w:r>
            <w:r>
              <w:rPr>
                <w:kern w:val="0"/>
                <w:szCs w:val="21"/>
              </w:rPr>
              <w:t>m/s，</w:t>
            </w:r>
            <w:r>
              <w:rPr>
                <w:szCs w:val="21"/>
              </w:rPr>
              <w:t>满足《吸附法工业有机废气治理工程技术规范（HJ2026—2013）》中“采用蜂窝状吸附剂时，气体流速宜低于1.2m/s”的要求。停留时间=0.</w:t>
            </w:r>
            <w:r>
              <w:rPr>
                <w:rFonts w:hint="eastAsia"/>
                <w:szCs w:val="21"/>
              </w:rPr>
              <w:t>1</w:t>
            </w:r>
            <w:r>
              <w:rPr>
                <w:rFonts w:hint="eastAsia"/>
                <w:szCs w:val="21"/>
                <w:lang w:val="en-US" w:eastAsia="zh-CN"/>
              </w:rPr>
              <w:t>*2</w:t>
            </w:r>
            <w:r>
              <w:rPr>
                <w:szCs w:val="21"/>
              </w:rPr>
              <w:t>/</w:t>
            </w:r>
            <w:r>
              <w:rPr>
                <w:rFonts w:hint="eastAsia"/>
                <w:szCs w:val="21"/>
              </w:rPr>
              <w:t>0.018=</w:t>
            </w:r>
            <w:r>
              <w:rPr>
                <w:rFonts w:hint="eastAsia"/>
                <w:szCs w:val="21"/>
                <w:lang w:val="en-US" w:eastAsia="zh-CN"/>
              </w:rPr>
              <w:t>11.1</w:t>
            </w:r>
            <w:r>
              <w:rPr>
                <w:szCs w:val="21"/>
              </w:rPr>
              <w:t>s，满足《吸附法工业有机废气治理工程技术规范（HJ2026-2013）》中“</w:t>
            </w:r>
            <w:r>
              <w:rPr>
                <w:rFonts w:hint="eastAsia"/>
                <w:szCs w:val="21"/>
              </w:rPr>
              <w:t>采用蜂窝状吸附剂时，气体流速宜低于1.2m/s，停留时间大于1s”的要求</w:t>
            </w:r>
            <w:r>
              <w:rPr>
                <w:szCs w:val="21"/>
              </w:rPr>
              <w:t>。</w:t>
            </w:r>
          </w:p>
          <w:p w14:paraId="15296118">
            <w:pPr>
              <w:snapToGrid w:val="0"/>
              <w:spacing w:line="360" w:lineRule="auto"/>
              <w:ind w:firstLine="420" w:firstLineChars="200"/>
              <w:rPr>
                <w:szCs w:val="21"/>
              </w:rPr>
            </w:pPr>
            <w:r>
              <w:rPr>
                <w:rFonts w:hint="eastAsia"/>
                <w:szCs w:val="21"/>
              </w:rPr>
              <w:t>根据《省生态环境厅关于将排污单位活性炭使用更换纳入排污许可管理的通知》（苏环办〔2021〕218号）文中《涉活性炭吸附排污单位的排污许可管理要求》参照以下公式计算活性炭更换周期：</w:t>
            </w:r>
          </w:p>
          <w:p w14:paraId="6F7E957B">
            <w:pPr>
              <w:pStyle w:val="106"/>
              <w:spacing w:line="360" w:lineRule="auto"/>
              <w:ind w:firstLine="0" w:firstLineChars="0"/>
              <w:jc w:val="center"/>
              <w:rPr>
                <w:szCs w:val="21"/>
              </w:rPr>
            </w:pPr>
            <w:r>
              <w:rPr>
                <w:rFonts w:hint="eastAsia"/>
                <w:position w:val="-10"/>
                <w:szCs w:val="21"/>
              </w:rPr>
              <w:object>
                <v:shape id="_x0000_i1025" o:spt="75" type="#_x0000_t75" style="height:18pt;width:129pt;" o:ole="t" filled="f" o:preferrelative="t" stroked="f" coordsize="21600,21600">
                  <v:path/>
                  <v:fill on="f" focussize="0,0"/>
                  <v:stroke on="f" joinstyle="miter"/>
                  <v:imagedata r:id="rId14" o:title=""/>
                  <o:lock v:ext="edit" aspectratio="t"/>
                  <w10:wrap type="none"/>
                  <w10:anchorlock/>
                </v:shape>
                <o:OLEObject Type="Embed" ProgID="Equation.3" ShapeID="_x0000_i1025" DrawAspect="Content" ObjectID="_1468075725" r:id="rId13">
                  <o:LockedField>false</o:LockedField>
                </o:OLEObject>
              </w:object>
            </w:r>
          </w:p>
          <w:p w14:paraId="66397FA0">
            <w:pPr>
              <w:pStyle w:val="106"/>
              <w:spacing w:line="360" w:lineRule="auto"/>
              <w:rPr>
                <w:szCs w:val="21"/>
              </w:rPr>
            </w:pPr>
            <w:r>
              <w:rPr>
                <w:rFonts w:hint="eastAsia"/>
                <w:szCs w:val="21"/>
              </w:rPr>
              <w:t>式中：T—更换周期，天；</w:t>
            </w:r>
          </w:p>
          <w:p w14:paraId="46E2055A">
            <w:pPr>
              <w:pStyle w:val="106"/>
              <w:spacing w:line="360" w:lineRule="auto"/>
              <w:ind w:firstLine="0" w:firstLineChars="0"/>
              <w:rPr>
                <w:szCs w:val="21"/>
              </w:rPr>
            </w:pPr>
            <w:r>
              <w:rPr>
                <w:rFonts w:hint="eastAsia"/>
                <w:szCs w:val="21"/>
              </w:rPr>
              <w:t xml:space="preserve">          m—活性炭用量，kg；</w:t>
            </w:r>
          </w:p>
          <w:p w14:paraId="67F41A92">
            <w:pPr>
              <w:pStyle w:val="106"/>
              <w:spacing w:line="360" w:lineRule="auto"/>
              <w:ind w:firstLine="1050" w:firstLineChars="500"/>
              <w:rPr>
                <w:szCs w:val="21"/>
              </w:rPr>
            </w:pPr>
            <w:r>
              <w:rPr>
                <w:rFonts w:hint="eastAsia"/>
                <w:szCs w:val="21"/>
              </w:rPr>
              <w:t>s—动态吸附量，%（一般取10%）；</w:t>
            </w:r>
          </w:p>
          <w:p w14:paraId="1AAC3AD1">
            <w:pPr>
              <w:pStyle w:val="106"/>
              <w:spacing w:line="360" w:lineRule="auto"/>
              <w:ind w:firstLine="1050" w:firstLineChars="500"/>
              <w:rPr>
                <w:szCs w:val="21"/>
              </w:rPr>
            </w:pPr>
            <w:r>
              <w:rPr>
                <w:rFonts w:hint="eastAsia"/>
                <w:szCs w:val="21"/>
              </w:rPr>
              <w:t>c—活性炭削减的VOCs浓度，mg/m</w:t>
            </w:r>
            <w:r>
              <w:rPr>
                <w:rFonts w:hint="eastAsia"/>
                <w:szCs w:val="21"/>
                <w:vertAlign w:val="superscript"/>
              </w:rPr>
              <w:t>3</w:t>
            </w:r>
            <w:r>
              <w:rPr>
                <w:rFonts w:hint="eastAsia"/>
                <w:szCs w:val="21"/>
              </w:rPr>
              <w:t>；</w:t>
            </w:r>
          </w:p>
          <w:p w14:paraId="5C592D5B">
            <w:pPr>
              <w:pStyle w:val="106"/>
              <w:spacing w:line="360" w:lineRule="auto"/>
              <w:ind w:firstLine="1050" w:firstLineChars="500"/>
              <w:rPr>
                <w:szCs w:val="21"/>
              </w:rPr>
            </w:pPr>
            <w:r>
              <w:rPr>
                <w:rFonts w:hint="eastAsia"/>
                <w:szCs w:val="21"/>
              </w:rPr>
              <w:t>Q—风量，单位m</w:t>
            </w:r>
            <w:r>
              <w:rPr>
                <w:rFonts w:hint="eastAsia"/>
                <w:szCs w:val="21"/>
                <w:vertAlign w:val="superscript"/>
              </w:rPr>
              <w:t>3</w:t>
            </w:r>
            <w:r>
              <w:rPr>
                <w:rFonts w:hint="eastAsia"/>
                <w:szCs w:val="21"/>
              </w:rPr>
              <w:t>/h；</w:t>
            </w:r>
          </w:p>
          <w:p w14:paraId="642DD632">
            <w:pPr>
              <w:pStyle w:val="106"/>
              <w:spacing w:line="360" w:lineRule="auto"/>
              <w:ind w:firstLine="1050" w:firstLineChars="500"/>
              <w:rPr>
                <w:szCs w:val="21"/>
              </w:rPr>
            </w:pPr>
            <w:r>
              <w:rPr>
                <w:rFonts w:hint="eastAsia"/>
                <w:szCs w:val="21"/>
              </w:rPr>
              <w:t>t—运行时间，单位h/d；</w:t>
            </w:r>
          </w:p>
          <w:p w14:paraId="3BF159E7">
            <w:pPr>
              <w:adjustRightInd w:val="0"/>
              <w:snapToGrid w:val="0"/>
              <w:spacing w:line="360" w:lineRule="auto"/>
              <w:jc w:val="center"/>
              <w:rPr>
                <w:b/>
                <w:bCs/>
                <w:kern w:val="0"/>
                <w:szCs w:val="21"/>
              </w:rPr>
            </w:pPr>
            <w:r>
              <w:rPr>
                <w:b/>
                <w:bCs/>
                <w:kern w:val="0"/>
                <w:szCs w:val="21"/>
              </w:rPr>
              <w:t>表4-</w:t>
            </w:r>
            <w:r>
              <w:rPr>
                <w:rFonts w:hint="eastAsia"/>
                <w:b/>
                <w:bCs/>
                <w:kern w:val="0"/>
                <w:szCs w:val="21"/>
              </w:rPr>
              <w:t>1</w:t>
            </w:r>
            <w:r>
              <w:rPr>
                <w:rFonts w:hint="eastAsia"/>
                <w:b/>
                <w:bCs/>
                <w:kern w:val="0"/>
                <w:szCs w:val="21"/>
                <w:lang w:val="en-US" w:eastAsia="zh-CN"/>
              </w:rPr>
              <w:t>2</w:t>
            </w:r>
            <w:r>
              <w:rPr>
                <w:rFonts w:hint="eastAsia"/>
                <w:b/>
                <w:bCs/>
                <w:kern w:val="0"/>
                <w:szCs w:val="21"/>
              </w:rPr>
              <w:t>活性炭更换周期计算表</w:t>
            </w:r>
          </w:p>
          <w:tbl>
            <w:tblPr>
              <w:tblStyle w:val="23"/>
              <w:tblpPr w:leftFromText="180" w:rightFromText="180" w:vertAnchor="text" w:tblpX="1" w:tblpY="1"/>
              <w:tblOverlap w:val="never"/>
              <w:tblW w:w="4942"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960"/>
              <w:gridCol w:w="1119"/>
              <w:gridCol w:w="1267"/>
              <w:gridCol w:w="2006"/>
              <w:gridCol w:w="1063"/>
              <w:gridCol w:w="1034"/>
              <w:gridCol w:w="1267"/>
            </w:tblGrid>
            <w:tr w14:paraId="4A6D4E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81" w:hRule="atLeast"/>
              </w:trPr>
              <w:tc>
                <w:tcPr>
                  <w:tcW w:w="550" w:type="pct"/>
                  <w:tcBorders>
                    <w:tl2br w:val="nil"/>
                    <w:tr2bl w:val="nil"/>
                  </w:tcBorders>
                  <w:vAlign w:val="center"/>
                </w:tcPr>
                <w:p w14:paraId="3512D6F3">
                  <w:pPr>
                    <w:pStyle w:val="117"/>
                    <w:snapToGrid w:val="0"/>
                    <w:jc w:val="center"/>
                    <w:textAlignment w:val="auto"/>
                    <w:rPr>
                      <w:rFonts w:ascii="Times New Roman" w:hAnsi="Times New Roman" w:eastAsia="宋体" w:cs="Times New Roman"/>
                      <w:b/>
                      <w:bCs/>
                      <w:snapToGrid w:val="0"/>
                      <w:color w:val="auto"/>
                      <w:kern w:val="0"/>
                      <w:sz w:val="18"/>
                      <w:szCs w:val="18"/>
                    </w:rPr>
                  </w:pPr>
                  <w:r>
                    <w:rPr>
                      <w:rFonts w:hint="eastAsia" w:ascii="Times New Roman" w:hAnsi="Times New Roman" w:eastAsia="宋体" w:cs="Times New Roman"/>
                      <w:b/>
                      <w:bCs/>
                      <w:snapToGrid w:val="0"/>
                      <w:color w:val="auto"/>
                      <w:kern w:val="0"/>
                      <w:sz w:val="18"/>
                      <w:szCs w:val="18"/>
                    </w:rPr>
                    <w:t>位置</w:t>
                  </w:r>
                </w:p>
              </w:tc>
              <w:tc>
                <w:tcPr>
                  <w:tcW w:w="641" w:type="pct"/>
                  <w:tcBorders>
                    <w:tl2br w:val="nil"/>
                    <w:tr2bl w:val="nil"/>
                  </w:tcBorders>
                  <w:vAlign w:val="center"/>
                </w:tcPr>
                <w:p w14:paraId="2ECCEE90">
                  <w:pPr>
                    <w:pStyle w:val="117"/>
                    <w:snapToGrid w:val="0"/>
                    <w:jc w:val="center"/>
                    <w:textAlignment w:val="auto"/>
                    <w:rPr>
                      <w:rFonts w:ascii="Times New Roman" w:hAnsi="Times New Roman" w:eastAsia="宋体" w:cs="Times New Roman"/>
                      <w:b/>
                      <w:bCs/>
                      <w:snapToGrid w:val="0"/>
                      <w:color w:val="auto"/>
                      <w:kern w:val="0"/>
                      <w:sz w:val="18"/>
                      <w:szCs w:val="18"/>
                    </w:rPr>
                  </w:pPr>
                  <w:r>
                    <w:rPr>
                      <w:rFonts w:ascii="Times New Roman" w:hAnsi="Times New Roman" w:eastAsia="宋体" w:cs="Times New Roman"/>
                      <w:b/>
                      <w:bCs/>
                      <w:snapToGrid w:val="0"/>
                      <w:color w:val="auto"/>
                      <w:kern w:val="0"/>
                      <w:sz w:val="18"/>
                      <w:szCs w:val="18"/>
                    </w:rPr>
                    <w:t>活性炭用量（kg）</w:t>
                  </w:r>
                </w:p>
              </w:tc>
              <w:tc>
                <w:tcPr>
                  <w:tcW w:w="726" w:type="pct"/>
                  <w:tcBorders>
                    <w:tl2br w:val="nil"/>
                    <w:tr2bl w:val="nil"/>
                  </w:tcBorders>
                  <w:vAlign w:val="center"/>
                </w:tcPr>
                <w:p w14:paraId="06E8CC54">
                  <w:pPr>
                    <w:pStyle w:val="117"/>
                    <w:snapToGrid w:val="0"/>
                    <w:jc w:val="center"/>
                    <w:textAlignment w:val="auto"/>
                    <w:rPr>
                      <w:rFonts w:ascii="Times New Roman" w:hAnsi="Times New Roman" w:eastAsia="宋体" w:cs="Times New Roman"/>
                      <w:b/>
                      <w:bCs/>
                      <w:snapToGrid w:val="0"/>
                      <w:color w:val="auto"/>
                      <w:kern w:val="0"/>
                      <w:sz w:val="18"/>
                      <w:szCs w:val="18"/>
                    </w:rPr>
                  </w:pPr>
                  <w:r>
                    <w:rPr>
                      <w:rFonts w:ascii="Times New Roman" w:hAnsi="Times New Roman" w:eastAsia="宋体" w:cs="Times New Roman"/>
                      <w:b/>
                      <w:bCs/>
                      <w:snapToGrid w:val="0"/>
                      <w:color w:val="auto"/>
                      <w:kern w:val="0"/>
                      <w:sz w:val="18"/>
                      <w:szCs w:val="18"/>
                    </w:rPr>
                    <w:t>动态吸附量（%）</w:t>
                  </w:r>
                </w:p>
              </w:tc>
              <w:tc>
                <w:tcPr>
                  <w:tcW w:w="1150" w:type="pct"/>
                  <w:tcBorders>
                    <w:tl2br w:val="nil"/>
                    <w:tr2bl w:val="nil"/>
                  </w:tcBorders>
                  <w:vAlign w:val="center"/>
                </w:tcPr>
                <w:p w14:paraId="2BF366F8">
                  <w:pPr>
                    <w:pStyle w:val="117"/>
                    <w:snapToGrid w:val="0"/>
                    <w:jc w:val="center"/>
                    <w:textAlignment w:val="auto"/>
                    <w:rPr>
                      <w:rFonts w:ascii="Times New Roman" w:hAnsi="Times New Roman" w:eastAsia="宋体" w:cs="Times New Roman"/>
                      <w:b/>
                      <w:bCs/>
                      <w:snapToGrid w:val="0"/>
                      <w:color w:val="auto"/>
                      <w:kern w:val="0"/>
                      <w:sz w:val="18"/>
                      <w:szCs w:val="18"/>
                    </w:rPr>
                  </w:pPr>
                  <w:r>
                    <w:rPr>
                      <w:rFonts w:ascii="Times New Roman" w:hAnsi="Times New Roman" w:eastAsia="宋体" w:cs="Times New Roman"/>
                      <w:b/>
                      <w:bCs/>
                      <w:snapToGrid w:val="0"/>
                      <w:color w:val="auto"/>
                      <w:kern w:val="0"/>
                      <w:sz w:val="18"/>
                      <w:szCs w:val="18"/>
                    </w:rPr>
                    <w:t>活性炭削减VOCs浓度（mg/m</w:t>
                  </w:r>
                  <w:r>
                    <w:rPr>
                      <w:rFonts w:ascii="Times New Roman" w:hAnsi="Times New Roman" w:eastAsia="宋体" w:cs="Times New Roman"/>
                      <w:b/>
                      <w:bCs/>
                      <w:snapToGrid w:val="0"/>
                      <w:color w:val="auto"/>
                      <w:kern w:val="0"/>
                      <w:sz w:val="18"/>
                      <w:szCs w:val="18"/>
                      <w:vertAlign w:val="superscript"/>
                    </w:rPr>
                    <w:t>3</w:t>
                  </w:r>
                  <w:r>
                    <w:rPr>
                      <w:rFonts w:ascii="Times New Roman" w:hAnsi="Times New Roman" w:eastAsia="宋体" w:cs="Times New Roman"/>
                      <w:b/>
                      <w:bCs/>
                      <w:snapToGrid w:val="0"/>
                      <w:color w:val="auto"/>
                      <w:kern w:val="0"/>
                      <w:sz w:val="18"/>
                      <w:szCs w:val="18"/>
                    </w:rPr>
                    <w:t>）</w:t>
                  </w:r>
                </w:p>
              </w:tc>
              <w:tc>
                <w:tcPr>
                  <w:tcW w:w="610" w:type="pct"/>
                  <w:tcBorders>
                    <w:tl2br w:val="nil"/>
                    <w:tr2bl w:val="nil"/>
                  </w:tcBorders>
                  <w:vAlign w:val="center"/>
                </w:tcPr>
                <w:p w14:paraId="33C1F144">
                  <w:pPr>
                    <w:pStyle w:val="117"/>
                    <w:snapToGrid w:val="0"/>
                    <w:jc w:val="center"/>
                    <w:textAlignment w:val="auto"/>
                    <w:rPr>
                      <w:rFonts w:ascii="Times New Roman" w:hAnsi="Times New Roman" w:eastAsia="宋体" w:cs="Times New Roman"/>
                      <w:b/>
                      <w:bCs/>
                      <w:snapToGrid w:val="0"/>
                      <w:color w:val="auto"/>
                      <w:kern w:val="0"/>
                      <w:sz w:val="18"/>
                      <w:szCs w:val="18"/>
                    </w:rPr>
                  </w:pPr>
                  <w:r>
                    <w:rPr>
                      <w:rFonts w:ascii="Times New Roman" w:hAnsi="Times New Roman" w:eastAsia="宋体" w:cs="Times New Roman"/>
                      <w:b/>
                      <w:bCs/>
                      <w:snapToGrid w:val="0"/>
                      <w:color w:val="auto"/>
                      <w:kern w:val="0"/>
                      <w:sz w:val="18"/>
                      <w:szCs w:val="18"/>
                    </w:rPr>
                    <w:t>风量</w:t>
                  </w:r>
                </w:p>
                <w:p w14:paraId="325187E2">
                  <w:pPr>
                    <w:pStyle w:val="117"/>
                    <w:snapToGrid w:val="0"/>
                    <w:jc w:val="center"/>
                    <w:textAlignment w:val="auto"/>
                    <w:rPr>
                      <w:rFonts w:ascii="Times New Roman" w:hAnsi="Times New Roman" w:eastAsia="宋体" w:cs="Times New Roman"/>
                      <w:b/>
                      <w:bCs/>
                      <w:snapToGrid w:val="0"/>
                      <w:color w:val="auto"/>
                      <w:kern w:val="0"/>
                      <w:sz w:val="18"/>
                      <w:szCs w:val="18"/>
                    </w:rPr>
                  </w:pPr>
                  <w:r>
                    <w:rPr>
                      <w:rFonts w:ascii="Times New Roman" w:hAnsi="Times New Roman" w:eastAsia="宋体" w:cs="Times New Roman"/>
                      <w:b/>
                      <w:bCs/>
                      <w:snapToGrid w:val="0"/>
                      <w:color w:val="auto"/>
                      <w:kern w:val="0"/>
                      <w:sz w:val="18"/>
                      <w:szCs w:val="18"/>
                    </w:rPr>
                    <w:t>（m</w:t>
                  </w:r>
                  <w:r>
                    <w:rPr>
                      <w:rFonts w:ascii="Times New Roman" w:hAnsi="Times New Roman" w:eastAsia="宋体" w:cs="Times New Roman"/>
                      <w:b/>
                      <w:bCs/>
                      <w:snapToGrid w:val="0"/>
                      <w:color w:val="auto"/>
                      <w:kern w:val="0"/>
                      <w:sz w:val="18"/>
                      <w:szCs w:val="18"/>
                      <w:vertAlign w:val="superscript"/>
                    </w:rPr>
                    <w:t>3</w:t>
                  </w:r>
                  <w:r>
                    <w:rPr>
                      <w:rFonts w:ascii="Times New Roman" w:hAnsi="Times New Roman" w:eastAsia="宋体" w:cs="Times New Roman"/>
                      <w:b/>
                      <w:bCs/>
                      <w:snapToGrid w:val="0"/>
                      <w:color w:val="auto"/>
                      <w:kern w:val="0"/>
                      <w:sz w:val="18"/>
                      <w:szCs w:val="18"/>
                    </w:rPr>
                    <w:t>/h）</w:t>
                  </w:r>
                </w:p>
              </w:tc>
              <w:tc>
                <w:tcPr>
                  <w:tcW w:w="593" w:type="pct"/>
                  <w:tcBorders>
                    <w:tl2br w:val="nil"/>
                    <w:tr2bl w:val="nil"/>
                  </w:tcBorders>
                  <w:vAlign w:val="center"/>
                </w:tcPr>
                <w:p w14:paraId="7CD6BC32">
                  <w:pPr>
                    <w:jc w:val="center"/>
                    <w:rPr>
                      <w:b/>
                      <w:bCs/>
                      <w:snapToGrid w:val="0"/>
                      <w:kern w:val="0"/>
                      <w:sz w:val="18"/>
                      <w:szCs w:val="18"/>
                    </w:rPr>
                  </w:pPr>
                  <w:r>
                    <w:rPr>
                      <w:b/>
                      <w:bCs/>
                      <w:snapToGrid w:val="0"/>
                      <w:kern w:val="0"/>
                      <w:sz w:val="18"/>
                      <w:szCs w:val="18"/>
                    </w:rPr>
                    <w:t>运行时间（h/d）</w:t>
                  </w:r>
                </w:p>
              </w:tc>
              <w:tc>
                <w:tcPr>
                  <w:tcW w:w="726" w:type="pct"/>
                  <w:tcBorders>
                    <w:tl2br w:val="nil"/>
                    <w:tr2bl w:val="nil"/>
                  </w:tcBorders>
                  <w:vAlign w:val="center"/>
                </w:tcPr>
                <w:p w14:paraId="54FEB4DC">
                  <w:pPr>
                    <w:jc w:val="center"/>
                    <w:rPr>
                      <w:b/>
                      <w:bCs/>
                      <w:sz w:val="18"/>
                      <w:szCs w:val="18"/>
                    </w:rPr>
                  </w:pPr>
                  <w:r>
                    <w:rPr>
                      <w:b/>
                      <w:bCs/>
                      <w:sz w:val="18"/>
                      <w:szCs w:val="18"/>
                    </w:rPr>
                    <w:t>更换周期（天）</w:t>
                  </w:r>
                </w:p>
              </w:tc>
            </w:tr>
            <w:tr w14:paraId="29CEB8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50" w:type="pct"/>
                  <w:tcBorders>
                    <w:tl2br w:val="nil"/>
                    <w:tr2bl w:val="nil"/>
                  </w:tcBorders>
                  <w:vAlign w:val="center"/>
                </w:tcPr>
                <w:p w14:paraId="5E7A200F">
                  <w:pPr>
                    <w:pStyle w:val="117"/>
                    <w:snapToGrid w:val="0"/>
                    <w:jc w:val="center"/>
                    <w:textAlignment w:val="auto"/>
                    <w:rPr>
                      <w:rFonts w:ascii="Times New Roman" w:hAnsi="Times New Roman" w:eastAsia="宋体" w:cs="Times New Roman"/>
                      <w:snapToGrid w:val="0"/>
                      <w:color w:val="auto"/>
                      <w:kern w:val="0"/>
                      <w:sz w:val="18"/>
                      <w:szCs w:val="18"/>
                    </w:rPr>
                  </w:pPr>
                  <w:r>
                    <w:rPr>
                      <w:rFonts w:hint="eastAsia" w:ascii="Times New Roman" w:hAnsi="Times New Roman" w:eastAsia="宋体" w:cs="Times New Roman"/>
                      <w:snapToGrid w:val="0"/>
                      <w:color w:val="auto"/>
                      <w:kern w:val="0"/>
                      <w:sz w:val="18"/>
                      <w:szCs w:val="18"/>
                    </w:rPr>
                    <w:t>北侧研发检测车间</w:t>
                  </w:r>
                </w:p>
              </w:tc>
              <w:tc>
                <w:tcPr>
                  <w:tcW w:w="641" w:type="pct"/>
                  <w:tcBorders>
                    <w:tl2br w:val="nil"/>
                    <w:tr2bl w:val="nil"/>
                  </w:tcBorders>
                  <w:vAlign w:val="center"/>
                </w:tcPr>
                <w:p w14:paraId="0E2CB53F">
                  <w:pPr>
                    <w:pStyle w:val="117"/>
                    <w:snapToGrid w:val="0"/>
                    <w:jc w:val="center"/>
                    <w:textAlignment w:val="auto"/>
                    <w:rPr>
                      <w:rFonts w:hint="default" w:ascii="Times New Roman" w:hAnsi="Times New Roman" w:eastAsia="宋体" w:cs="Times New Roman"/>
                      <w:snapToGrid w:val="0"/>
                      <w:color w:val="auto"/>
                      <w:kern w:val="0"/>
                      <w:sz w:val="18"/>
                      <w:szCs w:val="18"/>
                      <w:lang w:val="en-US" w:eastAsia="zh-CN"/>
                    </w:rPr>
                  </w:pPr>
                  <w:r>
                    <w:rPr>
                      <w:rFonts w:hint="eastAsia" w:ascii="Times New Roman" w:hAnsi="Times New Roman" w:eastAsia="宋体" w:cs="Times New Roman"/>
                      <w:snapToGrid w:val="0"/>
                      <w:color w:val="auto"/>
                      <w:kern w:val="0"/>
                      <w:sz w:val="18"/>
                      <w:szCs w:val="18"/>
                      <w:lang w:val="en-US" w:eastAsia="zh-CN"/>
                    </w:rPr>
                    <w:t>1090</w:t>
                  </w:r>
                </w:p>
              </w:tc>
              <w:tc>
                <w:tcPr>
                  <w:tcW w:w="726" w:type="pct"/>
                  <w:tcBorders>
                    <w:tl2br w:val="nil"/>
                    <w:tr2bl w:val="nil"/>
                  </w:tcBorders>
                  <w:vAlign w:val="center"/>
                </w:tcPr>
                <w:p w14:paraId="6431E489">
                  <w:pPr>
                    <w:pStyle w:val="117"/>
                    <w:snapToGrid w:val="0"/>
                    <w:jc w:val="center"/>
                    <w:textAlignment w:val="auto"/>
                    <w:rPr>
                      <w:rFonts w:ascii="Times New Roman" w:hAnsi="Times New Roman" w:eastAsia="宋体" w:cs="Times New Roman"/>
                      <w:snapToGrid w:val="0"/>
                      <w:color w:val="auto"/>
                      <w:kern w:val="0"/>
                      <w:sz w:val="18"/>
                      <w:szCs w:val="18"/>
                    </w:rPr>
                  </w:pPr>
                  <w:r>
                    <w:rPr>
                      <w:rFonts w:hint="eastAsia" w:ascii="Times New Roman" w:hAnsi="Times New Roman" w:eastAsia="宋体" w:cs="Times New Roman"/>
                      <w:snapToGrid w:val="0"/>
                      <w:color w:val="auto"/>
                      <w:kern w:val="0"/>
                      <w:sz w:val="18"/>
                      <w:szCs w:val="18"/>
                    </w:rPr>
                    <w:t>10</w:t>
                  </w:r>
                </w:p>
              </w:tc>
              <w:tc>
                <w:tcPr>
                  <w:tcW w:w="1150" w:type="pct"/>
                  <w:tcBorders>
                    <w:tl2br w:val="nil"/>
                    <w:tr2bl w:val="nil"/>
                  </w:tcBorders>
                  <w:vAlign w:val="center"/>
                </w:tcPr>
                <w:p w14:paraId="691953E1">
                  <w:pPr>
                    <w:pStyle w:val="117"/>
                    <w:snapToGrid w:val="0"/>
                    <w:jc w:val="center"/>
                    <w:textAlignment w:val="auto"/>
                    <w:rPr>
                      <w:rFonts w:hint="default" w:ascii="Times New Roman" w:hAnsi="Times New Roman" w:eastAsia="宋体" w:cs="Times New Roman"/>
                      <w:snapToGrid w:val="0"/>
                      <w:color w:val="auto"/>
                      <w:kern w:val="0"/>
                      <w:sz w:val="18"/>
                      <w:szCs w:val="18"/>
                      <w:lang w:val="en-US" w:eastAsia="zh-CN"/>
                    </w:rPr>
                  </w:pPr>
                  <w:r>
                    <w:rPr>
                      <w:rFonts w:hint="eastAsia" w:ascii="Times New Roman" w:hAnsi="Times New Roman" w:eastAsia="宋体" w:cs="Times New Roman"/>
                      <w:snapToGrid w:val="0"/>
                      <w:color w:val="auto"/>
                      <w:kern w:val="0"/>
                      <w:sz w:val="18"/>
                      <w:szCs w:val="18"/>
                    </w:rPr>
                    <w:t>3.</w:t>
                  </w:r>
                  <w:r>
                    <w:rPr>
                      <w:rFonts w:hint="eastAsia" w:ascii="Times New Roman" w:hAnsi="Times New Roman" w:eastAsia="宋体" w:cs="Times New Roman"/>
                      <w:snapToGrid w:val="0"/>
                      <w:color w:val="auto"/>
                      <w:kern w:val="0"/>
                      <w:sz w:val="18"/>
                      <w:szCs w:val="18"/>
                      <w:lang w:val="en-US" w:eastAsia="zh-CN"/>
                    </w:rPr>
                    <w:t>76</w:t>
                  </w:r>
                </w:p>
              </w:tc>
              <w:tc>
                <w:tcPr>
                  <w:tcW w:w="610" w:type="pct"/>
                  <w:tcBorders>
                    <w:tl2br w:val="nil"/>
                    <w:tr2bl w:val="nil"/>
                  </w:tcBorders>
                  <w:vAlign w:val="center"/>
                </w:tcPr>
                <w:p w14:paraId="0BB3BF19">
                  <w:pPr>
                    <w:pStyle w:val="117"/>
                    <w:snapToGrid w:val="0"/>
                    <w:jc w:val="center"/>
                    <w:textAlignment w:val="auto"/>
                    <w:rPr>
                      <w:rFonts w:ascii="Times New Roman" w:hAnsi="Times New Roman" w:eastAsia="宋体" w:cs="Times New Roman"/>
                      <w:snapToGrid w:val="0"/>
                      <w:color w:val="auto"/>
                      <w:kern w:val="0"/>
                      <w:sz w:val="18"/>
                      <w:szCs w:val="18"/>
                    </w:rPr>
                  </w:pPr>
                  <w:r>
                    <w:rPr>
                      <w:rFonts w:hint="eastAsia" w:ascii="Times New Roman" w:hAnsi="Times New Roman" w:eastAsia="宋体" w:cs="Times New Roman"/>
                      <w:snapToGrid w:val="0"/>
                      <w:color w:val="auto"/>
                      <w:kern w:val="0"/>
                      <w:sz w:val="18"/>
                      <w:szCs w:val="18"/>
                    </w:rPr>
                    <w:t>7000</w:t>
                  </w:r>
                </w:p>
              </w:tc>
              <w:tc>
                <w:tcPr>
                  <w:tcW w:w="593" w:type="pct"/>
                  <w:tcBorders>
                    <w:tl2br w:val="nil"/>
                    <w:tr2bl w:val="nil"/>
                  </w:tcBorders>
                  <w:vAlign w:val="center"/>
                </w:tcPr>
                <w:p w14:paraId="09B6EC31">
                  <w:pPr>
                    <w:jc w:val="center"/>
                    <w:rPr>
                      <w:snapToGrid w:val="0"/>
                      <w:kern w:val="0"/>
                      <w:sz w:val="18"/>
                      <w:szCs w:val="18"/>
                    </w:rPr>
                  </w:pPr>
                  <w:r>
                    <w:rPr>
                      <w:rFonts w:hint="eastAsia"/>
                      <w:snapToGrid w:val="0"/>
                      <w:kern w:val="0"/>
                      <w:sz w:val="18"/>
                      <w:szCs w:val="18"/>
                    </w:rPr>
                    <w:t>8</w:t>
                  </w:r>
                </w:p>
              </w:tc>
              <w:tc>
                <w:tcPr>
                  <w:tcW w:w="726" w:type="pct"/>
                  <w:tcBorders>
                    <w:tl2br w:val="nil"/>
                    <w:tr2bl w:val="nil"/>
                  </w:tcBorders>
                  <w:vAlign w:val="center"/>
                </w:tcPr>
                <w:p w14:paraId="498FB990">
                  <w:pPr>
                    <w:jc w:val="center"/>
                    <w:rPr>
                      <w:rFonts w:hint="default" w:eastAsia="宋体"/>
                      <w:sz w:val="18"/>
                      <w:szCs w:val="18"/>
                      <w:lang w:val="en-US" w:eastAsia="zh-CN"/>
                    </w:rPr>
                  </w:pPr>
                  <w:r>
                    <w:rPr>
                      <w:rFonts w:hint="eastAsia"/>
                      <w:sz w:val="18"/>
                      <w:szCs w:val="18"/>
                      <w:lang w:val="en-US" w:eastAsia="zh-CN"/>
                    </w:rPr>
                    <w:t>517</w:t>
                  </w:r>
                </w:p>
              </w:tc>
            </w:tr>
            <w:tr w14:paraId="7238E2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30" w:hRule="atLeast"/>
              </w:trPr>
              <w:tc>
                <w:tcPr>
                  <w:tcW w:w="550" w:type="pct"/>
                  <w:tcBorders>
                    <w:tl2br w:val="nil"/>
                    <w:tr2bl w:val="nil"/>
                  </w:tcBorders>
                  <w:vAlign w:val="center"/>
                </w:tcPr>
                <w:p w14:paraId="7A7ABCA0">
                  <w:pPr>
                    <w:pStyle w:val="117"/>
                    <w:snapToGrid w:val="0"/>
                    <w:jc w:val="center"/>
                    <w:textAlignment w:val="auto"/>
                    <w:rPr>
                      <w:rFonts w:ascii="Times New Roman" w:hAnsi="Times New Roman" w:eastAsia="宋体" w:cs="Times New Roman"/>
                      <w:snapToGrid w:val="0"/>
                      <w:color w:val="auto"/>
                      <w:kern w:val="0"/>
                      <w:sz w:val="18"/>
                      <w:szCs w:val="18"/>
                    </w:rPr>
                  </w:pPr>
                  <w:r>
                    <w:rPr>
                      <w:rFonts w:hint="eastAsia" w:ascii="Times New Roman" w:hAnsi="Times New Roman" w:eastAsia="宋体" w:cs="Times New Roman"/>
                      <w:snapToGrid w:val="0"/>
                      <w:color w:val="auto"/>
                      <w:kern w:val="0"/>
                      <w:sz w:val="18"/>
                      <w:szCs w:val="18"/>
                    </w:rPr>
                    <w:t>危废仓库</w:t>
                  </w:r>
                </w:p>
              </w:tc>
              <w:tc>
                <w:tcPr>
                  <w:tcW w:w="641" w:type="pct"/>
                  <w:tcBorders>
                    <w:tl2br w:val="nil"/>
                    <w:tr2bl w:val="nil"/>
                  </w:tcBorders>
                  <w:vAlign w:val="center"/>
                </w:tcPr>
                <w:p w14:paraId="51A342E1">
                  <w:pPr>
                    <w:pStyle w:val="117"/>
                    <w:snapToGrid w:val="0"/>
                    <w:jc w:val="center"/>
                    <w:textAlignment w:val="auto"/>
                    <w:rPr>
                      <w:rFonts w:ascii="Times New Roman" w:hAnsi="Times New Roman" w:eastAsia="宋体" w:cs="Times New Roman"/>
                      <w:snapToGrid w:val="0"/>
                      <w:color w:val="auto"/>
                      <w:kern w:val="0"/>
                      <w:sz w:val="18"/>
                      <w:szCs w:val="18"/>
                    </w:rPr>
                  </w:pPr>
                  <w:r>
                    <w:rPr>
                      <w:rFonts w:hint="eastAsia" w:ascii="Times New Roman" w:hAnsi="Times New Roman" w:eastAsia="宋体" w:cs="Times New Roman"/>
                      <w:snapToGrid w:val="0"/>
                      <w:color w:val="auto"/>
                      <w:kern w:val="0"/>
                      <w:sz w:val="18"/>
                      <w:szCs w:val="18"/>
                    </w:rPr>
                    <w:t>7</w:t>
                  </w:r>
                </w:p>
              </w:tc>
              <w:tc>
                <w:tcPr>
                  <w:tcW w:w="726" w:type="pct"/>
                  <w:tcBorders>
                    <w:tl2br w:val="nil"/>
                    <w:tr2bl w:val="nil"/>
                  </w:tcBorders>
                  <w:vAlign w:val="center"/>
                </w:tcPr>
                <w:p w14:paraId="7F499C35">
                  <w:pPr>
                    <w:pStyle w:val="117"/>
                    <w:snapToGrid w:val="0"/>
                    <w:jc w:val="center"/>
                    <w:textAlignment w:val="auto"/>
                    <w:rPr>
                      <w:rFonts w:ascii="Times New Roman" w:hAnsi="Times New Roman" w:eastAsia="宋体" w:cs="Times New Roman"/>
                      <w:snapToGrid w:val="0"/>
                      <w:color w:val="auto"/>
                      <w:kern w:val="0"/>
                      <w:sz w:val="18"/>
                      <w:szCs w:val="18"/>
                    </w:rPr>
                  </w:pPr>
                  <w:r>
                    <w:rPr>
                      <w:rFonts w:hint="eastAsia" w:ascii="Times New Roman" w:hAnsi="Times New Roman" w:eastAsia="宋体" w:cs="Times New Roman"/>
                      <w:snapToGrid w:val="0"/>
                      <w:color w:val="auto"/>
                      <w:kern w:val="0"/>
                      <w:sz w:val="18"/>
                      <w:szCs w:val="18"/>
                    </w:rPr>
                    <w:t>10</w:t>
                  </w:r>
                </w:p>
              </w:tc>
              <w:tc>
                <w:tcPr>
                  <w:tcW w:w="1150" w:type="pct"/>
                  <w:tcBorders>
                    <w:tl2br w:val="nil"/>
                    <w:tr2bl w:val="nil"/>
                  </w:tcBorders>
                  <w:vAlign w:val="center"/>
                </w:tcPr>
                <w:p w14:paraId="45FAA1BA">
                  <w:pPr>
                    <w:pStyle w:val="117"/>
                    <w:snapToGrid w:val="0"/>
                    <w:jc w:val="center"/>
                    <w:textAlignment w:val="auto"/>
                    <w:rPr>
                      <w:rFonts w:hint="eastAsia" w:ascii="Times New Roman" w:hAnsi="Times New Roman" w:eastAsia="宋体" w:cs="Times New Roman"/>
                      <w:snapToGrid w:val="0"/>
                      <w:color w:val="auto"/>
                      <w:kern w:val="0"/>
                      <w:sz w:val="18"/>
                      <w:szCs w:val="18"/>
                      <w:lang w:eastAsia="zh-CN"/>
                    </w:rPr>
                  </w:pPr>
                  <w:r>
                    <w:rPr>
                      <w:rFonts w:hint="eastAsia" w:ascii="Times New Roman" w:hAnsi="Times New Roman" w:eastAsia="宋体" w:cs="Times New Roman"/>
                      <w:snapToGrid w:val="0"/>
                      <w:color w:val="auto"/>
                      <w:kern w:val="0"/>
                      <w:sz w:val="18"/>
                      <w:szCs w:val="18"/>
                    </w:rPr>
                    <w:t>1.</w:t>
                  </w:r>
                  <w:r>
                    <w:rPr>
                      <w:rFonts w:hint="eastAsia" w:ascii="Times New Roman" w:hAnsi="Times New Roman" w:eastAsia="宋体" w:cs="Times New Roman"/>
                      <w:snapToGrid w:val="0"/>
                      <w:color w:val="auto"/>
                      <w:kern w:val="0"/>
                      <w:sz w:val="18"/>
                      <w:szCs w:val="18"/>
                      <w:lang w:val="en-US" w:eastAsia="zh-CN"/>
                    </w:rPr>
                    <w:t>4</w:t>
                  </w:r>
                </w:p>
              </w:tc>
              <w:tc>
                <w:tcPr>
                  <w:tcW w:w="610" w:type="pct"/>
                  <w:tcBorders>
                    <w:tl2br w:val="nil"/>
                    <w:tr2bl w:val="nil"/>
                  </w:tcBorders>
                  <w:vAlign w:val="center"/>
                </w:tcPr>
                <w:p w14:paraId="3B1B3BCE">
                  <w:pPr>
                    <w:pStyle w:val="117"/>
                    <w:snapToGrid w:val="0"/>
                    <w:jc w:val="center"/>
                    <w:textAlignment w:val="auto"/>
                    <w:rPr>
                      <w:rFonts w:ascii="Times New Roman" w:hAnsi="Times New Roman" w:eastAsia="宋体" w:cs="Times New Roman"/>
                      <w:snapToGrid w:val="0"/>
                      <w:color w:val="auto"/>
                      <w:kern w:val="0"/>
                      <w:sz w:val="18"/>
                      <w:szCs w:val="18"/>
                    </w:rPr>
                  </w:pPr>
                  <w:r>
                    <w:rPr>
                      <w:rFonts w:hint="eastAsia" w:ascii="Times New Roman" w:hAnsi="Times New Roman" w:eastAsia="宋体" w:cs="Times New Roman"/>
                      <w:snapToGrid w:val="0"/>
                      <w:color w:val="auto"/>
                      <w:kern w:val="0"/>
                      <w:sz w:val="18"/>
                      <w:szCs w:val="18"/>
                    </w:rPr>
                    <w:t>200</w:t>
                  </w:r>
                </w:p>
              </w:tc>
              <w:tc>
                <w:tcPr>
                  <w:tcW w:w="593" w:type="pct"/>
                  <w:tcBorders>
                    <w:tl2br w:val="nil"/>
                    <w:tr2bl w:val="nil"/>
                  </w:tcBorders>
                  <w:vAlign w:val="center"/>
                </w:tcPr>
                <w:p w14:paraId="1ED22282">
                  <w:pPr>
                    <w:jc w:val="center"/>
                    <w:rPr>
                      <w:snapToGrid w:val="0"/>
                      <w:kern w:val="0"/>
                      <w:sz w:val="18"/>
                      <w:szCs w:val="18"/>
                    </w:rPr>
                  </w:pPr>
                  <w:r>
                    <w:rPr>
                      <w:rFonts w:hint="eastAsia"/>
                      <w:snapToGrid w:val="0"/>
                      <w:kern w:val="0"/>
                      <w:sz w:val="18"/>
                      <w:szCs w:val="18"/>
                    </w:rPr>
                    <w:t>24</w:t>
                  </w:r>
                </w:p>
              </w:tc>
              <w:tc>
                <w:tcPr>
                  <w:tcW w:w="726" w:type="pct"/>
                  <w:tcBorders>
                    <w:tl2br w:val="nil"/>
                    <w:tr2bl w:val="nil"/>
                  </w:tcBorders>
                  <w:vAlign w:val="center"/>
                </w:tcPr>
                <w:p w14:paraId="7E829271">
                  <w:pPr>
                    <w:jc w:val="center"/>
                    <w:rPr>
                      <w:rFonts w:hint="default" w:eastAsia="宋体"/>
                      <w:sz w:val="18"/>
                      <w:szCs w:val="18"/>
                      <w:lang w:val="en-US" w:eastAsia="zh-CN"/>
                    </w:rPr>
                  </w:pPr>
                  <w:r>
                    <w:rPr>
                      <w:rFonts w:hint="eastAsia"/>
                      <w:sz w:val="18"/>
                      <w:szCs w:val="18"/>
                    </w:rPr>
                    <w:t>1</w:t>
                  </w:r>
                  <w:r>
                    <w:rPr>
                      <w:rFonts w:hint="eastAsia"/>
                      <w:sz w:val="18"/>
                      <w:szCs w:val="18"/>
                      <w:lang w:val="en-US" w:eastAsia="zh-CN"/>
                    </w:rPr>
                    <w:t>04</w:t>
                  </w:r>
                </w:p>
              </w:tc>
            </w:tr>
          </w:tbl>
          <w:p w14:paraId="0B4C8BFE">
            <w:pPr>
              <w:widowControl/>
              <w:shd w:val="clear" w:color="auto" w:fill="FFFFFF"/>
              <w:spacing w:line="360" w:lineRule="auto"/>
              <w:ind w:firstLine="452" w:firstLineChars="200"/>
              <w:rPr>
                <w:spacing w:val="8"/>
                <w:kern w:val="0"/>
                <w:szCs w:val="21"/>
              </w:rPr>
            </w:pPr>
            <w:r>
              <w:rPr>
                <w:rFonts w:hint="eastAsia"/>
                <w:spacing w:val="8"/>
                <w:kern w:val="0"/>
                <w:szCs w:val="21"/>
              </w:rPr>
              <w:t>根据《省生态环境厅关于将排污单位活性炭使用更换纳入排污许可管理的通知》（苏环办〔2021〕218 号）文中“六、活性炭填充量：活性炭更换周期一般不应超过累计运行500小时或3个月”，因此，本项目废气处理设施活性炭更换周期为3个月。</w:t>
            </w:r>
          </w:p>
          <w:p w14:paraId="12A3418E">
            <w:pPr>
              <w:widowControl/>
              <w:shd w:val="clear" w:color="auto" w:fill="FFFFFF"/>
              <w:spacing w:line="360" w:lineRule="auto"/>
              <w:ind w:firstLine="452" w:firstLineChars="200"/>
              <w:rPr>
                <w:spacing w:val="8"/>
                <w:kern w:val="0"/>
                <w:szCs w:val="21"/>
              </w:rPr>
            </w:pPr>
            <w:r>
              <w:rPr>
                <w:rFonts w:hint="eastAsia"/>
                <w:spacing w:val="8"/>
                <w:kern w:val="0"/>
                <w:szCs w:val="21"/>
              </w:rPr>
              <w:t>去除效率可行性分析：根据青山绿水（江苏）检验检测有限公司于</w:t>
            </w:r>
            <w:r>
              <w:rPr>
                <w:spacing w:val="8"/>
                <w:kern w:val="0"/>
                <w:szCs w:val="21"/>
              </w:rPr>
              <w:t>2020</w:t>
            </w:r>
            <w:r>
              <w:rPr>
                <w:rFonts w:hint="eastAsia"/>
                <w:spacing w:val="8"/>
                <w:kern w:val="0"/>
                <w:szCs w:val="21"/>
              </w:rPr>
              <w:t>年</w:t>
            </w:r>
            <w:r>
              <w:rPr>
                <w:spacing w:val="8"/>
                <w:kern w:val="0"/>
                <w:szCs w:val="21"/>
              </w:rPr>
              <w:t>10</w:t>
            </w:r>
            <w:r>
              <w:rPr>
                <w:rFonts w:hint="eastAsia"/>
                <w:spacing w:val="8"/>
                <w:kern w:val="0"/>
                <w:szCs w:val="21"/>
              </w:rPr>
              <w:t>月</w:t>
            </w:r>
            <w:r>
              <w:rPr>
                <w:spacing w:val="8"/>
                <w:kern w:val="0"/>
                <w:szCs w:val="21"/>
              </w:rPr>
              <w:t>10</w:t>
            </w:r>
            <w:r>
              <w:rPr>
                <w:rFonts w:hint="eastAsia"/>
                <w:spacing w:val="8"/>
                <w:kern w:val="0"/>
                <w:szCs w:val="21"/>
              </w:rPr>
              <w:t>日对</w:t>
            </w:r>
            <w:r>
              <w:rPr>
                <w:spacing w:val="8"/>
                <w:kern w:val="0"/>
                <w:szCs w:val="21"/>
              </w:rPr>
              <w:t>“</w:t>
            </w:r>
            <w:r>
              <w:rPr>
                <w:rFonts w:hint="eastAsia"/>
                <w:spacing w:val="8"/>
                <w:kern w:val="0"/>
                <w:szCs w:val="21"/>
              </w:rPr>
              <w:t>常州市旭腾塑业科技有限公司注塑件扩能技改项目</w:t>
            </w:r>
            <w:r>
              <w:rPr>
                <w:spacing w:val="8"/>
                <w:kern w:val="0"/>
                <w:szCs w:val="21"/>
              </w:rPr>
              <w:t>”</w:t>
            </w:r>
            <w:r>
              <w:rPr>
                <w:rFonts w:hint="eastAsia"/>
                <w:spacing w:val="8"/>
                <w:kern w:val="0"/>
                <w:szCs w:val="21"/>
              </w:rPr>
              <w:t>的</w:t>
            </w:r>
            <w:r>
              <w:rPr>
                <w:spacing w:val="8"/>
                <w:kern w:val="0"/>
                <w:szCs w:val="21"/>
              </w:rPr>
              <w:t>“</w:t>
            </w:r>
            <w:r>
              <w:rPr>
                <w:rFonts w:hint="eastAsia"/>
                <w:spacing w:val="8"/>
                <w:kern w:val="0"/>
                <w:szCs w:val="21"/>
              </w:rPr>
              <w:t>活性炭吸附装置</w:t>
            </w:r>
            <w:r>
              <w:rPr>
                <w:spacing w:val="8"/>
                <w:kern w:val="0"/>
                <w:szCs w:val="21"/>
              </w:rPr>
              <w:t>”</w:t>
            </w:r>
            <w:r>
              <w:rPr>
                <w:rFonts w:hint="eastAsia"/>
                <w:spacing w:val="8"/>
                <w:kern w:val="0"/>
                <w:szCs w:val="21"/>
              </w:rPr>
              <w:t>废气排放口的验收检测数据，其废气处理效率在</w:t>
            </w:r>
            <w:r>
              <w:rPr>
                <w:spacing w:val="8"/>
                <w:kern w:val="0"/>
                <w:szCs w:val="21"/>
              </w:rPr>
              <w:t>80%</w:t>
            </w:r>
            <w:r>
              <w:rPr>
                <w:rFonts w:hint="eastAsia"/>
                <w:spacing w:val="8"/>
                <w:kern w:val="0"/>
                <w:szCs w:val="21"/>
              </w:rPr>
              <w:t>以上，具体见下表。</w:t>
            </w:r>
          </w:p>
          <w:p w14:paraId="1C16937E">
            <w:pPr>
              <w:adjustRightInd w:val="0"/>
              <w:snapToGrid w:val="0"/>
              <w:spacing w:line="360" w:lineRule="auto"/>
              <w:jc w:val="center"/>
              <w:rPr>
                <w:b/>
                <w:bCs/>
                <w:kern w:val="0"/>
                <w:szCs w:val="21"/>
              </w:rPr>
            </w:pPr>
            <w:r>
              <w:rPr>
                <w:b/>
                <w:bCs/>
                <w:kern w:val="0"/>
                <w:szCs w:val="21"/>
              </w:rPr>
              <w:t>表4-</w:t>
            </w:r>
            <w:r>
              <w:rPr>
                <w:rFonts w:hint="eastAsia"/>
                <w:b/>
                <w:bCs/>
                <w:kern w:val="0"/>
                <w:szCs w:val="21"/>
              </w:rPr>
              <w:t>1</w:t>
            </w:r>
            <w:r>
              <w:rPr>
                <w:rFonts w:hint="eastAsia"/>
                <w:b/>
                <w:bCs/>
                <w:kern w:val="0"/>
                <w:szCs w:val="21"/>
                <w:lang w:val="en-US" w:eastAsia="zh-CN"/>
              </w:rPr>
              <w:t xml:space="preserve">3 </w:t>
            </w:r>
            <w:r>
              <w:rPr>
                <w:rFonts w:hint="eastAsia"/>
                <w:b/>
                <w:bCs/>
                <w:kern w:val="0"/>
                <w:szCs w:val="21"/>
              </w:rPr>
              <w:t>工程实例监测结果表</w:t>
            </w:r>
          </w:p>
          <w:tbl>
            <w:tblPr>
              <w:tblStyle w:val="23"/>
              <w:tblpPr w:leftFromText="180" w:rightFromText="180" w:vertAnchor="text" w:tblpX="1" w:tblpY="1"/>
              <w:tblOverlap w:val="never"/>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757"/>
              <w:gridCol w:w="1769"/>
              <w:gridCol w:w="1321"/>
              <w:gridCol w:w="1320"/>
              <w:gridCol w:w="1320"/>
              <w:gridCol w:w="1327"/>
            </w:tblGrid>
            <w:tr w14:paraId="1BA192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39" w:hRule="atLeast"/>
              </w:trPr>
              <w:tc>
                <w:tcPr>
                  <w:tcW w:w="996" w:type="pct"/>
                  <w:vMerge w:val="restart"/>
                  <w:tcBorders>
                    <w:tl2br w:val="nil"/>
                    <w:tr2bl w:val="nil"/>
                  </w:tcBorders>
                  <w:vAlign w:val="center"/>
                </w:tcPr>
                <w:p w14:paraId="29251760">
                  <w:pPr>
                    <w:pStyle w:val="117"/>
                    <w:snapToGrid w:val="0"/>
                    <w:jc w:val="center"/>
                    <w:textAlignment w:val="auto"/>
                    <w:rPr>
                      <w:rFonts w:ascii="Times New Roman" w:hAnsi="Times New Roman" w:eastAsia="宋体" w:cs="Times New Roman"/>
                      <w:b/>
                      <w:bCs/>
                      <w:snapToGrid w:val="0"/>
                      <w:color w:val="auto"/>
                      <w:kern w:val="0"/>
                      <w:sz w:val="18"/>
                      <w:szCs w:val="18"/>
                    </w:rPr>
                  </w:pPr>
                  <w:r>
                    <w:rPr>
                      <w:rFonts w:hint="eastAsia" w:ascii="Times New Roman" w:hAnsi="Times New Roman" w:eastAsia="宋体" w:cs="Times New Roman"/>
                      <w:b/>
                      <w:bCs/>
                      <w:snapToGrid w:val="0"/>
                      <w:color w:val="auto"/>
                      <w:kern w:val="0"/>
                      <w:sz w:val="18"/>
                      <w:szCs w:val="18"/>
                    </w:rPr>
                    <w:t>项目点位</w:t>
                  </w:r>
                </w:p>
              </w:tc>
              <w:tc>
                <w:tcPr>
                  <w:tcW w:w="1003" w:type="pct"/>
                  <w:vMerge w:val="restart"/>
                  <w:tcBorders>
                    <w:tl2br w:val="nil"/>
                    <w:tr2bl w:val="nil"/>
                  </w:tcBorders>
                  <w:vAlign w:val="center"/>
                </w:tcPr>
                <w:p w14:paraId="0EFE861C">
                  <w:pPr>
                    <w:pStyle w:val="117"/>
                    <w:snapToGrid w:val="0"/>
                    <w:jc w:val="center"/>
                    <w:textAlignment w:val="auto"/>
                    <w:rPr>
                      <w:rFonts w:ascii="Times New Roman" w:hAnsi="Times New Roman" w:eastAsia="宋体" w:cs="Times New Roman"/>
                      <w:b/>
                      <w:bCs/>
                      <w:snapToGrid w:val="0"/>
                      <w:color w:val="auto"/>
                      <w:kern w:val="0"/>
                      <w:sz w:val="18"/>
                      <w:szCs w:val="18"/>
                    </w:rPr>
                  </w:pPr>
                  <w:r>
                    <w:rPr>
                      <w:rFonts w:hint="eastAsia" w:ascii="Times New Roman" w:hAnsi="Times New Roman" w:eastAsia="宋体" w:cs="Times New Roman"/>
                      <w:b/>
                      <w:bCs/>
                      <w:snapToGrid w:val="0"/>
                      <w:color w:val="auto"/>
                      <w:kern w:val="0"/>
                      <w:sz w:val="18"/>
                      <w:szCs w:val="18"/>
                    </w:rPr>
                    <w:t>监测时间</w:t>
                  </w:r>
                </w:p>
              </w:tc>
              <w:tc>
                <w:tcPr>
                  <w:tcW w:w="3000" w:type="pct"/>
                  <w:gridSpan w:val="4"/>
                  <w:tcBorders>
                    <w:tl2br w:val="nil"/>
                    <w:tr2bl w:val="nil"/>
                  </w:tcBorders>
                  <w:vAlign w:val="center"/>
                </w:tcPr>
                <w:p w14:paraId="556B978B">
                  <w:pPr>
                    <w:jc w:val="center"/>
                    <w:rPr>
                      <w:b/>
                      <w:bCs/>
                      <w:snapToGrid w:val="0"/>
                      <w:kern w:val="0"/>
                      <w:sz w:val="18"/>
                      <w:szCs w:val="18"/>
                    </w:rPr>
                  </w:pPr>
                  <w:r>
                    <w:rPr>
                      <w:rFonts w:hint="eastAsia"/>
                      <w:b/>
                      <w:bCs/>
                      <w:snapToGrid w:val="0"/>
                      <w:kern w:val="0"/>
                      <w:sz w:val="18"/>
                      <w:szCs w:val="18"/>
                    </w:rPr>
                    <w:t>非甲烷总烃监测结果（mg/m</w:t>
                  </w:r>
                  <w:r>
                    <w:rPr>
                      <w:rFonts w:hint="eastAsia"/>
                      <w:b/>
                      <w:bCs/>
                      <w:snapToGrid w:val="0"/>
                      <w:kern w:val="0"/>
                      <w:sz w:val="18"/>
                      <w:szCs w:val="18"/>
                      <w:vertAlign w:val="superscript"/>
                    </w:rPr>
                    <w:t>3</w:t>
                  </w:r>
                  <w:r>
                    <w:rPr>
                      <w:rFonts w:hint="eastAsia"/>
                      <w:b/>
                      <w:bCs/>
                      <w:snapToGrid w:val="0"/>
                      <w:kern w:val="0"/>
                      <w:sz w:val="18"/>
                      <w:szCs w:val="18"/>
                    </w:rPr>
                    <w:t>）</w:t>
                  </w:r>
                </w:p>
              </w:tc>
            </w:tr>
            <w:tr w14:paraId="4CDB5D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79" w:hRule="atLeast"/>
              </w:trPr>
              <w:tc>
                <w:tcPr>
                  <w:tcW w:w="996" w:type="pct"/>
                  <w:vMerge w:val="continue"/>
                  <w:tcBorders>
                    <w:tl2br w:val="nil"/>
                    <w:tr2bl w:val="nil"/>
                  </w:tcBorders>
                  <w:vAlign w:val="center"/>
                </w:tcPr>
                <w:p w14:paraId="20748A87">
                  <w:pPr>
                    <w:pStyle w:val="117"/>
                    <w:snapToGrid w:val="0"/>
                    <w:jc w:val="center"/>
                    <w:textAlignment w:val="auto"/>
                    <w:rPr>
                      <w:rFonts w:ascii="Times New Roman" w:hAnsi="Times New Roman" w:eastAsia="宋体" w:cs="Times New Roman"/>
                      <w:b/>
                      <w:bCs/>
                      <w:snapToGrid w:val="0"/>
                      <w:color w:val="auto"/>
                      <w:kern w:val="0"/>
                      <w:sz w:val="18"/>
                      <w:szCs w:val="18"/>
                    </w:rPr>
                  </w:pPr>
                </w:p>
              </w:tc>
              <w:tc>
                <w:tcPr>
                  <w:tcW w:w="1003" w:type="pct"/>
                  <w:vMerge w:val="continue"/>
                  <w:tcBorders>
                    <w:tl2br w:val="nil"/>
                    <w:tr2bl w:val="nil"/>
                  </w:tcBorders>
                  <w:vAlign w:val="center"/>
                </w:tcPr>
                <w:p w14:paraId="31F31863">
                  <w:pPr>
                    <w:pStyle w:val="117"/>
                    <w:snapToGrid w:val="0"/>
                    <w:jc w:val="center"/>
                    <w:textAlignment w:val="auto"/>
                    <w:rPr>
                      <w:rFonts w:ascii="Times New Roman" w:hAnsi="Times New Roman" w:eastAsia="宋体" w:cs="Times New Roman"/>
                      <w:b/>
                      <w:bCs/>
                      <w:snapToGrid w:val="0"/>
                      <w:color w:val="auto"/>
                      <w:kern w:val="0"/>
                      <w:sz w:val="18"/>
                      <w:szCs w:val="18"/>
                    </w:rPr>
                  </w:pPr>
                </w:p>
              </w:tc>
              <w:tc>
                <w:tcPr>
                  <w:tcW w:w="749" w:type="pct"/>
                  <w:tcBorders>
                    <w:tl2br w:val="nil"/>
                    <w:tr2bl w:val="nil"/>
                  </w:tcBorders>
                  <w:vAlign w:val="center"/>
                </w:tcPr>
                <w:p w14:paraId="55FB6268">
                  <w:pPr>
                    <w:pStyle w:val="117"/>
                    <w:snapToGrid w:val="0"/>
                    <w:jc w:val="center"/>
                    <w:textAlignment w:val="auto"/>
                    <w:rPr>
                      <w:rFonts w:ascii="Times New Roman" w:hAnsi="Times New Roman" w:eastAsia="宋体" w:cs="Times New Roman"/>
                      <w:b/>
                      <w:bCs/>
                      <w:snapToGrid w:val="0"/>
                      <w:color w:val="auto"/>
                      <w:kern w:val="0"/>
                      <w:sz w:val="18"/>
                      <w:szCs w:val="18"/>
                    </w:rPr>
                  </w:pPr>
                  <w:r>
                    <w:rPr>
                      <w:rFonts w:hint="eastAsia" w:ascii="Times New Roman" w:hAnsi="Times New Roman" w:eastAsia="宋体" w:cs="Times New Roman"/>
                      <w:b/>
                      <w:bCs/>
                      <w:snapToGrid w:val="0"/>
                      <w:color w:val="auto"/>
                      <w:kern w:val="0"/>
                      <w:sz w:val="18"/>
                      <w:szCs w:val="18"/>
                    </w:rPr>
                    <w:t>1</w:t>
                  </w:r>
                </w:p>
              </w:tc>
              <w:tc>
                <w:tcPr>
                  <w:tcW w:w="749" w:type="pct"/>
                  <w:tcBorders>
                    <w:tl2br w:val="nil"/>
                    <w:tr2bl w:val="nil"/>
                  </w:tcBorders>
                  <w:vAlign w:val="center"/>
                </w:tcPr>
                <w:p w14:paraId="27FB24D2">
                  <w:pPr>
                    <w:pStyle w:val="117"/>
                    <w:snapToGrid w:val="0"/>
                    <w:jc w:val="center"/>
                    <w:textAlignment w:val="auto"/>
                    <w:rPr>
                      <w:rFonts w:ascii="Times New Roman" w:hAnsi="Times New Roman" w:eastAsia="宋体" w:cs="Times New Roman"/>
                      <w:b/>
                      <w:bCs/>
                      <w:snapToGrid w:val="0"/>
                      <w:color w:val="auto"/>
                      <w:kern w:val="0"/>
                      <w:sz w:val="18"/>
                      <w:szCs w:val="18"/>
                    </w:rPr>
                  </w:pPr>
                  <w:r>
                    <w:rPr>
                      <w:rFonts w:hint="eastAsia" w:ascii="Times New Roman" w:hAnsi="Times New Roman" w:eastAsia="宋体" w:cs="Times New Roman"/>
                      <w:b/>
                      <w:bCs/>
                      <w:snapToGrid w:val="0"/>
                      <w:color w:val="auto"/>
                      <w:kern w:val="0"/>
                      <w:sz w:val="18"/>
                      <w:szCs w:val="18"/>
                    </w:rPr>
                    <w:t>2</w:t>
                  </w:r>
                </w:p>
              </w:tc>
              <w:tc>
                <w:tcPr>
                  <w:tcW w:w="749" w:type="pct"/>
                  <w:tcBorders>
                    <w:tl2br w:val="nil"/>
                    <w:tr2bl w:val="nil"/>
                  </w:tcBorders>
                  <w:vAlign w:val="center"/>
                </w:tcPr>
                <w:p w14:paraId="68C05B7C">
                  <w:pPr>
                    <w:pStyle w:val="117"/>
                    <w:snapToGrid w:val="0"/>
                    <w:jc w:val="center"/>
                    <w:textAlignment w:val="auto"/>
                    <w:rPr>
                      <w:rFonts w:ascii="Times New Roman" w:hAnsi="Times New Roman" w:eastAsia="宋体" w:cs="Times New Roman"/>
                      <w:b/>
                      <w:bCs/>
                      <w:snapToGrid w:val="0"/>
                      <w:color w:val="auto"/>
                      <w:kern w:val="0"/>
                      <w:sz w:val="18"/>
                      <w:szCs w:val="18"/>
                    </w:rPr>
                  </w:pPr>
                  <w:r>
                    <w:rPr>
                      <w:rFonts w:hint="eastAsia" w:ascii="Times New Roman" w:hAnsi="Times New Roman" w:eastAsia="宋体" w:cs="Times New Roman"/>
                      <w:b/>
                      <w:bCs/>
                      <w:snapToGrid w:val="0"/>
                      <w:color w:val="auto"/>
                      <w:kern w:val="0"/>
                      <w:sz w:val="18"/>
                      <w:szCs w:val="18"/>
                    </w:rPr>
                    <w:t>3</w:t>
                  </w:r>
                </w:p>
              </w:tc>
              <w:tc>
                <w:tcPr>
                  <w:tcW w:w="750" w:type="pct"/>
                  <w:tcBorders>
                    <w:tl2br w:val="nil"/>
                    <w:tr2bl w:val="nil"/>
                  </w:tcBorders>
                  <w:vAlign w:val="center"/>
                </w:tcPr>
                <w:p w14:paraId="3682A406">
                  <w:pPr>
                    <w:jc w:val="center"/>
                    <w:rPr>
                      <w:b/>
                      <w:bCs/>
                      <w:snapToGrid w:val="0"/>
                      <w:kern w:val="0"/>
                      <w:sz w:val="18"/>
                      <w:szCs w:val="18"/>
                    </w:rPr>
                  </w:pPr>
                  <w:r>
                    <w:rPr>
                      <w:rFonts w:hint="eastAsia"/>
                      <w:b/>
                      <w:bCs/>
                      <w:snapToGrid w:val="0"/>
                      <w:kern w:val="0"/>
                      <w:sz w:val="18"/>
                      <w:szCs w:val="18"/>
                    </w:rPr>
                    <w:t>平均值</w:t>
                  </w:r>
                </w:p>
              </w:tc>
            </w:tr>
            <w:tr w14:paraId="01F35F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30" w:hRule="atLeast"/>
              </w:trPr>
              <w:tc>
                <w:tcPr>
                  <w:tcW w:w="996" w:type="pct"/>
                  <w:tcBorders>
                    <w:tl2br w:val="nil"/>
                    <w:tr2bl w:val="nil"/>
                  </w:tcBorders>
                  <w:vAlign w:val="center"/>
                </w:tcPr>
                <w:p w14:paraId="16978574">
                  <w:pPr>
                    <w:pStyle w:val="117"/>
                    <w:snapToGrid w:val="0"/>
                    <w:jc w:val="center"/>
                    <w:textAlignment w:val="auto"/>
                    <w:rPr>
                      <w:rFonts w:ascii="Times New Roman" w:hAnsi="Times New Roman" w:eastAsia="宋体" w:cs="Times New Roman"/>
                      <w:snapToGrid w:val="0"/>
                      <w:color w:val="auto"/>
                      <w:kern w:val="0"/>
                      <w:sz w:val="18"/>
                      <w:szCs w:val="18"/>
                    </w:rPr>
                  </w:pPr>
                  <w:r>
                    <w:rPr>
                      <w:rFonts w:hint="eastAsia" w:ascii="Times New Roman" w:hAnsi="Times New Roman" w:eastAsia="宋体" w:cs="Times New Roman"/>
                      <w:snapToGrid w:val="0"/>
                      <w:color w:val="auto"/>
                      <w:kern w:val="0"/>
                      <w:sz w:val="18"/>
                      <w:szCs w:val="18"/>
                    </w:rPr>
                    <w:t>处理前</w:t>
                  </w:r>
                </w:p>
              </w:tc>
              <w:tc>
                <w:tcPr>
                  <w:tcW w:w="1003" w:type="pct"/>
                  <w:vMerge w:val="restart"/>
                  <w:tcBorders>
                    <w:tl2br w:val="nil"/>
                    <w:tr2bl w:val="nil"/>
                  </w:tcBorders>
                  <w:vAlign w:val="center"/>
                </w:tcPr>
                <w:p w14:paraId="4DE7803E">
                  <w:pPr>
                    <w:pStyle w:val="117"/>
                    <w:snapToGrid w:val="0"/>
                    <w:jc w:val="center"/>
                    <w:textAlignment w:val="auto"/>
                    <w:rPr>
                      <w:rFonts w:ascii="Times New Roman" w:hAnsi="Times New Roman" w:eastAsia="宋体" w:cs="Times New Roman"/>
                      <w:snapToGrid w:val="0"/>
                      <w:color w:val="auto"/>
                      <w:kern w:val="0"/>
                      <w:sz w:val="18"/>
                      <w:szCs w:val="18"/>
                    </w:rPr>
                  </w:pPr>
                  <w:r>
                    <w:rPr>
                      <w:rFonts w:ascii="Times New Roman" w:hAnsi="Times New Roman" w:eastAsia="宋体" w:cs="Times New Roman"/>
                      <w:snapToGrid w:val="0"/>
                      <w:color w:val="auto"/>
                      <w:kern w:val="0"/>
                      <w:sz w:val="18"/>
                      <w:szCs w:val="18"/>
                    </w:rPr>
                    <w:t>2020年10月10日</w:t>
                  </w:r>
                </w:p>
              </w:tc>
              <w:tc>
                <w:tcPr>
                  <w:tcW w:w="749" w:type="pct"/>
                  <w:tcBorders>
                    <w:tl2br w:val="nil"/>
                    <w:tr2bl w:val="nil"/>
                  </w:tcBorders>
                  <w:vAlign w:val="center"/>
                </w:tcPr>
                <w:p w14:paraId="452FA0D7">
                  <w:pPr>
                    <w:pStyle w:val="117"/>
                    <w:snapToGrid w:val="0"/>
                    <w:jc w:val="center"/>
                    <w:textAlignment w:val="auto"/>
                    <w:rPr>
                      <w:rFonts w:ascii="Times New Roman" w:hAnsi="Times New Roman" w:eastAsia="宋体" w:cs="Times New Roman"/>
                      <w:snapToGrid w:val="0"/>
                      <w:color w:val="auto"/>
                      <w:kern w:val="0"/>
                      <w:sz w:val="18"/>
                      <w:szCs w:val="18"/>
                    </w:rPr>
                  </w:pPr>
                  <w:r>
                    <w:rPr>
                      <w:rFonts w:hint="eastAsia" w:ascii="Times New Roman" w:hAnsi="Times New Roman" w:eastAsia="宋体" w:cs="Times New Roman"/>
                      <w:snapToGrid w:val="0"/>
                      <w:color w:val="auto"/>
                      <w:kern w:val="0"/>
                      <w:sz w:val="18"/>
                      <w:szCs w:val="18"/>
                    </w:rPr>
                    <w:t>0.290</w:t>
                  </w:r>
                </w:p>
              </w:tc>
              <w:tc>
                <w:tcPr>
                  <w:tcW w:w="749" w:type="pct"/>
                  <w:tcBorders>
                    <w:tl2br w:val="nil"/>
                    <w:tr2bl w:val="nil"/>
                  </w:tcBorders>
                  <w:vAlign w:val="center"/>
                </w:tcPr>
                <w:p w14:paraId="4F3A3B89">
                  <w:pPr>
                    <w:pStyle w:val="117"/>
                    <w:snapToGrid w:val="0"/>
                    <w:jc w:val="center"/>
                    <w:textAlignment w:val="auto"/>
                    <w:rPr>
                      <w:rFonts w:ascii="Times New Roman" w:hAnsi="Times New Roman" w:eastAsia="宋体" w:cs="Times New Roman"/>
                      <w:snapToGrid w:val="0"/>
                      <w:color w:val="auto"/>
                      <w:kern w:val="0"/>
                      <w:sz w:val="18"/>
                      <w:szCs w:val="18"/>
                    </w:rPr>
                  </w:pPr>
                  <w:r>
                    <w:rPr>
                      <w:rFonts w:hint="eastAsia" w:ascii="Times New Roman" w:hAnsi="Times New Roman" w:eastAsia="宋体" w:cs="Times New Roman"/>
                      <w:snapToGrid w:val="0"/>
                      <w:color w:val="auto"/>
                      <w:kern w:val="0"/>
                      <w:sz w:val="18"/>
                      <w:szCs w:val="18"/>
                    </w:rPr>
                    <w:t>0.269</w:t>
                  </w:r>
                </w:p>
              </w:tc>
              <w:tc>
                <w:tcPr>
                  <w:tcW w:w="749" w:type="pct"/>
                  <w:tcBorders>
                    <w:tl2br w:val="nil"/>
                    <w:tr2bl w:val="nil"/>
                  </w:tcBorders>
                  <w:vAlign w:val="center"/>
                </w:tcPr>
                <w:p w14:paraId="080AD209">
                  <w:pPr>
                    <w:pStyle w:val="117"/>
                    <w:snapToGrid w:val="0"/>
                    <w:jc w:val="center"/>
                    <w:textAlignment w:val="auto"/>
                    <w:rPr>
                      <w:rFonts w:ascii="Times New Roman" w:hAnsi="Times New Roman" w:eastAsia="宋体" w:cs="Times New Roman"/>
                      <w:snapToGrid w:val="0"/>
                      <w:color w:val="auto"/>
                      <w:kern w:val="0"/>
                      <w:sz w:val="18"/>
                      <w:szCs w:val="18"/>
                    </w:rPr>
                  </w:pPr>
                  <w:r>
                    <w:rPr>
                      <w:rFonts w:hint="eastAsia" w:ascii="Times New Roman" w:hAnsi="Times New Roman" w:eastAsia="宋体" w:cs="Times New Roman"/>
                      <w:snapToGrid w:val="0"/>
                      <w:color w:val="auto"/>
                      <w:kern w:val="0"/>
                      <w:sz w:val="18"/>
                      <w:szCs w:val="18"/>
                    </w:rPr>
                    <w:t>0.259</w:t>
                  </w:r>
                </w:p>
              </w:tc>
              <w:tc>
                <w:tcPr>
                  <w:tcW w:w="750" w:type="pct"/>
                  <w:tcBorders>
                    <w:tl2br w:val="nil"/>
                    <w:tr2bl w:val="nil"/>
                  </w:tcBorders>
                  <w:vAlign w:val="center"/>
                </w:tcPr>
                <w:p w14:paraId="22285FE3">
                  <w:pPr>
                    <w:jc w:val="center"/>
                    <w:rPr>
                      <w:snapToGrid w:val="0"/>
                      <w:kern w:val="0"/>
                      <w:sz w:val="18"/>
                      <w:szCs w:val="18"/>
                    </w:rPr>
                  </w:pPr>
                  <w:r>
                    <w:rPr>
                      <w:rFonts w:hint="eastAsia"/>
                      <w:snapToGrid w:val="0"/>
                      <w:kern w:val="0"/>
                      <w:sz w:val="18"/>
                      <w:szCs w:val="18"/>
                    </w:rPr>
                    <w:t>0.273</w:t>
                  </w:r>
                </w:p>
              </w:tc>
            </w:tr>
            <w:tr w14:paraId="51CA1B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4" w:hRule="atLeast"/>
              </w:trPr>
              <w:tc>
                <w:tcPr>
                  <w:tcW w:w="996" w:type="pct"/>
                  <w:tcBorders>
                    <w:tl2br w:val="nil"/>
                    <w:tr2bl w:val="nil"/>
                  </w:tcBorders>
                  <w:vAlign w:val="center"/>
                </w:tcPr>
                <w:p w14:paraId="709B227F">
                  <w:pPr>
                    <w:pStyle w:val="117"/>
                    <w:snapToGrid w:val="0"/>
                    <w:jc w:val="center"/>
                    <w:textAlignment w:val="auto"/>
                    <w:rPr>
                      <w:rFonts w:ascii="Times New Roman" w:hAnsi="Times New Roman" w:eastAsia="宋体" w:cs="Times New Roman"/>
                      <w:snapToGrid w:val="0"/>
                      <w:color w:val="auto"/>
                      <w:kern w:val="0"/>
                      <w:sz w:val="18"/>
                      <w:szCs w:val="18"/>
                    </w:rPr>
                  </w:pPr>
                  <w:r>
                    <w:rPr>
                      <w:rFonts w:hint="eastAsia" w:ascii="Times New Roman" w:hAnsi="Times New Roman" w:eastAsia="宋体" w:cs="Times New Roman"/>
                      <w:snapToGrid w:val="0"/>
                      <w:color w:val="auto"/>
                      <w:kern w:val="0"/>
                      <w:sz w:val="18"/>
                      <w:szCs w:val="18"/>
                    </w:rPr>
                    <w:t>处理后</w:t>
                  </w:r>
                </w:p>
              </w:tc>
              <w:tc>
                <w:tcPr>
                  <w:tcW w:w="1003" w:type="pct"/>
                  <w:vMerge w:val="continue"/>
                  <w:tcBorders>
                    <w:tl2br w:val="nil"/>
                    <w:tr2bl w:val="nil"/>
                  </w:tcBorders>
                  <w:vAlign w:val="center"/>
                </w:tcPr>
                <w:p w14:paraId="0A875E13">
                  <w:pPr>
                    <w:pStyle w:val="117"/>
                    <w:snapToGrid w:val="0"/>
                    <w:jc w:val="center"/>
                    <w:textAlignment w:val="auto"/>
                    <w:rPr>
                      <w:rFonts w:ascii="Times New Roman" w:hAnsi="Times New Roman" w:eastAsia="宋体" w:cs="Times New Roman"/>
                      <w:snapToGrid w:val="0"/>
                      <w:color w:val="auto"/>
                      <w:kern w:val="0"/>
                      <w:sz w:val="18"/>
                      <w:szCs w:val="18"/>
                    </w:rPr>
                  </w:pPr>
                </w:p>
              </w:tc>
              <w:tc>
                <w:tcPr>
                  <w:tcW w:w="749" w:type="pct"/>
                  <w:tcBorders>
                    <w:tl2br w:val="nil"/>
                    <w:tr2bl w:val="nil"/>
                  </w:tcBorders>
                  <w:vAlign w:val="center"/>
                </w:tcPr>
                <w:p w14:paraId="0630B3BB">
                  <w:pPr>
                    <w:pStyle w:val="117"/>
                    <w:snapToGrid w:val="0"/>
                    <w:jc w:val="center"/>
                    <w:textAlignment w:val="auto"/>
                    <w:rPr>
                      <w:rFonts w:ascii="Times New Roman" w:hAnsi="Times New Roman" w:eastAsia="宋体" w:cs="Times New Roman"/>
                      <w:snapToGrid w:val="0"/>
                      <w:color w:val="auto"/>
                      <w:kern w:val="0"/>
                      <w:sz w:val="18"/>
                      <w:szCs w:val="18"/>
                    </w:rPr>
                  </w:pPr>
                  <w:r>
                    <w:rPr>
                      <w:rFonts w:hint="eastAsia" w:ascii="Times New Roman" w:hAnsi="Times New Roman" w:eastAsia="宋体" w:cs="Times New Roman"/>
                      <w:snapToGrid w:val="0"/>
                      <w:color w:val="auto"/>
                      <w:kern w:val="0"/>
                      <w:sz w:val="18"/>
                      <w:szCs w:val="18"/>
                    </w:rPr>
                    <w:t>0.0539</w:t>
                  </w:r>
                </w:p>
              </w:tc>
              <w:tc>
                <w:tcPr>
                  <w:tcW w:w="749" w:type="pct"/>
                  <w:tcBorders>
                    <w:tl2br w:val="nil"/>
                    <w:tr2bl w:val="nil"/>
                  </w:tcBorders>
                  <w:vAlign w:val="center"/>
                </w:tcPr>
                <w:p w14:paraId="156BC296">
                  <w:pPr>
                    <w:pStyle w:val="117"/>
                    <w:snapToGrid w:val="0"/>
                    <w:jc w:val="center"/>
                    <w:textAlignment w:val="auto"/>
                    <w:rPr>
                      <w:rFonts w:ascii="Times New Roman" w:hAnsi="Times New Roman" w:eastAsia="宋体" w:cs="Times New Roman"/>
                      <w:snapToGrid w:val="0"/>
                      <w:color w:val="auto"/>
                      <w:kern w:val="0"/>
                      <w:sz w:val="18"/>
                      <w:szCs w:val="18"/>
                    </w:rPr>
                  </w:pPr>
                  <w:r>
                    <w:rPr>
                      <w:rFonts w:hint="eastAsia" w:ascii="Times New Roman" w:hAnsi="Times New Roman" w:eastAsia="宋体" w:cs="Times New Roman"/>
                      <w:snapToGrid w:val="0"/>
                      <w:color w:val="auto"/>
                      <w:kern w:val="0"/>
                      <w:sz w:val="18"/>
                      <w:szCs w:val="18"/>
                    </w:rPr>
                    <w:t>0.0470</w:t>
                  </w:r>
                </w:p>
              </w:tc>
              <w:tc>
                <w:tcPr>
                  <w:tcW w:w="749" w:type="pct"/>
                  <w:tcBorders>
                    <w:tl2br w:val="nil"/>
                    <w:tr2bl w:val="nil"/>
                  </w:tcBorders>
                  <w:vAlign w:val="center"/>
                </w:tcPr>
                <w:p w14:paraId="6214AA10">
                  <w:pPr>
                    <w:pStyle w:val="117"/>
                    <w:snapToGrid w:val="0"/>
                    <w:jc w:val="center"/>
                    <w:textAlignment w:val="auto"/>
                    <w:rPr>
                      <w:rFonts w:ascii="Times New Roman" w:hAnsi="Times New Roman" w:eastAsia="宋体" w:cs="Times New Roman"/>
                      <w:snapToGrid w:val="0"/>
                      <w:color w:val="auto"/>
                      <w:kern w:val="0"/>
                      <w:sz w:val="18"/>
                      <w:szCs w:val="18"/>
                    </w:rPr>
                  </w:pPr>
                  <w:r>
                    <w:rPr>
                      <w:rFonts w:hint="eastAsia" w:ascii="Times New Roman" w:hAnsi="Times New Roman" w:eastAsia="宋体" w:cs="Times New Roman"/>
                      <w:snapToGrid w:val="0"/>
                      <w:color w:val="auto"/>
                      <w:kern w:val="0"/>
                      <w:sz w:val="18"/>
                      <w:szCs w:val="18"/>
                    </w:rPr>
                    <w:t>0.0465</w:t>
                  </w:r>
                </w:p>
              </w:tc>
              <w:tc>
                <w:tcPr>
                  <w:tcW w:w="750" w:type="pct"/>
                  <w:tcBorders>
                    <w:tl2br w:val="nil"/>
                    <w:tr2bl w:val="nil"/>
                  </w:tcBorders>
                  <w:vAlign w:val="center"/>
                </w:tcPr>
                <w:p w14:paraId="4DCD2325">
                  <w:pPr>
                    <w:jc w:val="center"/>
                    <w:rPr>
                      <w:snapToGrid w:val="0"/>
                      <w:kern w:val="0"/>
                      <w:sz w:val="18"/>
                      <w:szCs w:val="18"/>
                    </w:rPr>
                  </w:pPr>
                  <w:r>
                    <w:rPr>
                      <w:rFonts w:hint="eastAsia"/>
                      <w:snapToGrid w:val="0"/>
                      <w:kern w:val="0"/>
                      <w:sz w:val="18"/>
                      <w:szCs w:val="18"/>
                    </w:rPr>
                    <w:t>0.0491</w:t>
                  </w:r>
                </w:p>
              </w:tc>
            </w:tr>
            <w:tr w14:paraId="323A96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4" w:hRule="atLeast"/>
              </w:trPr>
              <w:tc>
                <w:tcPr>
                  <w:tcW w:w="996" w:type="pct"/>
                  <w:tcBorders>
                    <w:tl2br w:val="nil"/>
                    <w:tr2bl w:val="nil"/>
                  </w:tcBorders>
                  <w:vAlign w:val="center"/>
                </w:tcPr>
                <w:p w14:paraId="518F091F">
                  <w:pPr>
                    <w:pStyle w:val="117"/>
                    <w:snapToGrid w:val="0"/>
                    <w:jc w:val="center"/>
                    <w:textAlignment w:val="auto"/>
                    <w:rPr>
                      <w:rFonts w:ascii="Times New Roman" w:hAnsi="Times New Roman" w:eastAsia="宋体" w:cs="Times New Roman"/>
                      <w:snapToGrid w:val="0"/>
                      <w:color w:val="auto"/>
                      <w:kern w:val="0"/>
                      <w:sz w:val="18"/>
                      <w:szCs w:val="18"/>
                    </w:rPr>
                  </w:pPr>
                  <w:r>
                    <w:rPr>
                      <w:rFonts w:hint="eastAsia" w:ascii="Times New Roman" w:hAnsi="Times New Roman" w:eastAsia="宋体" w:cs="Times New Roman"/>
                      <w:snapToGrid w:val="0"/>
                      <w:color w:val="auto"/>
                      <w:kern w:val="0"/>
                      <w:sz w:val="18"/>
                      <w:szCs w:val="18"/>
                    </w:rPr>
                    <w:t>处理效率</w:t>
                  </w:r>
                </w:p>
              </w:tc>
              <w:tc>
                <w:tcPr>
                  <w:tcW w:w="1003" w:type="pct"/>
                  <w:vMerge w:val="continue"/>
                  <w:tcBorders>
                    <w:tl2br w:val="nil"/>
                    <w:tr2bl w:val="nil"/>
                  </w:tcBorders>
                  <w:vAlign w:val="center"/>
                </w:tcPr>
                <w:p w14:paraId="775DC67F">
                  <w:pPr>
                    <w:pStyle w:val="117"/>
                    <w:snapToGrid w:val="0"/>
                    <w:jc w:val="center"/>
                    <w:textAlignment w:val="auto"/>
                    <w:rPr>
                      <w:rFonts w:ascii="Times New Roman" w:hAnsi="Times New Roman" w:eastAsia="宋体" w:cs="Times New Roman"/>
                      <w:snapToGrid w:val="0"/>
                      <w:color w:val="auto"/>
                      <w:kern w:val="0"/>
                      <w:sz w:val="18"/>
                      <w:szCs w:val="18"/>
                    </w:rPr>
                  </w:pPr>
                </w:p>
              </w:tc>
              <w:tc>
                <w:tcPr>
                  <w:tcW w:w="749" w:type="pct"/>
                  <w:tcBorders>
                    <w:tl2br w:val="nil"/>
                    <w:tr2bl w:val="nil"/>
                  </w:tcBorders>
                  <w:vAlign w:val="center"/>
                </w:tcPr>
                <w:p w14:paraId="6394E6FA">
                  <w:pPr>
                    <w:pStyle w:val="117"/>
                    <w:snapToGrid w:val="0"/>
                    <w:jc w:val="center"/>
                    <w:textAlignment w:val="auto"/>
                    <w:rPr>
                      <w:rFonts w:ascii="Times New Roman" w:hAnsi="Times New Roman" w:eastAsia="宋体" w:cs="Times New Roman"/>
                      <w:snapToGrid w:val="0"/>
                      <w:color w:val="auto"/>
                      <w:kern w:val="0"/>
                      <w:sz w:val="18"/>
                      <w:szCs w:val="18"/>
                    </w:rPr>
                  </w:pPr>
                  <w:r>
                    <w:rPr>
                      <w:rFonts w:hint="eastAsia" w:ascii="Times New Roman" w:hAnsi="Times New Roman" w:eastAsia="宋体" w:cs="Times New Roman"/>
                      <w:snapToGrid w:val="0"/>
                      <w:color w:val="auto"/>
                      <w:kern w:val="0"/>
                      <w:sz w:val="18"/>
                      <w:szCs w:val="18"/>
                    </w:rPr>
                    <w:t>81.4</w:t>
                  </w:r>
                </w:p>
              </w:tc>
              <w:tc>
                <w:tcPr>
                  <w:tcW w:w="749" w:type="pct"/>
                  <w:tcBorders>
                    <w:tl2br w:val="nil"/>
                    <w:tr2bl w:val="nil"/>
                  </w:tcBorders>
                  <w:vAlign w:val="center"/>
                </w:tcPr>
                <w:p w14:paraId="626DF3F0">
                  <w:pPr>
                    <w:pStyle w:val="117"/>
                    <w:snapToGrid w:val="0"/>
                    <w:jc w:val="center"/>
                    <w:textAlignment w:val="auto"/>
                    <w:rPr>
                      <w:rFonts w:ascii="Times New Roman" w:hAnsi="Times New Roman" w:eastAsia="宋体" w:cs="Times New Roman"/>
                      <w:snapToGrid w:val="0"/>
                      <w:color w:val="auto"/>
                      <w:kern w:val="0"/>
                      <w:sz w:val="18"/>
                      <w:szCs w:val="18"/>
                    </w:rPr>
                  </w:pPr>
                  <w:r>
                    <w:rPr>
                      <w:rFonts w:hint="eastAsia" w:ascii="Times New Roman" w:hAnsi="Times New Roman" w:eastAsia="宋体" w:cs="Times New Roman"/>
                      <w:snapToGrid w:val="0"/>
                      <w:color w:val="auto"/>
                      <w:kern w:val="0"/>
                      <w:sz w:val="18"/>
                      <w:szCs w:val="18"/>
                    </w:rPr>
                    <w:t>82.5</w:t>
                  </w:r>
                </w:p>
              </w:tc>
              <w:tc>
                <w:tcPr>
                  <w:tcW w:w="749" w:type="pct"/>
                  <w:tcBorders>
                    <w:tl2br w:val="nil"/>
                    <w:tr2bl w:val="nil"/>
                  </w:tcBorders>
                  <w:vAlign w:val="center"/>
                </w:tcPr>
                <w:p w14:paraId="2F342657">
                  <w:pPr>
                    <w:pStyle w:val="117"/>
                    <w:snapToGrid w:val="0"/>
                    <w:jc w:val="center"/>
                    <w:textAlignment w:val="auto"/>
                    <w:rPr>
                      <w:rFonts w:ascii="Times New Roman" w:hAnsi="Times New Roman" w:eastAsia="宋体" w:cs="Times New Roman"/>
                      <w:snapToGrid w:val="0"/>
                      <w:color w:val="auto"/>
                      <w:kern w:val="0"/>
                      <w:sz w:val="18"/>
                      <w:szCs w:val="18"/>
                    </w:rPr>
                  </w:pPr>
                  <w:r>
                    <w:rPr>
                      <w:rFonts w:hint="eastAsia" w:ascii="Times New Roman" w:hAnsi="Times New Roman" w:eastAsia="宋体" w:cs="Times New Roman"/>
                      <w:snapToGrid w:val="0"/>
                      <w:color w:val="auto"/>
                      <w:kern w:val="0"/>
                      <w:sz w:val="18"/>
                      <w:szCs w:val="18"/>
                    </w:rPr>
                    <w:t>82.0</w:t>
                  </w:r>
                </w:p>
              </w:tc>
              <w:tc>
                <w:tcPr>
                  <w:tcW w:w="750" w:type="pct"/>
                  <w:tcBorders>
                    <w:tl2br w:val="nil"/>
                    <w:tr2bl w:val="nil"/>
                  </w:tcBorders>
                  <w:vAlign w:val="center"/>
                </w:tcPr>
                <w:p w14:paraId="7EAF9D83">
                  <w:pPr>
                    <w:jc w:val="center"/>
                    <w:rPr>
                      <w:snapToGrid w:val="0"/>
                      <w:kern w:val="0"/>
                      <w:sz w:val="18"/>
                      <w:szCs w:val="18"/>
                    </w:rPr>
                  </w:pPr>
                  <w:r>
                    <w:rPr>
                      <w:rFonts w:hint="eastAsia"/>
                      <w:snapToGrid w:val="0"/>
                      <w:kern w:val="0"/>
                      <w:sz w:val="18"/>
                      <w:szCs w:val="18"/>
                    </w:rPr>
                    <w:t>82.0</w:t>
                  </w:r>
                </w:p>
              </w:tc>
            </w:tr>
          </w:tbl>
          <w:p w14:paraId="0CAC0278">
            <w:pPr>
              <w:pStyle w:val="4"/>
              <w:spacing w:before="0" w:after="0" w:line="360" w:lineRule="auto"/>
              <w:ind w:firstLine="452" w:firstLineChars="200"/>
              <w:rPr>
                <w:b w:val="0"/>
                <w:bCs w:val="0"/>
                <w:spacing w:val="8"/>
                <w:kern w:val="0"/>
                <w:sz w:val="21"/>
                <w:szCs w:val="21"/>
              </w:rPr>
            </w:pPr>
            <w:r>
              <w:rPr>
                <w:rFonts w:hint="eastAsia"/>
                <w:b w:val="0"/>
                <w:bCs w:val="0"/>
                <w:spacing w:val="8"/>
                <w:kern w:val="0"/>
                <w:sz w:val="21"/>
                <w:szCs w:val="21"/>
              </w:rPr>
              <w:t>由上表可知，“活性炭吸附装置”对非甲烷总烃的去除效率平均在80%以上，故本环评北侧研发检测车间水喷淋+除雾器+二级活性炭吸附装置对非甲烷总烃去除效率保守估计以</w:t>
            </w:r>
            <w:r>
              <w:rPr>
                <w:rFonts w:hint="eastAsia"/>
                <w:b w:val="0"/>
                <w:bCs w:val="0"/>
                <w:spacing w:val="8"/>
                <w:kern w:val="0"/>
                <w:sz w:val="21"/>
                <w:szCs w:val="21"/>
                <w:lang w:val="en-US" w:eastAsia="zh-CN"/>
              </w:rPr>
              <w:t>80</w:t>
            </w:r>
            <w:r>
              <w:rPr>
                <w:rFonts w:hint="eastAsia"/>
                <w:b w:val="0"/>
                <w:bCs w:val="0"/>
                <w:spacing w:val="8"/>
                <w:kern w:val="0"/>
                <w:sz w:val="21"/>
                <w:szCs w:val="21"/>
              </w:rPr>
              <w:t>%计，危废仓库活性炭装置对非甲烷总烃去除效率保守估计70%是可行的。</w:t>
            </w:r>
          </w:p>
          <w:p w14:paraId="3DE76CE4">
            <w:pPr>
              <w:widowControl/>
              <w:shd w:val="clear" w:color="auto" w:fill="FFFFFF"/>
              <w:spacing w:line="360" w:lineRule="auto"/>
              <w:ind w:firstLine="454" w:firstLineChars="200"/>
              <w:rPr>
                <w:b/>
                <w:bCs/>
                <w:spacing w:val="8"/>
                <w:kern w:val="0"/>
                <w:szCs w:val="21"/>
              </w:rPr>
            </w:pPr>
            <w:r>
              <w:rPr>
                <w:b/>
                <w:bCs/>
                <w:spacing w:val="8"/>
                <w:kern w:val="0"/>
                <w:szCs w:val="21"/>
              </w:rPr>
              <w:t>（7）大气环境影响分析结论</w:t>
            </w:r>
          </w:p>
          <w:p w14:paraId="7249429D">
            <w:pPr>
              <w:widowControl/>
              <w:shd w:val="clear" w:color="auto" w:fill="FFFFFF"/>
              <w:spacing w:line="360" w:lineRule="auto"/>
              <w:ind w:firstLine="452" w:firstLineChars="200"/>
              <w:jc w:val="left"/>
              <w:rPr>
                <w:spacing w:val="8"/>
                <w:kern w:val="0"/>
                <w:szCs w:val="21"/>
              </w:rPr>
            </w:pPr>
            <w:r>
              <w:rPr>
                <w:spacing w:val="8"/>
                <w:kern w:val="0"/>
                <w:szCs w:val="21"/>
              </w:rPr>
              <w:t>建设项目位于</w:t>
            </w:r>
            <w:r>
              <w:rPr>
                <w:rFonts w:hint="eastAsia"/>
                <w:spacing w:val="8"/>
                <w:kern w:val="0"/>
                <w:szCs w:val="21"/>
              </w:rPr>
              <w:t>江苏省南通市海安市李堡镇富庄村7组（江海路23号）</w:t>
            </w:r>
            <w:r>
              <w:rPr>
                <w:spacing w:val="8"/>
                <w:kern w:val="0"/>
                <w:szCs w:val="21"/>
              </w:rPr>
              <w:t>，周边500m范围内的环境空气保护目标主要有：项目</w:t>
            </w:r>
            <w:r>
              <w:rPr>
                <w:rFonts w:hint="eastAsia"/>
                <w:spacing w:val="8"/>
                <w:kern w:val="0"/>
                <w:szCs w:val="21"/>
              </w:rPr>
              <w:t>西侧</w:t>
            </w:r>
            <w:r>
              <w:rPr>
                <w:spacing w:val="8"/>
                <w:kern w:val="0"/>
                <w:szCs w:val="21"/>
              </w:rPr>
              <w:t>约</w:t>
            </w:r>
            <w:r>
              <w:rPr>
                <w:rFonts w:hint="eastAsia"/>
                <w:spacing w:val="8"/>
                <w:kern w:val="0"/>
                <w:szCs w:val="21"/>
              </w:rPr>
              <w:t>52</w:t>
            </w:r>
            <w:r>
              <w:rPr>
                <w:spacing w:val="8"/>
                <w:kern w:val="0"/>
                <w:szCs w:val="21"/>
              </w:rPr>
              <w:t>m处的</w:t>
            </w:r>
            <w:r>
              <w:rPr>
                <w:rFonts w:hint="eastAsia"/>
                <w:spacing w:val="8"/>
                <w:kern w:val="0"/>
                <w:szCs w:val="21"/>
              </w:rPr>
              <w:t>富庄村村民、北侧约54m的富庄村村民</w:t>
            </w:r>
            <w:r>
              <w:rPr>
                <w:spacing w:val="8"/>
                <w:kern w:val="0"/>
                <w:szCs w:val="21"/>
              </w:rPr>
              <w:t>。</w:t>
            </w:r>
            <w:r>
              <w:rPr>
                <w:rFonts w:hint="eastAsia"/>
              </w:rPr>
              <w:t>本项目根据研发及检测需要分别在通风橱或实验台上完成实验，通风橱采用抽风系统收集废气，实验台采用万向集气罩进行收集，本项目研发及检测过程中产生的各类废气均经收集+水喷淋+除雾器+二级活性炭吸附处置后通过15米高排气筒（DA001）排放，危废仓库废气经收集+活性炭吸附处置后通过15米高排气筒（DA002）排放。非甲烷总烃、二甲苯、甲醇</w:t>
            </w:r>
            <w:r>
              <w:rPr>
                <w:spacing w:val="8"/>
                <w:kern w:val="0"/>
                <w:szCs w:val="21"/>
              </w:rPr>
              <w:t>排放浓度</w:t>
            </w:r>
            <w:r>
              <w:rPr>
                <w:rFonts w:hint="eastAsia"/>
                <w:spacing w:val="8"/>
                <w:kern w:val="0"/>
                <w:szCs w:val="21"/>
              </w:rPr>
              <w:t>、排放速率均</w:t>
            </w:r>
            <w:r>
              <w:rPr>
                <w:spacing w:val="8"/>
                <w:kern w:val="0"/>
                <w:szCs w:val="21"/>
              </w:rPr>
              <w:t>满足《大气污染物综合排放标准》（DB32/4041-2021）中相关标准，</w:t>
            </w:r>
            <w:r>
              <w:rPr>
                <w:rFonts w:hint="eastAsia"/>
                <w:spacing w:val="8"/>
                <w:kern w:val="0"/>
                <w:szCs w:val="21"/>
              </w:rPr>
              <w:t>氨、臭气浓度排放</w:t>
            </w:r>
            <w:r>
              <w:rPr>
                <w:spacing w:val="8"/>
                <w:kern w:val="0"/>
                <w:szCs w:val="21"/>
              </w:rPr>
              <w:t>浓度</w:t>
            </w:r>
            <w:r>
              <w:rPr>
                <w:rFonts w:hint="eastAsia"/>
                <w:spacing w:val="8"/>
                <w:kern w:val="0"/>
                <w:szCs w:val="21"/>
              </w:rPr>
              <w:t>、排放速率均</w:t>
            </w:r>
            <w:r>
              <w:rPr>
                <w:spacing w:val="8"/>
                <w:kern w:val="0"/>
                <w:szCs w:val="21"/>
              </w:rPr>
              <w:t>满足《恶臭污染物排放标准》（GB</w:t>
            </w:r>
            <w:r>
              <w:rPr>
                <w:rFonts w:hint="eastAsia"/>
                <w:spacing w:val="8"/>
                <w:kern w:val="0"/>
                <w:szCs w:val="21"/>
              </w:rPr>
              <w:t>14554</w:t>
            </w:r>
            <w:r>
              <w:rPr>
                <w:spacing w:val="8"/>
                <w:kern w:val="0"/>
                <w:szCs w:val="21"/>
              </w:rPr>
              <w:t>-93）</w:t>
            </w:r>
            <w:r>
              <w:rPr>
                <w:rFonts w:hint="eastAsia"/>
                <w:spacing w:val="8"/>
                <w:kern w:val="0"/>
                <w:szCs w:val="21"/>
              </w:rPr>
              <w:t>中</w:t>
            </w:r>
            <w:r>
              <w:rPr>
                <w:spacing w:val="8"/>
                <w:kern w:val="0"/>
                <w:szCs w:val="21"/>
              </w:rPr>
              <w:t>标准</w:t>
            </w:r>
            <w:r>
              <w:rPr>
                <w:rFonts w:hint="eastAsia"/>
                <w:spacing w:val="8"/>
                <w:kern w:val="0"/>
                <w:szCs w:val="21"/>
              </w:rPr>
              <w:t>。</w:t>
            </w:r>
            <w:r>
              <w:rPr>
                <w:bCs/>
                <w:szCs w:val="21"/>
              </w:rPr>
              <w:t>项目生产过程产生的异味物质对周围大气环境影响程度很小。</w:t>
            </w:r>
            <w:r>
              <w:rPr>
                <w:spacing w:val="8"/>
                <w:kern w:val="0"/>
                <w:szCs w:val="21"/>
              </w:rPr>
              <w:t>因此，在采取本报告提出的废气治理措施的前提下，本项目运营期大气污染物均能稳定达标排放，对环境影响较小，从大气环境影响角度分析，本项目建设可行。</w:t>
            </w:r>
          </w:p>
          <w:p w14:paraId="7F8D6E6D">
            <w:pPr>
              <w:widowControl/>
              <w:shd w:val="clear" w:color="auto" w:fill="FFFFFF"/>
              <w:spacing w:line="360" w:lineRule="auto"/>
              <w:ind w:firstLine="454" w:firstLineChars="200"/>
              <w:rPr>
                <w:b/>
                <w:bCs/>
                <w:spacing w:val="8"/>
                <w:kern w:val="0"/>
                <w:szCs w:val="21"/>
              </w:rPr>
            </w:pPr>
            <w:r>
              <w:rPr>
                <w:b/>
                <w:bCs/>
                <w:spacing w:val="8"/>
                <w:kern w:val="0"/>
                <w:szCs w:val="21"/>
              </w:rPr>
              <w:t>2.废水</w:t>
            </w:r>
          </w:p>
          <w:p w14:paraId="6FD2534A">
            <w:pPr>
              <w:widowControl/>
              <w:shd w:val="clear" w:color="auto" w:fill="FFFFFF"/>
              <w:spacing w:line="360" w:lineRule="auto"/>
              <w:ind w:firstLine="444" w:firstLineChars="200"/>
              <w:rPr>
                <w:spacing w:val="8"/>
                <w:kern w:val="0"/>
                <w:szCs w:val="21"/>
              </w:rPr>
            </w:pPr>
            <w:r>
              <w:rPr>
                <w:spacing w:val="6"/>
                <w:szCs w:val="21"/>
                <w:shd w:val="clear" w:color="auto" w:fill="FFFFFF"/>
              </w:rPr>
              <w:t>本项目用水</w:t>
            </w:r>
            <w:r>
              <w:rPr>
                <w:rFonts w:hint="eastAsia"/>
                <w:spacing w:val="6"/>
                <w:szCs w:val="21"/>
                <w:shd w:val="clear" w:color="auto" w:fill="FFFFFF"/>
              </w:rPr>
              <w:t>为</w:t>
            </w:r>
            <w:r>
              <w:rPr>
                <w:spacing w:val="6"/>
                <w:szCs w:val="21"/>
                <w:shd w:val="clear" w:color="auto" w:fill="FFFFFF"/>
              </w:rPr>
              <w:t>员工生活用水</w:t>
            </w:r>
            <w:r>
              <w:rPr>
                <w:rFonts w:hint="eastAsia"/>
                <w:spacing w:val="6"/>
                <w:szCs w:val="21"/>
                <w:shd w:val="clear" w:color="auto" w:fill="FFFFFF"/>
              </w:rPr>
              <w:t>、实验研发和检测用水、清洗用水、废气喷淋用水</w:t>
            </w:r>
            <w:r>
              <w:rPr>
                <w:spacing w:val="6"/>
                <w:szCs w:val="21"/>
                <w:shd w:val="clear" w:color="auto" w:fill="FFFFFF"/>
              </w:rPr>
              <w:t>，</w:t>
            </w:r>
            <w:r>
              <w:rPr>
                <w:rFonts w:hint="eastAsia"/>
                <w:spacing w:val="6"/>
                <w:szCs w:val="21"/>
                <w:shd w:val="clear" w:color="auto" w:fill="FFFFFF"/>
              </w:rPr>
              <w:t>实验研发和检测产生的实验废液、</w:t>
            </w:r>
            <w:r>
              <w:rPr>
                <w:rFonts w:hint="eastAsia"/>
                <w:spacing w:val="6"/>
                <w:szCs w:val="21"/>
                <w:shd w:val="clear" w:color="auto" w:fill="FFFFFF"/>
                <w:lang w:val="en-US" w:eastAsia="zh-CN"/>
              </w:rPr>
              <w:t>初道</w:t>
            </w:r>
            <w:r>
              <w:rPr>
                <w:rFonts w:hint="eastAsia"/>
                <w:spacing w:val="6"/>
                <w:szCs w:val="21"/>
                <w:shd w:val="clear" w:color="auto" w:fill="FFFFFF"/>
              </w:rPr>
              <w:t>清洗废水、废气喷淋废液均作为危废委托有资质的单位处置，</w:t>
            </w:r>
            <w:r>
              <w:rPr>
                <w:spacing w:val="6"/>
                <w:szCs w:val="21"/>
                <w:shd w:val="clear" w:color="auto" w:fill="FFFFFF"/>
              </w:rPr>
              <w:t>排水为职工生活污水</w:t>
            </w:r>
            <w:r>
              <w:rPr>
                <w:rFonts w:hint="eastAsia"/>
                <w:spacing w:val="6"/>
                <w:szCs w:val="21"/>
                <w:shd w:val="clear" w:color="auto" w:fill="FFFFFF"/>
                <w:lang w:val="en-US" w:eastAsia="zh-CN"/>
              </w:rPr>
              <w:t>和后道清洗废水</w:t>
            </w:r>
            <w:r>
              <w:rPr>
                <w:spacing w:val="6"/>
                <w:szCs w:val="21"/>
                <w:shd w:val="clear" w:color="auto" w:fill="FFFFFF"/>
              </w:rPr>
              <w:t>，生活污</w:t>
            </w:r>
            <w:r>
              <w:rPr>
                <w:rFonts w:hint="eastAsia"/>
                <w:spacing w:val="6"/>
                <w:szCs w:val="21"/>
                <w:shd w:val="clear" w:color="auto" w:fill="FFFFFF"/>
              </w:rPr>
              <w:t>水经</w:t>
            </w:r>
            <w:r>
              <w:rPr>
                <w:spacing w:val="6"/>
                <w:szCs w:val="21"/>
                <w:shd w:val="clear" w:color="auto" w:fill="FFFFFF"/>
              </w:rPr>
              <w:t>化粪池预处理</w:t>
            </w:r>
            <w:r>
              <w:rPr>
                <w:rFonts w:hint="eastAsia"/>
                <w:spacing w:val="6"/>
                <w:szCs w:val="21"/>
                <w:shd w:val="clear" w:color="auto" w:fill="FFFFFF"/>
                <w:lang w:eastAsia="zh-CN"/>
              </w:rPr>
              <w:t>、</w:t>
            </w:r>
            <w:r>
              <w:rPr>
                <w:rFonts w:hint="eastAsia"/>
                <w:spacing w:val="6"/>
                <w:szCs w:val="21"/>
                <w:shd w:val="clear" w:color="auto" w:fill="FFFFFF"/>
                <w:lang w:val="en-US" w:eastAsia="zh-CN"/>
              </w:rPr>
              <w:t>后道清洗废水经厂区污水处理设施预处理后一起</w:t>
            </w:r>
            <w:r>
              <w:rPr>
                <w:spacing w:val="6"/>
                <w:szCs w:val="21"/>
                <w:shd w:val="clear" w:color="auto" w:fill="FFFFFF"/>
              </w:rPr>
              <w:t>接管至</w:t>
            </w:r>
            <w:r>
              <w:rPr>
                <w:rFonts w:hint="eastAsia"/>
                <w:spacing w:val="6"/>
                <w:szCs w:val="21"/>
                <w:shd w:val="clear" w:color="auto" w:fill="FFFFFF"/>
              </w:rPr>
              <w:t>海安李堡滇池水务有限公司</w:t>
            </w:r>
            <w:r>
              <w:rPr>
                <w:spacing w:val="6"/>
                <w:szCs w:val="21"/>
                <w:shd w:val="clear" w:color="auto" w:fill="FFFFFF"/>
              </w:rPr>
              <w:t>处理，达标尾水排入</w:t>
            </w:r>
            <w:r>
              <w:rPr>
                <w:rFonts w:hint="eastAsia"/>
                <w:spacing w:val="6"/>
                <w:szCs w:val="21"/>
                <w:shd w:val="clear" w:color="auto" w:fill="FFFFFF"/>
              </w:rPr>
              <w:t>北凌河</w:t>
            </w:r>
            <w:r>
              <w:rPr>
                <w:spacing w:val="6"/>
                <w:szCs w:val="21"/>
                <w:shd w:val="clear" w:color="auto" w:fill="FFFFFF"/>
              </w:rPr>
              <w:t>。</w:t>
            </w:r>
          </w:p>
          <w:p w14:paraId="72D23C49">
            <w:pPr>
              <w:widowControl/>
              <w:shd w:val="clear" w:color="auto" w:fill="FFFFFF"/>
              <w:spacing w:line="360" w:lineRule="auto"/>
              <w:ind w:firstLine="454" w:firstLineChars="200"/>
              <w:rPr>
                <w:b/>
                <w:bCs/>
                <w:spacing w:val="8"/>
                <w:kern w:val="0"/>
                <w:szCs w:val="21"/>
              </w:rPr>
            </w:pPr>
            <w:r>
              <w:rPr>
                <w:b/>
                <w:bCs/>
                <w:spacing w:val="8"/>
                <w:kern w:val="0"/>
                <w:szCs w:val="21"/>
              </w:rPr>
              <w:t>（1）废水污染源强</w:t>
            </w:r>
          </w:p>
          <w:p w14:paraId="065FA6D9">
            <w:pPr>
              <w:widowControl/>
              <w:shd w:val="clear" w:color="auto" w:fill="FFFFFF"/>
              <w:spacing w:line="360" w:lineRule="auto"/>
              <w:ind w:firstLine="452" w:firstLineChars="200"/>
              <w:rPr>
                <w:spacing w:val="8"/>
                <w:kern w:val="0"/>
                <w:szCs w:val="21"/>
              </w:rPr>
            </w:pPr>
            <w:r>
              <w:rPr>
                <w:spacing w:val="8"/>
                <w:kern w:val="0"/>
                <w:szCs w:val="21"/>
              </w:rPr>
              <w:t>本项目生活污水产生量为</w:t>
            </w:r>
            <w:r>
              <w:rPr>
                <w:rFonts w:hint="eastAsia"/>
                <w:spacing w:val="8"/>
                <w:kern w:val="0"/>
                <w:szCs w:val="21"/>
              </w:rPr>
              <w:t>100</w:t>
            </w:r>
            <w:r>
              <w:rPr>
                <w:spacing w:val="8"/>
                <w:kern w:val="0"/>
                <w:szCs w:val="21"/>
              </w:rPr>
              <w:t>t/a，其中污染物产生浓度分别为COD400mg/L、SS350mg/L、NH</w:t>
            </w:r>
            <w:r>
              <w:rPr>
                <w:spacing w:val="8"/>
                <w:kern w:val="0"/>
                <w:szCs w:val="21"/>
                <w:vertAlign w:val="subscript"/>
              </w:rPr>
              <w:t>3</w:t>
            </w:r>
            <w:r>
              <w:rPr>
                <w:spacing w:val="8"/>
                <w:kern w:val="0"/>
                <w:szCs w:val="21"/>
              </w:rPr>
              <w:t>-N25mg/L、TN35mg/L、TP4mg/L。</w:t>
            </w:r>
            <w:r>
              <w:rPr>
                <w:rFonts w:hint="eastAsia"/>
                <w:spacing w:val="8"/>
                <w:kern w:val="0"/>
                <w:szCs w:val="21"/>
                <w:lang w:val="en-US" w:eastAsia="zh-CN"/>
              </w:rPr>
              <w:t>根据《扬中市碧源环境检测有限公司实验室建设项目环境影响报告表》类比，</w:t>
            </w:r>
            <w:r>
              <w:rPr>
                <w:spacing w:val="8"/>
                <w:kern w:val="0"/>
                <w:szCs w:val="21"/>
              </w:rPr>
              <w:t>本项目</w:t>
            </w:r>
            <w:r>
              <w:rPr>
                <w:rFonts w:hint="eastAsia"/>
                <w:spacing w:val="8"/>
                <w:kern w:val="0"/>
                <w:szCs w:val="21"/>
                <w:lang w:val="en-US" w:eastAsia="zh-CN"/>
              </w:rPr>
              <w:t>后道清洗废水</w:t>
            </w:r>
            <w:r>
              <w:rPr>
                <w:spacing w:val="8"/>
                <w:kern w:val="0"/>
                <w:szCs w:val="21"/>
              </w:rPr>
              <w:t>产生量为</w:t>
            </w:r>
            <w:r>
              <w:rPr>
                <w:rFonts w:hint="eastAsia"/>
                <w:spacing w:val="8"/>
                <w:kern w:val="0"/>
                <w:szCs w:val="21"/>
                <w:lang w:val="en-US" w:eastAsia="zh-CN"/>
              </w:rPr>
              <w:t>6</w:t>
            </w:r>
            <w:r>
              <w:rPr>
                <w:spacing w:val="8"/>
                <w:kern w:val="0"/>
                <w:szCs w:val="21"/>
              </w:rPr>
              <w:t>t/a，其中污染物产生浓度分别为COD</w:t>
            </w:r>
            <w:r>
              <w:rPr>
                <w:rFonts w:hint="eastAsia"/>
                <w:spacing w:val="8"/>
                <w:kern w:val="0"/>
                <w:szCs w:val="21"/>
                <w:lang w:val="en-US" w:eastAsia="zh-CN"/>
              </w:rPr>
              <w:t>5</w:t>
            </w:r>
            <w:r>
              <w:rPr>
                <w:spacing w:val="8"/>
                <w:kern w:val="0"/>
                <w:szCs w:val="21"/>
              </w:rPr>
              <w:t>00mg/L、SS</w:t>
            </w:r>
            <w:r>
              <w:rPr>
                <w:rFonts w:hint="eastAsia"/>
                <w:spacing w:val="8"/>
                <w:kern w:val="0"/>
                <w:szCs w:val="21"/>
                <w:lang w:val="en-US" w:eastAsia="zh-CN"/>
              </w:rPr>
              <w:t>10</w:t>
            </w:r>
            <w:r>
              <w:rPr>
                <w:spacing w:val="8"/>
                <w:kern w:val="0"/>
                <w:szCs w:val="21"/>
              </w:rPr>
              <w:t>0mg/L、NH</w:t>
            </w:r>
            <w:r>
              <w:rPr>
                <w:spacing w:val="8"/>
                <w:kern w:val="0"/>
                <w:szCs w:val="21"/>
                <w:vertAlign w:val="subscript"/>
              </w:rPr>
              <w:t>3</w:t>
            </w:r>
            <w:r>
              <w:rPr>
                <w:spacing w:val="8"/>
                <w:kern w:val="0"/>
                <w:szCs w:val="21"/>
              </w:rPr>
              <w:t>-N</w:t>
            </w:r>
            <w:r>
              <w:rPr>
                <w:rFonts w:hint="eastAsia"/>
                <w:spacing w:val="8"/>
                <w:kern w:val="0"/>
                <w:szCs w:val="21"/>
                <w:lang w:val="en-US" w:eastAsia="zh-CN"/>
              </w:rPr>
              <w:t>30</w:t>
            </w:r>
            <w:r>
              <w:rPr>
                <w:spacing w:val="8"/>
                <w:kern w:val="0"/>
                <w:szCs w:val="21"/>
              </w:rPr>
              <w:t>mg/L、TN35mg/L、TP</w:t>
            </w:r>
            <w:r>
              <w:rPr>
                <w:rFonts w:hint="eastAsia"/>
                <w:spacing w:val="8"/>
                <w:kern w:val="0"/>
                <w:szCs w:val="21"/>
                <w:lang w:val="en-US" w:eastAsia="zh-CN"/>
              </w:rPr>
              <w:t>1</w:t>
            </w:r>
            <w:r>
              <w:rPr>
                <w:spacing w:val="8"/>
                <w:kern w:val="0"/>
                <w:szCs w:val="21"/>
              </w:rPr>
              <w:t>mg/L。</w:t>
            </w:r>
          </w:p>
          <w:p w14:paraId="1E907CB8">
            <w:pPr>
              <w:widowControl/>
              <w:shd w:val="clear" w:color="auto" w:fill="FFFFFF"/>
              <w:spacing w:line="360" w:lineRule="auto"/>
              <w:ind w:firstLine="454" w:firstLineChars="200"/>
              <w:rPr>
                <w:b/>
                <w:bCs/>
                <w:spacing w:val="8"/>
                <w:kern w:val="0"/>
                <w:szCs w:val="21"/>
              </w:rPr>
            </w:pPr>
            <w:r>
              <w:rPr>
                <w:b/>
                <w:bCs/>
                <w:spacing w:val="8"/>
                <w:kern w:val="0"/>
                <w:szCs w:val="21"/>
              </w:rPr>
              <w:t>（2）废水污染源强核算结果及相关参数一览</w:t>
            </w:r>
          </w:p>
          <w:p w14:paraId="280D66ED">
            <w:pPr>
              <w:widowControl/>
              <w:shd w:val="clear" w:color="auto" w:fill="FFFFFF"/>
              <w:spacing w:line="360" w:lineRule="auto"/>
              <w:ind w:firstLine="452" w:firstLineChars="200"/>
              <w:rPr>
                <w:spacing w:val="8"/>
                <w:kern w:val="0"/>
                <w:szCs w:val="21"/>
              </w:rPr>
            </w:pPr>
            <w:r>
              <w:rPr>
                <w:spacing w:val="8"/>
                <w:kern w:val="0"/>
                <w:szCs w:val="21"/>
              </w:rPr>
              <w:t>废水污染源强核算结果及相关参数一览见下表。</w:t>
            </w:r>
          </w:p>
          <w:p w14:paraId="253261E6">
            <w:pPr>
              <w:adjustRightInd w:val="0"/>
              <w:snapToGrid w:val="0"/>
              <w:jc w:val="center"/>
              <w:rPr>
                <w:b/>
                <w:bCs/>
                <w:spacing w:val="6"/>
                <w:szCs w:val="21"/>
                <w:shd w:val="clear" w:color="auto" w:fill="FFFFFF"/>
              </w:rPr>
            </w:pPr>
            <w:r>
              <w:rPr>
                <w:b/>
                <w:bCs/>
                <w:spacing w:val="6"/>
                <w:szCs w:val="21"/>
                <w:shd w:val="clear" w:color="auto" w:fill="FFFFFF"/>
              </w:rPr>
              <w:t>表4-1</w:t>
            </w:r>
            <w:r>
              <w:rPr>
                <w:rFonts w:hint="eastAsia"/>
                <w:b/>
                <w:bCs/>
                <w:spacing w:val="6"/>
                <w:szCs w:val="21"/>
                <w:shd w:val="clear" w:color="auto" w:fill="FFFFFF"/>
                <w:lang w:val="en-US" w:eastAsia="zh-CN"/>
              </w:rPr>
              <w:t xml:space="preserve">4 </w:t>
            </w:r>
            <w:r>
              <w:rPr>
                <w:b/>
                <w:bCs/>
                <w:spacing w:val="6"/>
                <w:szCs w:val="21"/>
                <w:shd w:val="clear" w:color="auto" w:fill="FFFFFF"/>
              </w:rPr>
              <w:t>本项目废水污染物产生及排放情况一览表</w:t>
            </w:r>
          </w:p>
          <w:tbl>
            <w:tblPr>
              <w:tblStyle w:val="23"/>
              <w:tblW w:w="883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73"/>
              <w:gridCol w:w="832"/>
              <w:gridCol w:w="951"/>
              <w:gridCol w:w="861"/>
              <w:gridCol w:w="832"/>
              <w:gridCol w:w="823"/>
              <w:gridCol w:w="950"/>
              <w:gridCol w:w="860"/>
              <w:gridCol w:w="832"/>
              <w:gridCol w:w="1121"/>
            </w:tblGrid>
            <w:tr w14:paraId="10B758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437" w:type="pct"/>
                  <w:vMerge w:val="restart"/>
                  <w:noWrap/>
                  <w:vAlign w:val="center"/>
                </w:tcPr>
                <w:p w14:paraId="18E27931">
                  <w:pPr>
                    <w:widowControl/>
                    <w:jc w:val="center"/>
                    <w:rPr>
                      <w:b/>
                      <w:bCs/>
                      <w:kern w:val="0"/>
                      <w:sz w:val="18"/>
                      <w:szCs w:val="18"/>
                    </w:rPr>
                  </w:pPr>
                  <w:r>
                    <w:rPr>
                      <w:b/>
                      <w:bCs/>
                      <w:kern w:val="0"/>
                      <w:sz w:val="18"/>
                      <w:szCs w:val="18"/>
                    </w:rPr>
                    <w:t>废水来源</w:t>
                  </w:r>
                </w:p>
              </w:tc>
              <w:tc>
                <w:tcPr>
                  <w:tcW w:w="470" w:type="pct"/>
                  <w:vMerge w:val="restart"/>
                  <w:noWrap/>
                  <w:vAlign w:val="center"/>
                </w:tcPr>
                <w:p w14:paraId="43500EF6">
                  <w:pPr>
                    <w:widowControl/>
                    <w:jc w:val="center"/>
                    <w:rPr>
                      <w:b/>
                      <w:bCs/>
                      <w:kern w:val="0"/>
                      <w:sz w:val="18"/>
                      <w:szCs w:val="18"/>
                    </w:rPr>
                  </w:pPr>
                  <w:r>
                    <w:rPr>
                      <w:b/>
                      <w:bCs/>
                      <w:kern w:val="0"/>
                      <w:sz w:val="18"/>
                      <w:szCs w:val="18"/>
                    </w:rPr>
                    <w:t>废水量t/a</w:t>
                  </w:r>
                </w:p>
              </w:tc>
              <w:tc>
                <w:tcPr>
                  <w:tcW w:w="538" w:type="pct"/>
                  <w:vMerge w:val="restart"/>
                  <w:noWrap/>
                  <w:vAlign w:val="center"/>
                </w:tcPr>
                <w:p w14:paraId="715ADC1D">
                  <w:pPr>
                    <w:widowControl/>
                    <w:jc w:val="center"/>
                    <w:rPr>
                      <w:b/>
                      <w:bCs/>
                      <w:kern w:val="0"/>
                      <w:sz w:val="18"/>
                      <w:szCs w:val="18"/>
                    </w:rPr>
                  </w:pPr>
                  <w:r>
                    <w:rPr>
                      <w:b/>
                      <w:bCs/>
                      <w:kern w:val="0"/>
                      <w:sz w:val="18"/>
                      <w:szCs w:val="18"/>
                    </w:rPr>
                    <w:t>污染物名称</w:t>
                  </w:r>
                </w:p>
              </w:tc>
              <w:tc>
                <w:tcPr>
                  <w:tcW w:w="958" w:type="pct"/>
                  <w:gridSpan w:val="2"/>
                  <w:noWrap/>
                  <w:vAlign w:val="center"/>
                </w:tcPr>
                <w:p w14:paraId="45BB4231">
                  <w:pPr>
                    <w:widowControl/>
                    <w:jc w:val="center"/>
                    <w:rPr>
                      <w:b/>
                      <w:bCs/>
                      <w:kern w:val="0"/>
                      <w:sz w:val="18"/>
                      <w:szCs w:val="18"/>
                    </w:rPr>
                  </w:pPr>
                  <w:r>
                    <w:rPr>
                      <w:b/>
                      <w:bCs/>
                      <w:kern w:val="0"/>
                      <w:sz w:val="18"/>
                      <w:szCs w:val="18"/>
                    </w:rPr>
                    <w:t>污染物产生量</w:t>
                  </w:r>
                </w:p>
              </w:tc>
              <w:tc>
                <w:tcPr>
                  <w:tcW w:w="465" w:type="pct"/>
                  <w:vMerge w:val="restart"/>
                  <w:noWrap/>
                  <w:vAlign w:val="center"/>
                </w:tcPr>
                <w:p w14:paraId="3BE71CCE">
                  <w:pPr>
                    <w:widowControl/>
                    <w:jc w:val="center"/>
                    <w:rPr>
                      <w:b/>
                      <w:bCs/>
                      <w:kern w:val="0"/>
                      <w:sz w:val="18"/>
                      <w:szCs w:val="18"/>
                    </w:rPr>
                  </w:pPr>
                  <w:r>
                    <w:rPr>
                      <w:b/>
                      <w:bCs/>
                      <w:kern w:val="0"/>
                      <w:sz w:val="18"/>
                      <w:szCs w:val="18"/>
                    </w:rPr>
                    <w:t>治理措施</w:t>
                  </w:r>
                </w:p>
              </w:tc>
              <w:tc>
                <w:tcPr>
                  <w:tcW w:w="537" w:type="pct"/>
                  <w:vMerge w:val="restart"/>
                  <w:noWrap/>
                  <w:vAlign w:val="center"/>
                </w:tcPr>
                <w:p w14:paraId="2C48DDDC">
                  <w:pPr>
                    <w:widowControl/>
                    <w:jc w:val="center"/>
                    <w:rPr>
                      <w:b/>
                      <w:bCs/>
                      <w:kern w:val="0"/>
                      <w:sz w:val="18"/>
                      <w:szCs w:val="18"/>
                    </w:rPr>
                  </w:pPr>
                  <w:r>
                    <w:rPr>
                      <w:b/>
                      <w:bCs/>
                      <w:kern w:val="0"/>
                      <w:sz w:val="18"/>
                      <w:szCs w:val="18"/>
                    </w:rPr>
                    <w:t>污染物名称</w:t>
                  </w:r>
                </w:p>
              </w:tc>
              <w:tc>
                <w:tcPr>
                  <w:tcW w:w="957" w:type="pct"/>
                  <w:gridSpan w:val="2"/>
                  <w:noWrap/>
                  <w:vAlign w:val="center"/>
                </w:tcPr>
                <w:p w14:paraId="0273FE4B">
                  <w:pPr>
                    <w:widowControl/>
                    <w:jc w:val="center"/>
                    <w:rPr>
                      <w:b/>
                      <w:bCs/>
                      <w:kern w:val="0"/>
                      <w:sz w:val="18"/>
                      <w:szCs w:val="18"/>
                    </w:rPr>
                  </w:pPr>
                  <w:r>
                    <w:rPr>
                      <w:b/>
                      <w:bCs/>
                      <w:kern w:val="0"/>
                      <w:sz w:val="18"/>
                      <w:szCs w:val="18"/>
                    </w:rPr>
                    <w:t>污染物接管量</w:t>
                  </w:r>
                </w:p>
              </w:tc>
              <w:tc>
                <w:tcPr>
                  <w:tcW w:w="634" w:type="pct"/>
                  <w:vMerge w:val="restart"/>
                  <w:vAlign w:val="center"/>
                </w:tcPr>
                <w:p w14:paraId="36EF2DA8">
                  <w:pPr>
                    <w:widowControl/>
                    <w:jc w:val="center"/>
                    <w:rPr>
                      <w:b/>
                      <w:bCs/>
                      <w:kern w:val="0"/>
                      <w:sz w:val="18"/>
                      <w:szCs w:val="18"/>
                    </w:rPr>
                  </w:pPr>
                  <w:r>
                    <w:rPr>
                      <w:b/>
                      <w:bCs/>
                      <w:kern w:val="0"/>
                      <w:sz w:val="18"/>
                      <w:szCs w:val="18"/>
                    </w:rPr>
                    <w:t>排放方式与去向</w:t>
                  </w:r>
                </w:p>
              </w:tc>
            </w:tr>
            <w:tr w14:paraId="475C63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2" w:hRule="atLeast"/>
              </w:trPr>
              <w:tc>
                <w:tcPr>
                  <w:tcW w:w="437" w:type="pct"/>
                  <w:vMerge w:val="continue"/>
                  <w:vAlign w:val="center"/>
                </w:tcPr>
                <w:p w14:paraId="64CC235C">
                  <w:pPr>
                    <w:widowControl/>
                    <w:jc w:val="center"/>
                    <w:rPr>
                      <w:b/>
                      <w:bCs/>
                      <w:kern w:val="0"/>
                      <w:sz w:val="18"/>
                      <w:szCs w:val="18"/>
                    </w:rPr>
                  </w:pPr>
                </w:p>
              </w:tc>
              <w:tc>
                <w:tcPr>
                  <w:tcW w:w="470" w:type="pct"/>
                  <w:vMerge w:val="continue"/>
                  <w:vAlign w:val="center"/>
                </w:tcPr>
                <w:p w14:paraId="067564FB">
                  <w:pPr>
                    <w:widowControl/>
                    <w:jc w:val="center"/>
                    <w:rPr>
                      <w:b/>
                      <w:bCs/>
                      <w:kern w:val="0"/>
                      <w:sz w:val="18"/>
                      <w:szCs w:val="18"/>
                    </w:rPr>
                  </w:pPr>
                </w:p>
              </w:tc>
              <w:tc>
                <w:tcPr>
                  <w:tcW w:w="538" w:type="pct"/>
                  <w:vMerge w:val="continue"/>
                  <w:vAlign w:val="center"/>
                </w:tcPr>
                <w:p w14:paraId="60AF9B84">
                  <w:pPr>
                    <w:widowControl/>
                    <w:jc w:val="center"/>
                    <w:rPr>
                      <w:b/>
                      <w:bCs/>
                      <w:kern w:val="0"/>
                      <w:sz w:val="18"/>
                      <w:szCs w:val="18"/>
                    </w:rPr>
                  </w:pPr>
                </w:p>
              </w:tc>
              <w:tc>
                <w:tcPr>
                  <w:tcW w:w="487" w:type="pct"/>
                  <w:noWrap/>
                  <w:vAlign w:val="center"/>
                </w:tcPr>
                <w:p w14:paraId="4BEE08D8">
                  <w:pPr>
                    <w:widowControl/>
                    <w:jc w:val="center"/>
                    <w:rPr>
                      <w:b/>
                      <w:bCs/>
                      <w:kern w:val="0"/>
                      <w:sz w:val="18"/>
                      <w:szCs w:val="18"/>
                    </w:rPr>
                  </w:pPr>
                  <w:r>
                    <w:rPr>
                      <w:b/>
                      <w:bCs/>
                      <w:kern w:val="0"/>
                      <w:sz w:val="18"/>
                      <w:szCs w:val="18"/>
                    </w:rPr>
                    <w:t>浓度mg/L</w:t>
                  </w:r>
                </w:p>
              </w:tc>
              <w:tc>
                <w:tcPr>
                  <w:tcW w:w="470" w:type="pct"/>
                  <w:noWrap/>
                  <w:vAlign w:val="center"/>
                </w:tcPr>
                <w:p w14:paraId="05D623E9">
                  <w:pPr>
                    <w:widowControl/>
                    <w:jc w:val="center"/>
                    <w:rPr>
                      <w:b/>
                      <w:bCs/>
                      <w:kern w:val="0"/>
                      <w:sz w:val="18"/>
                      <w:szCs w:val="18"/>
                    </w:rPr>
                  </w:pPr>
                  <w:r>
                    <w:rPr>
                      <w:b/>
                      <w:bCs/>
                      <w:kern w:val="0"/>
                      <w:sz w:val="18"/>
                      <w:szCs w:val="18"/>
                    </w:rPr>
                    <w:t>产生量t/a</w:t>
                  </w:r>
                </w:p>
              </w:tc>
              <w:tc>
                <w:tcPr>
                  <w:tcW w:w="465" w:type="pct"/>
                  <w:vMerge w:val="continue"/>
                  <w:vAlign w:val="center"/>
                </w:tcPr>
                <w:p w14:paraId="032C422B">
                  <w:pPr>
                    <w:widowControl/>
                    <w:jc w:val="center"/>
                    <w:rPr>
                      <w:b/>
                      <w:bCs/>
                      <w:kern w:val="0"/>
                      <w:sz w:val="18"/>
                      <w:szCs w:val="18"/>
                    </w:rPr>
                  </w:pPr>
                </w:p>
              </w:tc>
              <w:tc>
                <w:tcPr>
                  <w:tcW w:w="537" w:type="pct"/>
                  <w:vMerge w:val="continue"/>
                  <w:vAlign w:val="center"/>
                </w:tcPr>
                <w:p w14:paraId="53F318A7">
                  <w:pPr>
                    <w:widowControl/>
                    <w:jc w:val="center"/>
                    <w:rPr>
                      <w:b/>
                      <w:bCs/>
                      <w:kern w:val="0"/>
                      <w:sz w:val="18"/>
                      <w:szCs w:val="18"/>
                    </w:rPr>
                  </w:pPr>
                </w:p>
              </w:tc>
              <w:tc>
                <w:tcPr>
                  <w:tcW w:w="486" w:type="pct"/>
                  <w:noWrap/>
                  <w:vAlign w:val="center"/>
                </w:tcPr>
                <w:p w14:paraId="30059EE1">
                  <w:pPr>
                    <w:widowControl/>
                    <w:jc w:val="center"/>
                    <w:rPr>
                      <w:b/>
                      <w:bCs/>
                      <w:kern w:val="0"/>
                      <w:sz w:val="18"/>
                      <w:szCs w:val="18"/>
                    </w:rPr>
                  </w:pPr>
                  <w:r>
                    <w:rPr>
                      <w:b/>
                      <w:bCs/>
                      <w:kern w:val="0"/>
                      <w:sz w:val="18"/>
                      <w:szCs w:val="18"/>
                    </w:rPr>
                    <w:t>浓度mg/L</w:t>
                  </w:r>
                </w:p>
              </w:tc>
              <w:tc>
                <w:tcPr>
                  <w:tcW w:w="470" w:type="pct"/>
                  <w:noWrap/>
                  <w:vAlign w:val="center"/>
                </w:tcPr>
                <w:p w14:paraId="62ACF0E8">
                  <w:pPr>
                    <w:widowControl/>
                    <w:jc w:val="center"/>
                    <w:rPr>
                      <w:b/>
                      <w:bCs/>
                      <w:kern w:val="0"/>
                      <w:sz w:val="18"/>
                      <w:szCs w:val="18"/>
                    </w:rPr>
                  </w:pPr>
                  <w:r>
                    <w:rPr>
                      <w:b/>
                      <w:bCs/>
                      <w:kern w:val="0"/>
                      <w:sz w:val="18"/>
                      <w:szCs w:val="18"/>
                    </w:rPr>
                    <w:t>接管量t/a</w:t>
                  </w:r>
                </w:p>
              </w:tc>
              <w:tc>
                <w:tcPr>
                  <w:tcW w:w="634" w:type="pct"/>
                  <w:vMerge w:val="continue"/>
                  <w:vAlign w:val="center"/>
                </w:tcPr>
                <w:p w14:paraId="1FA2E5F3">
                  <w:pPr>
                    <w:widowControl/>
                    <w:jc w:val="center"/>
                    <w:rPr>
                      <w:kern w:val="0"/>
                      <w:sz w:val="18"/>
                      <w:szCs w:val="18"/>
                    </w:rPr>
                  </w:pPr>
                </w:p>
              </w:tc>
            </w:tr>
            <w:tr w14:paraId="7F714A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437" w:type="pct"/>
                  <w:vMerge w:val="restart"/>
                  <w:vAlign w:val="center"/>
                </w:tcPr>
                <w:p w14:paraId="3E6DCF72">
                  <w:pPr>
                    <w:widowControl/>
                    <w:jc w:val="center"/>
                    <w:rPr>
                      <w:kern w:val="0"/>
                      <w:sz w:val="18"/>
                      <w:szCs w:val="18"/>
                    </w:rPr>
                  </w:pPr>
                  <w:r>
                    <w:rPr>
                      <w:kern w:val="0"/>
                      <w:sz w:val="18"/>
                      <w:szCs w:val="18"/>
                    </w:rPr>
                    <w:t>生活污水</w:t>
                  </w:r>
                </w:p>
              </w:tc>
              <w:tc>
                <w:tcPr>
                  <w:tcW w:w="470" w:type="pct"/>
                  <w:vMerge w:val="restart"/>
                  <w:noWrap/>
                  <w:vAlign w:val="center"/>
                </w:tcPr>
                <w:p w14:paraId="15BC1AB0">
                  <w:pPr>
                    <w:widowControl/>
                    <w:jc w:val="center"/>
                    <w:rPr>
                      <w:kern w:val="0"/>
                      <w:sz w:val="18"/>
                      <w:szCs w:val="18"/>
                    </w:rPr>
                  </w:pPr>
                  <w:r>
                    <w:rPr>
                      <w:rFonts w:hint="eastAsia"/>
                      <w:kern w:val="0"/>
                      <w:sz w:val="18"/>
                      <w:szCs w:val="18"/>
                    </w:rPr>
                    <w:t>100</w:t>
                  </w:r>
                </w:p>
              </w:tc>
              <w:tc>
                <w:tcPr>
                  <w:tcW w:w="538" w:type="pct"/>
                  <w:vAlign w:val="center"/>
                </w:tcPr>
                <w:p w14:paraId="6C589658">
                  <w:pPr>
                    <w:widowControl/>
                    <w:jc w:val="center"/>
                    <w:rPr>
                      <w:kern w:val="0"/>
                      <w:sz w:val="18"/>
                      <w:szCs w:val="18"/>
                    </w:rPr>
                  </w:pPr>
                  <w:r>
                    <w:rPr>
                      <w:kern w:val="0"/>
                      <w:sz w:val="18"/>
                      <w:szCs w:val="18"/>
                    </w:rPr>
                    <w:t>COD</w:t>
                  </w:r>
                </w:p>
              </w:tc>
              <w:tc>
                <w:tcPr>
                  <w:tcW w:w="487" w:type="pct"/>
                  <w:vAlign w:val="center"/>
                </w:tcPr>
                <w:p w14:paraId="1D8CA7F4">
                  <w:pPr>
                    <w:widowControl/>
                    <w:jc w:val="center"/>
                    <w:rPr>
                      <w:kern w:val="0"/>
                      <w:sz w:val="18"/>
                      <w:szCs w:val="18"/>
                    </w:rPr>
                  </w:pPr>
                  <w:r>
                    <w:rPr>
                      <w:kern w:val="0"/>
                      <w:sz w:val="18"/>
                      <w:szCs w:val="18"/>
                    </w:rPr>
                    <w:t>400</w:t>
                  </w:r>
                </w:p>
              </w:tc>
              <w:tc>
                <w:tcPr>
                  <w:tcW w:w="470" w:type="pct"/>
                  <w:noWrap/>
                  <w:vAlign w:val="center"/>
                </w:tcPr>
                <w:p w14:paraId="38140A64">
                  <w:pPr>
                    <w:widowControl/>
                    <w:jc w:val="center"/>
                    <w:rPr>
                      <w:kern w:val="0"/>
                      <w:sz w:val="18"/>
                      <w:szCs w:val="18"/>
                    </w:rPr>
                  </w:pPr>
                  <w:r>
                    <w:rPr>
                      <w:rFonts w:hint="eastAsia"/>
                      <w:kern w:val="0"/>
                      <w:sz w:val="18"/>
                      <w:szCs w:val="18"/>
                    </w:rPr>
                    <w:t>0.040</w:t>
                  </w:r>
                </w:p>
              </w:tc>
              <w:tc>
                <w:tcPr>
                  <w:tcW w:w="465" w:type="pct"/>
                  <w:vMerge w:val="restart"/>
                  <w:noWrap/>
                  <w:vAlign w:val="center"/>
                </w:tcPr>
                <w:p w14:paraId="73DF747E">
                  <w:pPr>
                    <w:widowControl/>
                    <w:jc w:val="center"/>
                    <w:rPr>
                      <w:kern w:val="0"/>
                      <w:sz w:val="18"/>
                      <w:szCs w:val="18"/>
                    </w:rPr>
                  </w:pPr>
                  <w:r>
                    <w:rPr>
                      <w:kern w:val="0"/>
                      <w:sz w:val="18"/>
                      <w:szCs w:val="18"/>
                    </w:rPr>
                    <w:t>化粪池</w:t>
                  </w:r>
                </w:p>
              </w:tc>
              <w:tc>
                <w:tcPr>
                  <w:tcW w:w="537" w:type="pct"/>
                  <w:vAlign w:val="center"/>
                </w:tcPr>
                <w:p w14:paraId="5E8501A1">
                  <w:pPr>
                    <w:widowControl/>
                    <w:jc w:val="center"/>
                    <w:rPr>
                      <w:kern w:val="0"/>
                      <w:sz w:val="18"/>
                      <w:szCs w:val="18"/>
                    </w:rPr>
                  </w:pPr>
                  <w:r>
                    <w:rPr>
                      <w:kern w:val="0"/>
                      <w:sz w:val="18"/>
                      <w:szCs w:val="18"/>
                    </w:rPr>
                    <w:t>COD</w:t>
                  </w:r>
                </w:p>
              </w:tc>
              <w:tc>
                <w:tcPr>
                  <w:tcW w:w="486" w:type="pct"/>
                  <w:noWrap/>
                  <w:vAlign w:val="center"/>
                </w:tcPr>
                <w:p w14:paraId="2F9C6112">
                  <w:pPr>
                    <w:widowControl/>
                    <w:jc w:val="center"/>
                    <w:rPr>
                      <w:kern w:val="0"/>
                      <w:sz w:val="18"/>
                      <w:szCs w:val="18"/>
                    </w:rPr>
                  </w:pPr>
                  <w:r>
                    <w:rPr>
                      <w:kern w:val="0"/>
                      <w:sz w:val="18"/>
                      <w:szCs w:val="18"/>
                    </w:rPr>
                    <w:t>350</w:t>
                  </w:r>
                </w:p>
              </w:tc>
              <w:tc>
                <w:tcPr>
                  <w:tcW w:w="470" w:type="pct"/>
                  <w:noWrap/>
                  <w:vAlign w:val="center"/>
                </w:tcPr>
                <w:p w14:paraId="1D44B261">
                  <w:pPr>
                    <w:widowControl/>
                    <w:jc w:val="center"/>
                    <w:rPr>
                      <w:kern w:val="0"/>
                      <w:sz w:val="18"/>
                      <w:szCs w:val="18"/>
                    </w:rPr>
                  </w:pPr>
                  <w:r>
                    <w:rPr>
                      <w:rFonts w:hint="eastAsia"/>
                      <w:kern w:val="0"/>
                      <w:sz w:val="18"/>
                      <w:szCs w:val="18"/>
                    </w:rPr>
                    <w:t>0.035</w:t>
                  </w:r>
                </w:p>
              </w:tc>
              <w:tc>
                <w:tcPr>
                  <w:tcW w:w="634" w:type="pct"/>
                  <w:vMerge w:val="restart"/>
                  <w:vAlign w:val="center"/>
                </w:tcPr>
                <w:p w14:paraId="6F7BE79C">
                  <w:pPr>
                    <w:widowControl/>
                    <w:jc w:val="center"/>
                    <w:rPr>
                      <w:kern w:val="0"/>
                      <w:sz w:val="18"/>
                      <w:szCs w:val="18"/>
                    </w:rPr>
                  </w:pPr>
                  <w:r>
                    <w:rPr>
                      <w:rFonts w:hint="eastAsia"/>
                      <w:kern w:val="0"/>
                      <w:sz w:val="18"/>
                      <w:szCs w:val="18"/>
                    </w:rPr>
                    <w:t>海安李堡滇池水务有限公司</w:t>
                  </w:r>
                </w:p>
              </w:tc>
            </w:tr>
            <w:tr w14:paraId="467B3F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437" w:type="pct"/>
                  <w:vMerge w:val="continue"/>
                  <w:vAlign w:val="center"/>
                </w:tcPr>
                <w:p w14:paraId="3847C465">
                  <w:pPr>
                    <w:widowControl/>
                    <w:jc w:val="center"/>
                    <w:rPr>
                      <w:kern w:val="0"/>
                      <w:sz w:val="18"/>
                      <w:szCs w:val="18"/>
                    </w:rPr>
                  </w:pPr>
                </w:p>
              </w:tc>
              <w:tc>
                <w:tcPr>
                  <w:tcW w:w="470" w:type="pct"/>
                  <w:vMerge w:val="continue"/>
                  <w:vAlign w:val="center"/>
                </w:tcPr>
                <w:p w14:paraId="3446376D">
                  <w:pPr>
                    <w:widowControl/>
                    <w:jc w:val="center"/>
                    <w:rPr>
                      <w:kern w:val="0"/>
                      <w:sz w:val="18"/>
                      <w:szCs w:val="18"/>
                    </w:rPr>
                  </w:pPr>
                </w:p>
              </w:tc>
              <w:tc>
                <w:tcPr>
                  <w:tcW w:w="538" w:type="pct"/>
                  <w:vAlign w:val="center"/>
                </w:tcPr>
                <w:p w14:paraId="04C9172F">
                  <w:pPr>
                    <w:widowControl/>
                    <w:jc w:val="center"/>
                    <w:rPr>
                      <w:kern w:val="0"/>
                      <w:sz w:val="18"/>
                      <w:szCs w:val="18"/>
                    </w:rPr>
                  </w:pPr>
                  <w:r>
                    <w:rPr>
                      <w:kern w:val="0"/>
                      <w:sz w:val="18"/>
                      <w:szCs w:val="18"/>
                    </w:rPr>
                    <w:t>SS</w:t>
                  </w:r>
                </w:p>
              </w:tc>
              <w:tc>
                <w:tcPr>
                  <w:tcW w:w="487" w:type="pct"/>
                  <w:vAlign w:val="center"/>
                </w:tcPr>
                <w:p w14:paraId="318B1D99">
                  <w:pPr>
                    <w:widowControl/>
                    <w:jc w:val="center"/>
                    <w:rPr>
                      <w:kern w:val="0"/>
                      <w:sz w:val="18"/>
                      <w:szCs w:val="18"/>
                    </w:rPr>
                  </w:pPr>
                  <w:r>
                    <w:rPr>
                      <w:kern w:val="0"/>
                      <w:sz w:val="18"/>
                      <w:szCs w:val="18"/>
                    </w:rPr>
                    <w:t>350</w:t>
                  </w:r>
                </w:p>
              </w:tc>
              <w:tc>
                <w:tcPr>
                  <w:tcW w:w="470" w:type="pct"/>
                  <w:noWrap/>
                  <w:vAlign w:val="center"/>
                </w:tcPr>
                <w:p w14:paraId="40FB40E9">
                  <w:pPr>
                    <w:widowControl/>
                    <w:jc w:val="center"/>
                    <w:rPr>
                      <w:kern w:val="0"/>
                      <w:sz w:val="18"/>
                      <w:szCs w:val="18"/>
                    </w:rPr>
                  </w:pPr>
                  <w:r>
                    <w:rPr>
                      <w:rFonts w:hint="eastAsia"/>
                      <w:kern w:val="0"/>
                      <w:sz w:val="18"/>
                      <w:szCs w:val="18"/>
                    </w:rPr>
                    <w:t>0.035</w:t>
                  </w:r>
                </w:p>
              </w:tc>
              <w:tc>
                <w:tcPr>
                  <w:tcW w:w="465" w:type="pct"/>
                  <w:vMerge w:val="continue"/>
                  <w:vAlign w:val="center"/>
                </w:tcPr>
                <w:p w14:paraId="01F60BAE">
                  <w:pPr>
                    <w:widowControl/>
                    <w:jc w:val="center"/>
                    <w:rPr>
                      <w:kern w:val="0"/>
                      <w:sz w:val="18"/>
                      <w:szCs w:val="18"/>
                    </w:rPr>
                  </w:pPr>
                </w:p>
              </w:tc>
              <w:tc>
                <w:tcPr>
                  <w:tcW w:w="537" w:type="pct"/>
                  <w:vAlign w:val="center"/>
                </w:tcPr>
                <w:p w14:paraId="572ACE4D">
                  <w:pPr>
                    <w:widowControl/>
                    <w:jc w:val="center"/>
                    <w:rPr>
                      <w:kern w:val="0"/>
                      <w:sz w:val="18"/>
                      <w:szCs w:val="18"/>
                    </w:rPr>
                  </w:pPr>
                  <w:r>
                    <w:rPr>
                      <w:kern w:val="0"/>
                      <w:sz w:val="18"/>
                      <w:szCs w:val="18"/>
                    </w:rPr>
                    <w:t>SS</w:t>
                  </w:r>
                </w:p>
              </w:tc>
              <w:tc>
                <w:tcPr>
                  <w:tcW w:w="486" w:type="pct"/>
                  <w:noWrap/>
                  <w:vAlign w:val="center"/>
                </w:tcPr>
                <w:p w14:paraId="203953BE">
                  <w:pPr>
                    <w:widowControl/>
                    <w:jc w:val="center"/>
                    <w:rPr>
                      <w:kern w:val="0"/>
                      <w:sz w:val="18"/>
                      <w:szCs w:val="18"/>
                    </w:rPr>
                  </w:pPr>
                  <w:r>
                    <w:rPr>
                      <w:kern w:val="0"/>
                      <w:sz w:val="18"/>
                      <w:szCs w:val="18"/>
                    </w:rPr>
                    <w:t>200</w:t>
                  </w:r>
                </w:p>
              </w:tc>
              <w:tc>
                <w:tcPr>
                  <w:tcW w:w="470" w:type="pct"/>
                  <w:noWrap/>
                  <w:vAlign w:val="center"/>
                </w:tcPr>
                <w:p w14:paraId="524E5C7D">
                  <w:pPr>
                    <w:widowControl/>
                    <w:jc w:val="center"/>
                    <w:rPr>
                      <w:kern w:val="0"/>
                      <w:sz w:val="18"/>
                      <w:szCs w:val="18"/>
                    </w:rPr>
                  </w:pPr>
                  <w:r>
                    <w:rPr>
                      <w:rFonts w:hint="eastAsia"/>
                      <w:kern w:val="0"/>
                      <w:sz w:val="18"/>
                      <w:szCs w:val="18"/>
                    </w:rPr>
                    <w:t>0.020</w:t>
                  </w:r>
                </w:p>
              </w:tc>
              <w:tc>
                <w:tcPr>
                  <w:tcW w:w="634" w:type="pct"/>
                  <w:vMerge w:val="continue"/>
                  <w:vAlign w:val="center"/>
                </w:tcPr>
                <w:p w14:paraId="233F17A8">
                  <w:pPr>
                    <w:widowControl/>
                    <w:jc w:val="center"/>
                    <w:rPr>
                      <w:kern w:val="0"/>
                      <w:sz w:val="18"/>
                      <w:szCs w:val="18"/>
                    </w:rPr>
                  </w:pPr>
                </w:p>
              </w:tc>
            </w:tr>
            <w:tr w14:paraId="7017E4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437" w:type="pct"/>
                  <w:vMerge w:val="continue"/>
                  <w:vAlign w:val="center"/>
                </w:tcPr>
                <w:p w14:paraId="01367570">
                  <w:pPr>
                    <w:widowControl/>
                    <w:jc w:val="center"/>
                    <w:rPr>
                      <w:kern w:val="0"/>
                      <w:sz w:val="18"/>
                      <w:szCs w:val="18"/>
                    </w:rPr>
                  </w:pPr>
                </w:p>
              </w:tc>
              <w:tc>
                <w:tcPr>
                  <w:tcW w:w="470" w:type="pct"/>
                  <w:vMerge w:val="continue"/>
                  <w:vAlign w:val="center"/>
                </w:tcPr>
                <w:p w14:paraId="2143EE7B">
                  <w:pPr>
                    <w:widowControl/>
                    <w:jc w:val="center"/>
                    <w:rPr>
                      <w:kern w:val="0"/>
                      <w:sz w:val="18"/>
                      <w:szCs w:val="18"/>
                    </w:rPr>
                  </w:pPr>
                </w:p>
              </w:tc>
              <w:tc>
                <w:tcPr>
                  <w:tcW w:w="538" w:type="pct"/>
                  <w:vAlign w:val="center"/>
                </w:tcPr>
                <w:p w14:paraId="46209F47">
                  <w:pPr>
                    <w:widowControl/>
                    <w:jc w:val="center"/>
                    <w:rPr>
                      <w:kern w:val="0"/>
                      <w:sz w:val="18"/>
                      <w:szCs w:val="18"/>
                    </w:rPr>
                  </w:pPr>
                  <w:r>
                    <w:rPr>
                      <w:kern w:val="0"/>
                      <w:sz w:val="18"/>
                      <w:szCs w:val="18"/>
                    </w:rPr>
                    <w:t>NH</w:t>
                  </w:r>
                  <w:r>
                    <w:rPr>
                      <w:kern w:val="0"/>
                      <w:sz w:val="18"/>
                      <w:szCs w:val="18"/>
                      <w:vertAlign w:val="subscript"/>
                    </w:rPr>
                    <w:t>3</w:t>
                  </w:r>
                  <w:r>
                    <w:rPr>
                      <w:kern w:val="0"/>
                      <w:sz w:val="18"/>
                      <w:szCs w:val="18"/>
                    </w:rPr>
                    <w:t>-N</w:t>
                  </w:r>
                </w:p>
              </w:tc>
              <w:tc>
                <w:tcPr>
                  <w:tcW w:w="487" w:type="pct"/>
                  <w:vAlign w:val="center"/>
                </w:tcPr>
                <w:p w14:paraId="6C8B4DC8">
                  <w:pPr>
                    <w:widowControl/>
                    <w:jc w:val="center"/>
                    <w:rPr>
                      <w:kern w:val="0"/>
                      <w:sz w:val="18"/>
                      <w:szCs w:val="18"/>
                    </w:rPr>
                  </w:pPr>
                  <w:r>
                    <w:rPr>
                      <w:kern w:val="0"/>
                      <w:sz w:val="18"/>
                      <w:szCs w:val="18"/>
                    </w:rPr>
                    <w:t>25</w:t>
                  </w:r>
                </w:p>
              </w:tc>
              <w:tc>
                <w:tcPr>
                  <w:tcW w:w="470" w:type="pct"/>
                  <w:noWrap/>
                  <w:vAlign w:val="center"/>
                </w:tcPr>
                <w:p w14:paraId="3733D1DD">
                  <w:pPr>
                    <w:widowControl/>
                    <w:jc w:val="center"/>
                    <w:rPr>
                      <w:kern w:val="0"/>
                      <w:sz w:val="18"/>
                      <w:szCs w:val="18"/>
                    </w:rPr>
                  </w:pPr>
                  <w:r>
                    <w:rPr>
                      <w:rFonts w:hint="eastAsia"/>
                      <w:kern w:val="0"/>
                      <w:sz w:val="18"/>
                      <w:szCs w:val="18"/>
                    </w:rPr>
                    <w:t>0.002</w:t>
                  </w:r>
                </w:p>
              </w:tc>
              <w:tc>
                <w:tcPr>
                  <w:tcW w:w="465" w:type="pct"/>
                  <w:vMerge w:val="continue"/>
                  <w:vAlign w:val="center"/>
                </w:tcPr>
                <w:p w14:paraId="5A06EDD1">
                  <w:pPr>
                    <w:widowControl/>
                    <w:jc w:val="center"/>
                    <w:rPr>
                      <w:kern w:val="0"/>
                      <w:sz w:val="18"/>
                      <w:szCs w:val="18"/>
                    </w:rPr>
                  </w:pPr>
                </w:p>
              </w:tc>
              <w:tc>
                <w:tcPr>
                  <w:tcW w:w="537" w:type="pct"/>
                  <w:vAlign w:val="center"/>
                </w:tcPr>
                <w:p w14:paraId="56DE3F4B">
                  <w:pPr>
                    <w:widowControl/>
                    <w:jc w:val="center"/>
                    <w:rPr>
                      <w:kern w:val="0"/>
                      <w:sz w:val="18"/>
                      <w:szCs w:val="18"/>
                    </w:rPr>
                  </w:pPr>
                  <w:r>
                    <w:rPr>
                      <w:kern w:val="0"/>
                      <w:sz w:val="18"/>
                      <w:szCs w:val="18"/>
                    </w:rPr>
                    <w:t>NH</w:t>
                  </w:r>
                  <w:r>
                    <w:rPr>
                      <w:kern w:val="0"/>
                      <w:sz w:val="18"/>
                      <w:szCs w:val="18"/>
                      <w:vertAlign w:val="subscript"/>
                    </w:rPr>
                    <w:t>3</w:t>
                  </w:r>
                  <w:r>
                    <w:rPr>
                      <w:kern w:val="0"/>
                      <w:sz w:val="18"/>
                      <w:szCs w:val="18"/>
                    </w:rPr>
                    <w:t>-N</w:t>
                  </w:r>
                </w:p>
              </w:tc>
              <w:tc>
                <w:tcPr>
                  <w:tcW w:w="486" w:type="pct"/>
                  <w:noWrap/>
                  <w:vAlign w:val="center"/>
                </w:tcPr>
                <w:p w14:paraId="272F0E51">
                  <w:pPr>
                    <w:widowControl/>
                    <w:jc w:val="center"/>
                    <w:rPr>
                      <w:kern w:val="0"/>
                      <w:sz w:val="18"/>
                      <w:szCs w:val="18"/>
                    </w:rPr>
                  </w:pPr>
                  <w:r>
                    <w:rPr>
                      <w:kern w:val="0"/>
                      <w:sz w:val="18"/>
                      <w:szCs w:val="18"/>
                    </w:rPr>
                    <w:t>25</w:t>
                  </w:r>
                </w:p>
              </w:tc>
              <w:tc>
                <w:tcPr>
                  <w:tcW w:w="470" w:type="pct"/>
                  <w:noWrap/>
                  <w:vAlign w:val="center"/>
                </w:tcPr>
                <w:p w14:paraId="53450CBF">
                  <w:pPr>
                    <w:widowControl/>
                    <w:jc w:val="center"/>
                    <w:rPr>
                      <w:kern w:val="0"/>
                      <w:sz w:val="18"/>
                      <w:szCs w:val="18"/>
                    </w:rPr>
                  </w:pPr>
                  <w:r>
                    <w:rPr>
                      <w:rFonts w:hint="eastAsia"/>
                      <w:kern w:val="0"/>
                      <w:sz w:val="18"/>
                      <w:szCs w:val="18"/>
                    </w:rPr>
                    <w:t>0.002</w:t>
                  </w:r>
                </w:p>
              </w:tc>
              <w:tc>
                <w:tcPr>
                  <w:tcW w:w="634" w:type="pct"/>
                  <w:vMerge w:val="continue"/>
                  <w:vAlign w:val="center"/>
                </w:tcPr>
                <w:p w14:paraId="1B06D4A1">
                  <w:pPr>
                    <w:widowControl/>
                    <w:jc w:val="center"/>
                    <w:rPr>
                      <w:kern w:val="0"/>
                      <w:sz w:val="18"/>
                      <w:szCs w:val="18"/>
                    </w:rPr>
                  </w:pPr>
                </w:p>
              </w:tc>
            </w:tr>
            <w:tr w14:paraId="35238C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437" w:type="pct"/>
                  <w:vMerge w:val="continue"/>
                  <w:vAlign w:val="center"/>
                </w:tcPr>
                <w:p w14:paraId="5FB07A49">
                  <w:pPr>
                    <w:widowControl/>
                    <w:jc w:val="center"/>
                    <w:rPr>
                      <w:kern w:val="0"/>
                      <w:sz w:val="18"/>
                      <w:szCs w:val="18"/>
                    </w:rPr>
                  </w:pPr>
                </w:p>
              </w:tc>
              <w:tc>
                <w:tcPr>
                  <w:tcW w:w="470" w:type="pct"/>
                  <w:vMerge w:val="continue"/>
                  <w:vAlign w:val="center"/>
                </w:tcPr>
                <w:p w14:paraId="10503430">
                  <w:pPr>
                    <w:widowControl/>
                    <w:jc w:val="center"/>
                    <w:rPr>
                      <w:kern w:val="0"/>
                      <w:sz w:val="18"/>
                      <w:szCs w:val="18"/>
                    </w:rPr>
                  </w:pPr>
                </w:p>
              </w:tc>
              <w:tc>
                <w:tcPr>
                  <w:tcW w:w="538" w:type="pct"/>
                  <w:vAlign w:val="center"/>
                </w:tcPr>
                <w:p w14:paraId="6FEEDDF7">
                  <w:pPr>
                    <w:widowControl/>
                    <w:jc w:val="center"/>
                    <w:rPr>
                      <w:kern w:val="0"/>
                      <w:sz w:val="18"/>
                      <w:szCs w:val="18"/>
                    </w:rPr>
                  </w:pPr>
                  <w:r>
                    <w:rPr>
                      <w:kern w:val="0"/>
                      <w:sz w:val="18"/>
                      <w:szCs w:val="18"/>
                    </w:rPr>
                    <w:t>TN</w:t>
                  </w:r>
                </w:p>
              </w:tc>
              <w:tc>
                <w:tcPr>
                  <w:tcW w:w="487" w:type="pct"/>
                  <w:vAlign w:val="center"/>
                </w:tcPr>
                <w:p w14:paraId="39C64657">
                  <w:pPr>
                    <w:widowControl/>
                    <w:jc w:val="center"/>
                    <w:rPr>
                      <w:kern w:val="0"/>
                      <w:sz w:val="18"/>
                      <w:szCs w:val="18"/>
                    </w:rPr>
                  </w:pPr>
                  <w:r>
                    <w:rPr>
                      <w:kern w:val="0"/>
                      <w:sz w:val="18"/>
                      <w:szCs w:val="18"/>
                    </w:rPr>
                    <w:t>35</w:t>
                  </w:r>
                </w:p>
              </w:tc>
              <w:tc>
                <w:tcPr>
                  <w:tcW w:w="470" w:type="pct"/>
                  <w:noWrap/>
                  <w:vAlign w:val="center"/>
                </w:tcPr>
                <w:p w14:paraId="068549F5">
                  <w:pPr>
                    <w:widowControl/>
                    <w:jc w:val="center"/>
                    <w:rPr>
                      <w:kern w:val="0"/>
                      <w:sz w:val="18"/>
                      <w:szCs w:val="18"/>
                    </w:rPr>
                  </w:pPr>
                  <w:r>
                    <w:rPr>
                      <w:rFonts w:hint="eastAsia"/>
                      <w:kern w:val="0"/>
                      <w:sz w:val="18"/>
                      <w:szCs w:val="18"/>
                    </w:rPr>
                    <w:t>0.004</w:t>
                  </w:r>
                </w:p>
              </w:tc>
              <w:tc>
                <w:tcPr>
                  <w:tcW w:w="465" w:type="pct"/>
                  <w:vMerge w:val="continue"/>
                  <w:vAlign w:val="center"/>
                </w:tcPr>
                <w:p w14:paraId="4272E105">
                  <w:pPr>
                    <w:widowControl/>
                    <w:jc w:val="center"/>
                    <w:rPr>
                      <w:kern w:val="0"/>
                      <w:sz w:val="18"/>
                      <w:szCs w:val="18"/>
                    </w:rPr>
                  </w:pPr>
                </w:p>
              </w:tc>
              <w:tc>
                <w:tcPr>
                  <w:tcW w:w="537" w:type="pct"/>
                  <w:vAlign w:val="center"/>
                </w:tcPr>
                <w:p w14:paraId="4C2F4C51">
                  <w:pPr>
                    <w:widowControl/>
                    <w:jc w:val="center"/>
                    <w:rPr>
                      <w:kern w:val="0"/>
                      <w:sz w:val="18"/>
                      <w:szCs w:val="18"/>
                    </w:rPr>
                  </w:pPr>
                  <w:r>
                    <w:rPr>
                      <w:kern w:val="0"/>
                      <w:sz w:val="18"/>
                      <w:szCs w:val="18"/>
                    </w:rPr>
                    <w:t>TN</w:t>
                  </w:r>
                </w:p>
              </w:tc>
              <w:tc>
                <w:tcPr>
                  <w:tcW w:w="486" w:type="pct"/>
                  <w:noWrap/>
                  <w:vAlign w:val="center"/>
                </w:tcPr>
                <w:p w14:paraId="4D8F8E8D">
                  <w:pPr>
                    <w:widowControl/>
                    <w:jc w:val="center"/>
                    <w:rPr>
                      <w:kern w:val="0"/>
                      <w:sz w:val="18"/>
                      <w:szCs w:val="18"/>
                    </w:rPr>
                  </w:pPr>
                  <w:r>
                    <w:rPr>
                      <w:kern w:val="0"/>
                      <w:sz w:val="18"/>
                      <w:szCs w:val="18"/>
                    </w:rPr>
                    <w:t>35</w:t>
                  </w:r>
                </w:p>
              </w:tc>
              <w:tc>
                <w:tcPr>
                  <w:tcW w:w="470" w:type="pct"/>
                  <w:noWrap/>
                  <w:vAlign w:val="center"/>
                </w:tcPr>
                <w:p w14:paraId="175C89DF">
                  <w:pPr>
                    <w:widowControl/>
                    <w:jc w:val="center"/>
                    <w:rPr>
                      <w:kern w:val="0"/>
                      <w:sz w:val="18"/>
                      <w:szCs w:val="18"/>
                    </w:rPr>
                  </w:pPr>
                  <w:r>
                    <w:rPr>
                      <w:rFonts w:hint="eastAsia"/>
                      <w:kern w:val="0"/>
                      <w:sz w:val="18"/>
                      <w:szCs w:val="18"/>
                    </w:rPr>
                    <w:t>0.004</w:t>
                  </w:r>
                </w:p>
              </w:tc>
              <w:tc>
                <w:tcPr>
                  <w:tcW w:w="634" w:type="pct"/>
                  <w:vMerge w:val="continue"/>
                  <w:vAlign w:val="center"/>
                </w:tcPr>
                <w:p w14:paraId="5421F0E6">
                  <w:pPr>
                    <w:widowControl/>
                    <w:jc w:val="center"/>
                    <w:rPr>
                      <w:kern w:val="0"/>
                      <w:sz w:val="18"/>
                      <w:szCs w:val="18"/>
                    </w:rPr>
                  </w:pPr>
                </w:p>
              </w:tc>
            </w:tr>
            <w:tr w14:paraId="2A0531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437" w:type="pct"/>
                  <w:vMerge w:val="continue"/>
                  <w:vAlign w:val="center"/>
                </w:tcPr>
                <w:p w14:paraId="2FE27D73">
                  <w:pPr>
                    <w:widowControl/>
                    <w:jc w:val="center"/>
                    <w:rPr>
                      <w:kern w:val="0"/>
                      <w:sz w:val="18"/>
                      <w:szCs w:val="18"/>
                    </w:rPr>
                  </w:pPr>
                </w:p>
              </w:tc>
              <w:tc>
                <w:tcPr>
                  <w:tcW w:w="470" w:type="pct"/>
                  <w:vMerge w:val="continue"/>
                  <w:vAlign w:val="center"/>
                </w:tcPr>
                <w:p w14:paraId="1EF36957">
                  <w:pPr>
                    <w:widowControl/>
                    <w:jc w:val="center"/>
                    <w:rPr>
                      <w:kern w:val="0"/>
                      <w:sz w:val="18"/>
                      <w:szCs w:val="18"/>
                    </w:rPr>
                  </w:pPr>
                </w:p>
              </w:tc>
              <w:tc>
                <w:tcPr>
                  <w:tcW w:w="538" w:type="pct"/>
                  <w:vAlign w:val="center"/>
                </w:tcPr>
                <w:p w14:paraId="7B1CE9CC">
                  <w:pPr>
                    <w:widowControl/>
                    <w:jc w:val="center"/>
                    <w:rPr>
                      <w:kern w:val="0"/>
                      <w:sz w:val="18"/>
                      <w:szCs w:val="18"/>
                    </w:rPr>
                  </w:pPr>
                  <w:r>
                    <w:rPr>
                      <w:kern w:val="0"/>
                      <w:sz w:val="18"/>
                      <w:szCs w:val="18"/>
                    </w:rPr>
                    <w:t>TP</w:t>
                  </w:r>
                </w:p>
              </w:tc>
              <w:tc>
                <w:tcPr>
                  <w:tcW w:w="487" w:type="pct"/>
                  <w:vAlign w:val="center"/>
                </w:tcPr>
                <w:p w14:paraId="1F4223FC">
                  <w:pPr>
                    <w:widowControl/>
                    <w:jc w:val="center"/>
                    <w:rPr>
                      <w:kern w:val="0"/>
                      <w:sz w:val="18"/>
                      <w:szCs w:val="18"/>
                    </w:rPr>
                  </w:pPr>
                  <w:r>
                    <w:rPr>
                      <w:kern w:val="0"/>
                      <w:sz w:val="18"/>
                      <w:szCs w:val="18"/>
                    </w:rPr>
                    <w:t>4</w:t>
                  </w:r>
                </w:p>
              </w:tc>
              <w:tc>
                <w:tcPr>
                  <w:tcW w:w="470" w:type="pct"/>
                  <w:noWrap/>
                  <w:vAlign w:val="center"/>
                </w:tcPr>
                <w:p w14:paraId="476B2B2D">
                  <w:pPr>
                    <w:widowControl/>
                    <w:jc w:val="center"/>
                    <w:rPr>
                      <w:kern w:val="0"/>
                      <w:sz w:val="18"/>
                      <w:szCs w:val="18"/>
                    </w:rPr>
                  </w:pPr>
                  <w:r>
                    <w:rPr>
                      <w:rFonts w:hint="eastAsia"/>
                      <w:kern w:val="0"/>
                      <w:sz w:val="18"/>
                      <w:szCs w:val="18"/>
                    </w:rPr>
                    <w:t>0.0004</w:t>
                  </w:r>
                </w:p>
              </w:tc>
              <w:tc>
                <w:tcPr>
                  <w:tcW w:w="465" w:type="pct"/>
                  <w:vMerge w:val="continue"/>
                  <w:vAlign w:val="center"/>
                </w:tcPr>
                <w:p w14:paraId="756432C3">
                  <w:pPr>
                    <w:widowControl/>
                    <w:jc w:val="center"/>
                    <w:rPr>
                      <w:kern w:val="0"/>
                      <w:sz w:val="18"/>
                      <w:szCs w:val="18"/>
                    </w:rPr>
                  </w:pPr>
                </w:p>
              </w:tc>
              <w:tc>
                <w:tcPr>
                  <w:tcW w:w="537" w:type="pct"/>
                  <w:vAlign w:val="center"/>
                </w:tcPr>
                <w:p w14:paraId="1FFC65BE">
                  <w:pPr>
                    <w:widowControl/>
                    <w:jc w:val="center"/>
                    <w:rPr>
                      <w:kern w:val="0"/>
                      <w:sz w:val="18"/>
                      <w:szCs w:val="18"/>
                    </w:rPr>
                  </w:pPr>
                  <w:r>
                    <w:rPr>
                      <w:kern w:val="0"/>
                      <w:sz w:val="18"/>
                      <w:szCs w:val="18"/>
                    </w:rPr>
                    <w:t>TP</w:t>
                  </w:r>
                </w:p>
              </w:tc>
              <w:tc>
                <w:tcPr>
                  <w:tcW w:w="486" w:type="pct"/>
                  <w:noWrap/>
                  <w:vAlign w:val="center"/>
                </w:tcPr>
                <w:p w14:paraId="30D7EA17">
                  <w:pPr>
                    <w:widowControl/>
                    <w:jc w:val="center"/>
                    <w:rPr>
                      <w:kern w:val="0"/>
                      <w:sz w:val="18"/>
                      <w:szCs w:val="18"/>
                    </w:rPr>
                  </w:pPr>
                  <w:r>
                    <w:rPr>
                      <w:kern w:val="0"/>
                      <w:sz w:val="18"/>
                      <w:szCs w:val="18"/>
                    </w:rPr>
                    <w:t>4</w:t>
                  </w:r>
                </w:p>
              </w:tc>
              <w:tc>
                <w:tcPr>
                  <w:tcW w:w="470" w:type="pct"/>
                  <w:noWrap/>
                  <w:vAlign w:val="center"/>
                </w:tcPr>
                <w:p w14:paraId="663C3371">
                  <w:pPr>
                    <w:widowControl/>
                    <w:jc w:val="center"/>
                    <w:rPr>
                      <w:kern w:val="0"/>
                      <w:sz w:val="18"/>
                      <w:szCs w:val="18"/>
                    </w:rPr>
                  </w:pPr>
                  <w:r>
                    <w:rPr>
                      <w:rFonts w:hint="eastAsia"/>
                      <w:kern w:val="0"/>
                      <w:sz w:val="18"/>
                      <w:szCs w:val="18"/>
                    </w:rPr>
                    <w:t>0.0004</w:t>
                  </w:r>
                </w:p>
              </w:tc>
              <w:tc>
                <w:tcPr>
                  <w:tcW w:w="634" w:type="pct"/>
                  <w:vMerge w:val="continue"/>
                  <w:vAlign w:val="center"/>
                </w:tcPr>
                <w:p w14:paraId="2E8E7402">
                  <w:pPr>
                    <w:widowControl/>
                    <w:jc w:val="center"/>
                    <w:rPr>
                      <w:kern w:val="0"/>
                      <w:sz w:val="18"/>
                      <w:szCs w:val="18"/>
                    </w:rPr>
                  </w:pPr>
                </w:p>
              </w:tc>
            </w:tr>
            <w:tr w14:paraId="3DDC08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437" w:type="pct"/>
                  <w:vMerge w:val="restart"/>
                  <w:vAlign w:val="center"/>
                </w:tcPr>
                <w:p w14:paraId="5E8B870C">
                  <w:pPr>
                    <w:widowControl/>
                    <w:jc w:val="center"/>
                    <w:rPr>
                      <w:rFonts w:hint="eastAsia" w:eastAsia="宋体"/>
                      <w:kern w:val="0"/>
                      <w:sz w:val="18"/>
                      <w:szCs w:val="18"/>
                      <w:lang w:val="en-US" w:eastAsia="zh-CN"/>
                    </w:rPr>
                  </w:pPr>
                  <w:r>
                    <w:rPr>
                      <w:rFonts w:hint="eastAsia"/>
                      <w:kern w:val="0"/>
                      <w:sz w:val="18"/>
                      <w:szCs w:val="18"/>
                      <w:lang w:val="en-US" w:eastAsia="zh-CN"/>
                    </w:rPr>
                    <w:t>后道清洗废水</w:t>
                  </w:r>
                </w:p>
              </w:tc>
              <w:tc>
                <w:tcPr>
                  <w:tcW w:w="470" w:type="pct"/>
                  <w:vMerge w:val="restart"/>
                  <w:vAlign w:val="center"/>
                </w:tcPr>
                <w:p w14:paraId="5B7AB719">
                  <w:pPr>
                    <w:widowControl/>
                    <w:jc w:val="center"/>
                    <w:rPr>
                      <w:rFonts w:hint="eastAsia" w:eastAsia="宋体"/>
                      <w:kern w:val="0"/>
                      <w:sz w:val="18"/>
                      <w:szCs w:val="18"/>
                      <w:lang w:val="en-US" w:eastAsia="zh-CN"/>
                    </w:rPr>
                  </w:pPr>
                  <w:r>
                    <w:rPr>
                      <w:rFonts w:hint="eastAsia"/>
                      <w:kern w:val="0"/>
                      <w:sz w:val="18"/>
                      <w:szCs w:val="18"/>
                      <w:lang w:val="en-US" w:eastAsia="zh-CN"/>
                    </w:rPr>
                    <w:t>6</w:t>
                  </w:r>
                </w:p>
              </w:tc>
              <w:tc>
                <w:tcPr>
                  <w:tcW w:w="538" w:type="pct"/>
                  <w:shd w:val="clear" w:color="auto" w:fill="auto"/>
                  <w:vAlign w:val="center"/>
                </w:tcPr>
                <w:p w14:paraId="5ED7985D">
                  <w:pPr>
                    <w:widowControl/>
                    <w:jc w:val="center"/>
                    <w:rPr>
                      <w:rFonts w:ascii="Times New Roman" w:hAnsi="Times New Roman" w:eastAsia="宋体" w:cs="Times New Roman"/>
                      <w:kern w:val="0"/>
                      <w:sz w:val="18"/>
                      <w:szCs w:val="18"/>
                      <w:lang w:val="en-US" w:eastAsia="zh-CN" w:bidi="ar-SA"/>
                    </w:rPr>
                  </w:pPr>
                  <w:r>
                    <w:rPr>
                      <w:kern w:val="0"/>
                      <w:sz w:val="18"/>
                      <w:szCs w:val="18"/>
                    </w:rPr>
                    <w:t>COD</w:t>
                  </w:r>
                </w:p>
              </w:tc>
              <w:tc>
                <w:tcPr>
                  <w:tcW w:w="487" w:type="pct"/>
                  <w:vAlign w:val="center"/>
                </w:tcPr>
                <w:p w14:paraId="5AD452E9">
                  <w:pPr>
                    <w:widowControl/>
                    <w:jc w:val="center"/>
                    <w:rPr>
                      <w:rFonts w:hint="default" w:eastAsia="宋体"/>
                      <w:kern w:val="0"/>
                      <w:sz w:val="18"/>
                      <w:szCs w:val="18"/>
                      <w:lang w:val="en-US" w:eastAsia="zh-CN"/>
                    </w:rPr>
                  </w:pPr>
                  <w:r>
                    <w:rPr>
                      <w:rFonts w:hint="eastAsia"/>
                      <w:kern w:val="0"/>
                      <w:sz w:val="18"/>
                      <w:szCs w:val="18"/>
                      <w:lang w:val="en-US" w:eastAsia="zh-CN"/>
                    </w:rPr>
                    <w:t>500</w:t>
                  </w:r>
                </w:p>
              </w:tc>
              <w:tc>
                <w:tcPr>
                  <w:tcW w:w="470" w:type="pct"/>
                  <w:noWrap/>
                  <w:vAlign w:val="center"/>
                </w:tcPr>
                <w:p w14:paraId="6E020901">
                  <w:pPr>
                    <w:widowControl/>
                    <w:jc w:val="center"/>
                    <w:rPr>
                      <w:rFonts w:hint="default" w:eastAsia="宋体"/>
                      <w:kern w:val="0"/>
                      <w:sz w:val="18"/>
                      <w:szCs w:val="18"/>
                      <w:lang w:val="en-US" w:eastAsia="zh-CN"/>
                    </w:rPr>
                  </w:pPr>
                  <w:r>
                    <w:rPr>
                      <w:rFonts w:hint="eastAsia"/>
                      <w:kern w:val="0"/>
                      <w:sz w:val="18"/>
                      <w:szCs w:val="18"/>
                      <w:lang w:val="en-US" w:eastAsia="zh-CN"/>
                    </w:rPr>
                    <w:t>0.003</w:t>
                  </w:r>
                </w:p>
              </w:tc>
              <w:tc>
                <w:tcPr>
                  <w:tcW w:w="465" w:type="pct"/>
                  <w:vMerge w:val="restart"/>
                  <w:vAlign w:val="center"/>
                </w:tcPr>
                <w:p w14:paraId="111AED60">
                  <w:pPr>
                    <w:widowControl/>
                    <w:jc w:val="center"/>
                    <w:rPr>
                      <w:rFonts w:hint="default" w:eastAsia="宋体"/>
                      <w:kern w:val="0"/>
                      <w:sz w:val="18"/>
                      <w:szCs w:val="18"/>
                      <w:lang w:val="en-US" w:eastAsia="zh-CN"/>
                    </w:rPr>
                  </w:pPr>
                  <w:r>
                    <w:rPr>
                      <w:rFonts w:hint="eastAsia"/>
                      <w:kern w:val="0"/>
                      <w:sz w:val="18"/>
                      <w:szCs w:val="18"/>
                      <w:lang w:val="en-US" w:eastAsia="zh-CN"/>
                    </w:rPr>
                    <w:t>厂区污水处理设施</w:t>
                  </w:r>
                </w:p>
              </w:tc>
              <w:tc>
                <w:tcPr>
                  <w:tcW w:w="537" w:type="pct"/>
                  <w:shd w:val="clear" w:color="auto" w:fill="auto"/>
                  <w:vAlign w:val="center"/>
                </w:tcPr>
                <w:p w14:paraId="2E7D4C14">
                  <w:pPr>
                    <w:widowControl/>
                    <w:jc w:val="center"/>
                    <w:rPr>
                      <w:rFonts w:ascii="Times New Roman" w:hAnsi="Times New Roman" w:eastAsia="宋体" w:cs="Times New Roman"/>
                      <w:kern w:val="0"/>
                      <w:sz w:val="18"/>
                      <w:szCs w:val="18"/>
                      <w:lang w:val="en-US" w:eastAsia="zh-CN" w:bidi="ar-SA"/>
                    </w:rPr>
                  </w:pPr>
                  <w:r>
                    <w:rPr>
                      <w:kern w:val="0"/>
                      <w:sz w:val="18"/>
                      <w:szCs w:val="18"/>
                    </w:rPr>
                    <w:t>COD</w:t>
                  </w:r>
                </w:p>
              </w:tc>
              <w:tc>
                <w:tcPr>
                  <w:tcW w:w="486" w:type="pct"/>
                  <w:noWrap/>
                  <w:vAlign w:val="center"/>
                </w:tcPr>
                <w:p w14:paraId="25F90BD5">
                  <w:pPr>
                    <w:widowControl/>
                    <w:jc w:val="center"/>
                    <w:rPr>
                      <w:rFonts w:hint="default" w:eastAsia="宋体"/>
                      <w:kern w:val="0"/>
                      <w:sz w:val="18"/>
                      <w:szCs w:val="18"/>
                      <w:lang w:val="en-US" w:eastAsia="zh-CN"/>
                    </w:rPr>
                  </w:pPr>
                  <w:r>
                    <w:rPr>
                      <w:rFonts w:hint="eastAsia"/>
                      <w:kern w:val="0"/>
                      <w:sz w:val="18"/>
                      <w:szCs w:val="18"/>
                      <w:lang w:val="en-US" w:eastAsia="zh-CN"/>
                    </w:rPr>
                    <w:t>400</w:t>
                  </w:r>
                </w:p>
              </w:tc>
              <w:tc>
                <w:tcPr>
                  <w:tcW w:w="470" w:type="pct"/>
                  <w:noWrap/>
                  <w:vAlign w:val="center"/>
                </w:tcPr>
                <w:p w14:paraId="1975C8B6">
                  <w:pPr>
                    <w:widowControl/>
                    <w:jc w:val="center"/>
                    <w:rPr>
                      <w:rFonts w:hint="default" w:eastAsia="宋体"/>
                      <w:kern w:val="0"/>
                      <w:sz w:val="18"/>
                      <w:szCs w:val="18"/>
                      <w:lang w:val="en-US" w:eastAsia="zh-CN"/>
                    </w:rPr>
                  </w:pPr>
                  <w:r>
                    <w:rPr>
                      <w:rFonts w:hint="eastAsia"/>
                      <w:kern w:val="0"/>
                      <w:sz w:val="18"/>
                      <w:szCs w:val="18"/>
                      <w:lang w:val="en-US" w:eastAsia="zh-CN"/>
                    </w:rPr>
                    <w:t>0.002</w:t>
                  </w:r>
                </w:p>
              </w:tc>
              <w:tc>
                <w:tcPr>
                  <w:tcW w:w="634" w:type="pct"/>
                  <w:vMerge w:val="continue"/>
                  <w:vAlign w:val="center"/>
                </w:tcPr>
                <w:p w14:paraId="59A68394">
                  <w:pPr>
                    <w:widowControl/>
                    <w:jc w:val="center"/>
                    <w:rPr>
                      <w:kern w:val="0"/>
                      <w:sz w:val="18"/>
                      <w:szCs w:val="18"/>
                    </w:rPr>
                  </w:pPr>
                </w:p>
              </w:tc>
            </w:tr>
            <w:tr w14:paraId="6FD807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437" w:type="pct"/>
                  <w:vMerge w:val="continue"/>
                  <w:vAlign w:val="center"/>
                </w:tcPr>
                <w:p w14:paraId="63AB7AAA">
                  <w:pPr>
                    <w:widowControl/>
                    <w:jc w:val="center"/>
                    <w:rPr>
                      <w:kern w:val="0"/>
                      <w:sz w:val="18"/>
                      <w:szCs w:val="18"/>
                    </w:rPr>
                  </w:pPr>
                </w:p>
              </w:tc>
              <w:tc>
                <w:tcPr>
                  <w:tcW w:w="470" w:type="pct"/>
                  <w:vMerge w:val="continue"/>
                  <w:vAlign w:val="center"/>
                </w:tcPr>
                <w:p w14:paraId="274F78D6">
                  <w:pPr>
                    <w:widowControl/>
                    <w:jc w:val="center"/>
                    <w:rPr>
                      <w:kern w:val="0"/>
                      <w:sz w:val="18"/>
                      <w:szCs w:val="18"/>
                    </w:rPr>
                  </w:pPr>
                </w:p>
              </w:tc>
              <w:tc>
                <w:tcPr>
                  <w:tcW w:w="538" w:type="pct"/>
                  <w:shd w:val="clear" w:color="auto" w:fill="auto"/>
                  <w:vAlign w:val="center"/>
                </w:tcPr>
                <w:p w14:paraId="56130AB3">
                  <w:pPr>
                    <w:widowControl/>
                    <w:jc w:val="center"/>
                    <w:rPr>
                      <w:rFonts w:ascii="Times New Roman" w:hAnsi="Times New Roman" w:eastAsia="宋体" w:cs="Times New Roman"/>
                      <w:kern w:val="0"/>
                      <w:sz w:val="18"/>
                      <w:szCs w:val="18"/>
                      <w:lang w:val="en-US" w:eastAsia="zh-CN" w:bidi="ar-SA"/>
                    </w:rPr>
                  </w:pPr>
                  <w:r>
                    <w:rPr>
                      <w:kern w:val="0"/>
                      <w:sz w:val="18"/>
                      <w:szCs w:val="18"/>
                    </w:rPr>
                    <w:t>SS</w:t>
                  </w:r>
                </w:p>
              </w:tc>
              <w:tc>
                <w:tcPr>
                  <w:tcW w:w="487" w:type="pct"/>
                  <w:vAlign w:val="center"/>
                </w:tcPr>
                <w:p w14:paraId="748D8EA8">
                  <w:pPr>
                    <w:widowControl/>
                    <w:jc w:val="center"/>
                    <w:rPr>
                      <w:rFonts w:hint="default" w:eastAsia="宋体"/>
                      <w:kern w:val="0"/>
                      <w:sz w:val="18"/>
                      <w:szCs w:val="18"/>
                      <w:lang w:val="en-US" w:eastAsia="zh-CN"/>
                    </w:rPr>
                  </w:pPr>
                  <w:r>
                    <w:rPr>
                      <w:rFonts w:hint="eastAsia"/>
                      <w:kern w:val="0"/>
                      <w:sz w:val="18"/>
                      <w:szCs w:val="18"/>
                      <w:lang w:val="en-US" w:eastAsia="zh-CN"/>
                    </w:rPr>
                    <w:t>100</w:t>
                  </w:r>
                </w:p>
              </w:tc>
              <w:tc>
                <w:tcPr>
                  <w:tcW w:w="470" w:type="pct"/>
                  <w:noWrap/>
                  <w:vAlign w:val="center"/>
                </w:tcPr>
                <w:p w14:paraId="6E393C5D">
                  <w:pPr>
                    <w:widowControl/>
                    <w:jc w:val="center"/>
                    <w:rPr>
                      <w:rFonts w:hint="default" w:eastAsia="宋体"/>
                      <w:kern w:val="0"/>
                      <w:sz w:val="18"/>
                      <w:szCs w:val="18"/>
                      <w:lang w:val="en-US" w:eastAsia="zh-CN"/>
                    </w:rPr>
                  </w:pPr>
                  <w:r>
                    <w:rPr>
                      <w:rFonts w:hint="eastAsia"/>
                      <w:kern w:val="0"/>
                      <w:sz w:val="18"/>
                      <w:szCs w:val="18"/>
                      <w:lang w:val="en-US" w:eastAsia="zh-CN"/>
                    </w:rPr>
                    <w:t>0.0006</w:t>
                  </w:r>
                </w:p>
              </w:tc>
              <w:tc>
                <w:tcPr>
                  <w:tcW w:w="465" w:type="pct"/>
                  <w:vMerge w:val="continue"/>
                  <w:vAlign w:val="center"/>
                </w:tcPr>
                <w:p w14:paraId="14017B68">
                  <w:pPr>
                    <w:widowControl/>
                    <w:jc w:val="center"/>
                    <w:rPr>
                      <w:kern w:val="0"/>
                      <w:sz w:val="18"/>
                      <w:szCs w:val="18"/>
                    </w:rPr>
                  </w:pPr>
                </w:p>
              </w:tc>
              <w:tc>
                <w:tcPr>
                  <w:tcW w:w="537" w:type="pct"/>
                  <w:shd w:val="clear" w:color="auto" w:fill="auto"/>
                  <w:vAlign w:val="center"/>
                </w:tcPr>
                <w:p w14:paraId="3F99043B">
                  <w:pPr>
                    <w:widowControl/>
                    <w:jc w:val="center"/>
                    <w:rPr>
                      <w:rFonts w:ascii="Times New Roman" w:hAnsi="Times New Roman" w:eastAsia="宋体" w:cs="Times New Roman"/>
                      <w:kern w:val="0"/>
                      <w:sz w:val="18"/>
                      <w:szCs w:val="18"/>
                      <w:lang w:val="en-US" w:eastAsia="zh-CN" w:bidi="ar-SA"/>
                    </w:rPr>
                  </w:pPr>
                  <w:r>
                    <w:rPr>
                      <w:kern w:val="0"/>
                      <w:sz w:val="18"/>
                      <w:szCs w:val="18"/>
                    </w:rPr>
                    <w:t>SS</w:t>
                  </w:r>
                </w:p>
              </w:tc>
              <w:tc>
                <w:tcPr>
                  <w:tcW w:w="486" w:type="pct"/>
                  <w:noWrap/>
                  <w:vAlign w:val="center"/>
                </w:tcPr>
                <w:p w14:paraId="0440CECF">
                  <w:pPr>
                    <w:widowControl/>
                    <w:jc w:val="center"/>
                    <w:rPr>
                      <w:rFonts w:hint="default" w:eastAsia="宋体"/>
                      <w:kern w:val="0"/>
                      <w:sz w:val="18"/>
                      <w:szCs w:val="18"/>
                      <w:lang w:val="en-US" w:eastAsia="zh-CN"/>
                    </w:rPr>
                  </w:pPr>
                  <w:r>
                    <w:rPr>
                      <w:rFonts w:hint="eastAsia"/>
                      <w:kern w:val="0"/>
                      <w:sz w:val="18"/>
                      <w:szCs w:val="18"/>
                      <w:lang w:val="en-US" w:eastAsia="zh-CN"/>
                    </w:rPr>
                    <w:t>80</w:t>
                  </w:r>
                </w:p>
              </w:tc>
              <w:tc>
                <w:tcPr>
                  <w:tcW w:w="470" w:type="pct"/>
                  <w:noWrap/>
                  <w:vAlign w:val="center"/>
                </w:tcPr>
                <w:p w14:paraId="617A7804">
                  <w:pPr>
                    <w:widowControl/>
                    <w:jc w:val="center"/>
                    <w:rPr>
                      <w:rFonts w:hint="default" w:eastAsia="宋体"/>
                      <w:kern w:val="0"/>
                      <w:sz w:val="18"/>
                      <w:szCs w:val="18"/>
                      <w:lang w:val="en-US" w:eastAsia="zh-CN"/>
                    </w:rPr>
                  </w:pPr>
                  <w:r>
                    <w:rPr>
                      <w:rFonts w:hint="eastAsia"/>
                      <w:kern w:val="0"/>
                      <w:sz w:val="18"/>
                      <w:szCs w:val="18"/>
                      <w:lang w:val="en-US" w:eastAsia="zh-CN"/>
                    </w:rPr>
                    <w:t>0.0005</w:t>
                  </w:r>
                </w:p>
              </w:tc>
              <w:tc>
                <w:tcPr>
                  <w:tcW w:w="634" w:type="pct"/>
                  <w:vMerge w:val="continue"/>
                  <w:vAlign w:val="center"/>
                </w:tcPr>
                <w:p w14:paraId="54A4B85E">
                  <w:pPr>
                    <w:widowControl/>
                    <w:jc w:val="center"/>
                    <w:rPr>
                      <w:kern w:val="0"/>
                      <w:sz w:val="18"/>
                      <w:szCs w:val="18"/>
                    </w:rPr>
                  </w:pPr>
                </w:p>
              </w:tc>
            </w:tr>
            <w:tr w14:paraId="0BE79C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437" w:type="pct"/>
                  <w:vMerge w:val="continue"/>
                  <w:vAlign w:val="center"/>
                </w:tcPr>
                <w:p w14:paraId="123CA760">
                  <w:pPr>
                    <w:widowControl/>
                    <w:jc w:val="center"/>
                    <w:rPr>
                      <w:kern w:val="0"/>
                      <w:sz w:val="18"/>
                      <w:szCs w:val="18"/>
                    </w:rPr>
                  </w:pPr>
                </w:p>
              </w:tc>
              <w:tc>
                <w:tcPr>
                  <w:tcW w:w="470" w:type="pct"/>
                  <w:vMerge w:val="continue"/>
                  <w:vAlign w:val="center"/>
                </w:tcPr>
                <w:p w14:paraId="53FB8220">
                  <w:pPr>
                    <w:widowControl/>
                    <w:jc w:val="center"/>
                    <w:rPr>
                      <w:kern w:val="0"/>
                      <w:sz w:val="18"/>
                      <w:szCs w:val="18"/>
                    </w:rPr>
                  </w:pPr>
                </w:p>
              </w:tc>
              <w:tc>
                <w:tcPr>
                  <w:tcW w:w="538" w:type="pct"/>
                  <w:shd w:val="clear" w:color="auto" w:fill="auto"/>
                  <w:vAlign w:val="center"/>
                </w:tcPr>
                <w:p w14:paraId="44824106">
                  <w:pPr>
                    <w:widowControl/>
                    <w:jc w:val="center"/>
                    <w:rPr>
                      <w:rFonts w:ascii="Times New Roman" w:hAnsi="Times New Roman" w:eastAsia="宋体" w:cs="Times New Roman"/>
                      <w:kern w:val="0"/>
                      <w:sz w:val="18"/>
                      <w:szCs w:val="18"/>
                      <w:lang w:val="en-US" w:eastAsia="zh-CN" w:bidi="ar-SA"/>
                    </w:rPr>
                  </w:pPr>
                  <w:r>
                    <w:rPr>
                      <w:kern w:val="0"/>
                      <w:sz w:val="18"/>
                      <w:szCs w:val="18"/>
                    </w:rPr>
                    <w:t>NH</w:t>
                  </w:r>
                  <w:r>
                    <w:rPr>
                      <w:kern w:val="0"/>
                      <w:sz w:val="18"/>
                      <w:szCs w:val="18"/>
                      <w:vertAlign w:val="subscript"/>
                    </w:rPr>
                    <w:t>3</w:t>
                  </w:r>
                  <w:r>
                    <w:rPr>
                      <w:kern w:val="0"/>
                      <w:sz w:val="18"/>
                      <w:szCs w:val="18"/>
                    </w:rPr>
                    <w:t>-N</w:t>
                  </w:r>
                </w:p>
              </w:tc>
              <w:tc>
                <w:tcPr>
                  <w:tcW w:w="487" w:type="pct"/>
                  <w:vAlign w:val="center"/>
                </w:tcPr>
                <w:p w14:paraId="05424D3D">
                  <w:pPr>
                    <w:widowControl/>
                    <w:jc w:val="center"/>
                    <w:rPr>
                      <w:rFonts w:hint="default" w:eastAsia="宋体"/>
                      <w:kern w:val="0"/>
                      <w:sz w:val="18"/>
                      <w:szCs w:val="18"/>
                      <w:lang w:val="en-US" w:eastAsia="zh-CN"/>
                    </w:rPr>
                  </w:pPr>
                  <w:r>
                    <w:rPr>
                      <w:rFonts w:hint="eastAsia"/>
                      <w:kern w:val="0"/>
                      <w:sz w:val="18"/>
                      <w:szCs w:val="18"/>
                      <w:lang w:val="en-US" w:eastAsia="zh-CN"/>
                    </w:rPr>
                    <w:t>30</w:t>
                  </w:r>
                </w:p>
              </w:tc>
              <w:tc>
                <w:tcPr>
                  <w:tcW w:w="470" w:type="pct"/>
                  <w:noWrap/>
                  <w:vAlign w:val="center"/>
                </w:tcPr>
                <w:p w14:paraId="19E5F77E">
                  <w:pPr>
                    <w:widowControl/>
                    <w:jc w:val="center"/>
                    <w:rPr>
                      <w:rFonts w:hint="default" w:eastAsia="宋体"/>
                      <w:kern w:val="0"/>
                      <w:sz w:val="18"/>
                      <w:szCs w:val="18"/>
                      <w:lang w:val="en-US" w:eastAsia="zh-CN"/>
                    </w:rPr>
                  </w:pPr>
                  <w:r>
                    <w:rPr>
                      <w:rFonts w:hint="eastAsia"/>
                      <w:kern w:val="0"/>
                      <w:sz w:val="18"/>
                      <w:szCs w:val="18"/>
                      <w:lang w:val="en-US" w:eastAsia="zh-CN"/>
                    </w:rPr>
                    <w:t>0.0002</w:t>
                  </w:r>
                </w:p>
              </w:tc>
              <w:tc>
                <w:tcPr>
                  <w:tcW w:w="465" w:type="pct"/>
                  <w:vMerge w:val="continue"/>
                  <w:vAlign w:val="center"/>
                </w:tcPr>
                <w:p w14:paraId="4C1720A8">
                  <w:pPr>
                    <w:widowControl/>
                    <w:jc w:val="center"/>
                    <w:rPr>
                      <w:kern w:val="0"/>
                      <w:sz w:val="18"/>
                      <w:szCs w:val="18"/>
                    </w:rPr>
                  </w:pPr>
                </w:p>
              </w:tc>
              <w:tc>
                <w:tcPr>
                  <w:tcW w:w="537" w:type="pct"/>
                  <w:shd w:val="clear" w:color="auto" w:fill="auto"/>
                  <w:vAlign w:val="center"/>
                </w:tcPr>
                <w:p w14:paraId="18127FDB">
                  <w:pPr>
                    <w:widowControl/>
                    <w:jc w:val="center"/>
                    <w:rPr>
                      <w:rFonts w:ascii="Times New Roman" w:hAnsi="Times New Roman" w:eastAsia="宋体" w:cs="Times New Roman"/>
                      <w:kern w:val="0"/>
                      <w:sz w:val="18"/>
                      <w:szCs w:val="18"/>
                      <w:lang w:val="en-US" w:eastAsia="zh-CN" w:bidi="ar-SA"/>
                    </w:rPr>
                  </w:pPr>
                  <w:r>
                    <w:rPr>
                      <w:kern w:val="0"/>
                      <w:sz w:val="18"/>
                      <w:szCs w:val="18"/>
                    </w:rPr>
                    <w:t>NH</w:t>
                  </w:r>
                  <w:r>
                    <w:rPr>
                      <w:kern w:val="0"/>
                      <w:sz w:val="18"/>
                      <w:szCs w:val="18"/>
                      <w:vertAlign w:val="subscript"/>
                    </w:rPr>
                    <w:t>3</w:t>
                  </w:r>
                  <w:r>
                    <w:rPr>
                      <w:kern w:val="0"/>
                      <w:sz w:val="18"/>
                      <w:szCs w:val="18"/>
                    </w:rPr>
                    <w:t>-N</w:t>
                  </w:r>
                </w:p>
              </w:tc>
              <w:tc>
                <w:tcPr>
                  <w:tcW w:w="486" w:type="pct"/>
                  <w:noWrap/>
                  <w:vAlign w:val="center"/>
                </w:tcPr>
                <w:p w14:paraId="14531C15">
                  <w:pPr>
                    <w:widowControl/>
                    <w:jc w:val="center"/>
                    <w:rPr>
                      <w:rFonts w:hint="default" w:eastAsia="宋体"/>
                      <w:kern w:val="0"/>
                      <w:sz w:val="18"/>
                      <w:szCs w:val="18"/>
                      <w:lang w:val="en-US" w:eastAsia="zh-CN"/>
                    </w:rPr>
                  </w:pPr>
                  <w:r>
                    <w:rPr>
                      <w:rFonts w:hint="eastAsia"/>
                      <w:kern w:val="0"/>
                      <w:sz w:val="18"/>
                      <w:szCs w:val="18"/>
                      <w:lang w:val="en-US" w:eastAsia="zh-CN"/>
                    </w:rPr>
                    <w:t>30</w:t>
                  </w:r>
                </w:p>
              </w:tc>
              <w:tc>
                <w:tcPr>
                  <w:tcW w:w="470" w:type="pct"/>
                  <w:shd w:val="clear" w:color="auto" w:fill="auto"/>
                  <w:noWrap/>
                  <w:vAlign w:val="center"/>
                </w:tcPr>
                <w:p w14:paraId="1B107138">
                  <w:pPr>
                    <w:widowControl/>
                    <w:jc w:val="center"/>
                    <w:rPr>
                      <w:rFonts w:hint="eastAsia" w:ascii="Times New Roman" w:hAnsi="Times New Roman" w:eastAsia="宋体" w:cs="Times New Roman"/>
                      <w:kern w:val="0"/>
                      <w:sz w:val="18"/>
                      <w:szCs w:val="18"/>
                      <w:lang w:val="en-US" w:eastAsia="zh-CN" w:bidi="ar-SA"/>
                    </w:rPr>
                  </w:pPr>
                  <w:r>
                    <w:rPr>
                      <w:rFonts w:hint="eastAsia"/>
                      <w:kern w:val="0"/>
                      <w:sz w:val="18"/>
                      <w:szCs w:val="18"/>
                      <w:lang w:val="en-US" w:eastAsia="zh-CN"/>
                    </w:rPr>
                    <w:t>0.0002</w:t>
                  </w:r>
                </w:p>
              </w:tc>
              <w:tc>
                <w:tcPr>
                  <w:tcW w:w="634" w:type="pct"/>
                  <w:vMerge w:val="continue"/>
                  <w:vAlign w:val="center"/>
                </w:tcPr>
                <w:p w14:paraId="358D49A0">
                  <w:pPr>
                    <w:widowControl/>
                    <w:jc w:val="center"/>
                    <w:rPr>
                      <w:kern w:val="0"/>
                      <w:sz w:val="18"/>
                      <w:szCs w:val="18"/>
                    </w:rPr>
                  </w:pPr>
                </w:p>
              </w:tc>
            </w:tr>
            <w:tr w14:paraId="7E6812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437" w:type="pct"/>
                  <w:vMerge w:val="continue"/>
                  <w:vAlign w:val="center"/>
                </w:tcPr>
                <w:p w14:paraId="43ABC35A">
                  <w:pPr>
                    <w:widowControl/>
                    <w:jc w:val="center"/>
                    <w:rPr>
                      <w:kern w:val="0"/>
                      <w:sz w:val="18"/>
                      <w:szCs w:val="18"/>
                    </w:rPr>
                  </w:pPr>
                </w:p>
              </w:tc>
              <w:tc>
                <w:tcPr>
                  <w:tcW w:w="470" w:type="pct"/>
                  <w:vMerge w:val="continue"/>
                  <w:vAlign w:val="center"/>
                </w:tcPr>
                <w:p w14:paraId="0A1F57B3">
                  <w:pPr>
                    <w:widowControl/>
                    <w:jc w:val="center"/>
                    <w:rPr>
                      <w:kern w:val="0"/>
                      <w:sz w:val="18"/>
                      <w:szCs w:val="18"/>
                    </w:rPr>
                  </w:pPr>
                </w:p>
              </w:tc>
              <w:tc>
                <w:tcPr>
                  <w:tcW w:w="538" w:type="pct"/>
                  <w:shd w:val="clear" w:color="auto" w:fill="auto"/>
                  <w:vAlign w:val="center"/>
                </w:tcPr>
                <w:p w14:paraId="47AFBC71">
                  <w:pPr>
                    <w:widowControl/>
                    <w:jc w:val="center"/>
                    <w:rPr>
                      <w:rFonts w:ascii="Times New Roman" w:hAnsi="Times New Roman" w:eastAsia="宋体" w:cs="Times New Roman"/>
                      <w:kern w:val="0"/>
                      <w:sz w:val="18"/>
                      <w:szCs w:val="18"/>
                      <w:lang w:val="en-US" w:eastAsia="zh-CN" w:bidi="ar-SA"/>
                    </w:rPr>
                  </w:pPr>
                  <w:r>
                    <w:rPr>
                      <w:kern w:val="0"/>
                      <w:sz w:val="18"/>
                      <w:szCs w:val="18"/>
                    </w:rPr>
                    <w:t>TN</w:t>
                  </w:r>
                </w:p>
              </w:tc>
              <w:tc>
                <w:tcPr>
                  <w:tcW w:w="487" w:type="pct"/>
                  <w:vAlign w:val="center"/>
                </w:tcPr>
                <w:p w14:paraId="291537A1">
                  <w:pPr>
                    <w:widowControl/>
                    <w:jc w:val="center"/>
                    <w:rPr>
                      <w:rFonts w:hint="default" w:eastAsia="宋体"/>
                      <w:kern w:val="0"/>
                      <w:sz w:val="18"/>
                      <w:szCs w:val="18"/>
                      <w:lang w:val="en-US" w:eastAsia="zh-CN"/>
                    </w:rPr>
                  </w:pPr>
                  <w:r>
                    <w:rPr>
                      <w:rFonts w:hint="eastAsia"/>
                      <w:kern w:val="0"/>
                      <w:sz w:val="18"/>
                      <w:szCs w:val="18"/>
                      <w:lang w:val="en-US" w:eastAsia="zh-CN"/>
                    </w:rPr>
                    <w:t>35</w:t>
                  </w:r>
                </w:p>
              </w:tc>
              <w:tc>
                <w:tcPr>
                  <w:tcW w:w="470" w:type="pct"/>
                  <w:noWrap/>
                  <w:vAlign w:val="center"/>
                </w:tcPr>
                <w:p w14:paraId="6A48FE33">
                  <w:pPr>
                    <w:widowControl/>
                    <w:jc w:val="center"/>
                    <w:rPr>
                      <w:rFonts w:hint="default" w:eastAsia="宋体"/>
                      <w:kern w:val="0"/>
                      <w:sz w:val="18"/>
                      <w:szCs w:val="18"/>
                      <w:lang w:val="en-US" w:eastAsia="zh-CN"/>
                    </w:rPr>
                  </w:pPr>
                  <w:r>
                    <w:rPr>
                      <w:rFonts w:hint="eastAsia"/>
                      <w:kern w:val="0"/>
                      <w:sz w:val="18"/>
                      <w:szCs w:val="18"/>
                      <w:lang w:val="en-US" w:eastAsia="zh-CN"/>
                    </w:rPr>
                    <w:t>0.0002</w:t>
                  </w:r>
                </w:p>
              </w:tc>
              <w:tc>
                <w:tcPr>
                  <w:tcW w:w="465" w:type="pct"/>
                  <w:vMerge w:val="continue"/>
                  <w:vAlign w:val="center"/>
                </w:tcPr>
                <w:p w14:paraId="5FC997EE">
                  <w:pPr>
                    <w:widowControl/>
                    <w:jc w:val="center"/>
                    <w:rPr>
                      <w:kern w:val="0"/>
                      <w:sz w:val="18"/>
                      <w:szCs w:val="18"/>
                    </w:rPr>
                  </w:pPr>
                </w:p>
              </w:tc>
              <w:tc>
                <w:tcPr>
                  <w:tcW w:w="537" w:type="pct"/>
                  <w:shd w:val="clear" w:color="auto" w:fill="auto"/>
                  <w:vAlign w:val="center"/>
                </w:tcPr>
                <w:p w14:paraId="4146EDF1">
                  <w:pPr>
                    <w:widowControl/>
                    <w:jc w:val="center"/>
                    <w:rPr>
                      <w:rFonts w:ascii="Times New Roman" w:hAnsi="Times New Roman" w:eastAsia="宋体" w:cs="Times New Roman"/>
                      <w:kern w:val="0"/>
                      <w:sz w:val="18"/>
                      <w:szCs w:val="18"/>
                      <w:lang w:val="en-US" w:eastAsia="zh-CN" w:bidi="ar-SA"/>
                    </w:rPr>
                  </w:pPr>
                  <w:r>
                    <w:rPr>
                      <w:kern w:val="0"/>
                      <w:sz w:val="18"/>
                      <w:szCs w:val="18"/>
                    </w:rPr>
                    <w:t>TN</w:t>
                  </w:r>
                </w:p>
              </w:tc>
              <w:tc>
                <w:tcPr>
                  <w:tcW w:w="486" w:type="pct"/>
                  <w:noWrap/>
                  <w:vAlign w:val="center"/>
                </w:tcPr>
                <w:p w14:paraId="7C2A3CD6">
                  <w:pPr>
                    <w:widowControl/>
                    <w:jc w:val="center"/>
                    <w:rPr>
                      <w:rFonts w:hint="default" w:eastAsia="宋体"/>
                      <w:kern w:val="0"/>
                      <w:sz w:val="18"/>
                      <w:szCs w:val="18"/>
                      <w:lang w:val="en-US" w:eastAsia="zh-CN"/>
                    </w:rPr>
                  </w:pPr>
                  <w:r>
                    <w:rPr>
                      <w:rFonts w:hint="eastAsia"/>
                      <w:kern w:val="0"/>
                      <w:sz w:val="18"/>
                      <w:szCs w:val="18"/>
                      <w:lang w:val="en-US" w:eastAsia="zh-CN"/>
                    </w:rPr>
                    <w:t>35</w:t>
                  </w:r>
                </w:p>
              </w:tc>
              <w:tc>
                <w:tcPr>
                  <w:tcW w:w="470" w:type="pct"/>
                  <w:shd w:val="clear" w:color="auto" w:fill="auto"/>
                  <w:noWrap/>
                  <w:vAlign w:val="center"/>
                </w:tcPr>
                <w:p w14:paraId="4A774B8E">
                  <w:pPr>
                    <w:widowControl/>
                    <w:jc w:val="center"/>
                    <w:rPr>
                      <w:rFonts w:hint="eastAsia" w:ascii="Times New Roman" w:hAnsi="Times New Roman" w:eastAsia="宋体" w:cs="Times New Roman"/>
                      <w:kern w:val="0"/>
                      <w:sz w:val="18"/>
                      <w:szCs w:val="18"/>
                      <w:lang w:val="en-US" w:eastAsia="zh-CN" w:bidi="ar-SA"/>
                    </w:rPr>
                  </w:pPr>
                  <w:r>
                    <w:rPr>
                      <w:rFonts w:hint="eastAsia"/>
                      <w:kern w:val="0"/>
                      <w:sz w:val="18"/>
                      <w:szCs w:val="18"/>
                      <w:lang w:val="en-US" w:eastAsia="zh-CN"/>
                    </w:rPr>
                    <w:t>0.0002</w:t>
                  </w:r>
                </w:p>
              </w:tc>
              <w:tc>
                <w:tcPr>
                  <w:tcW w:w="634" w:type="pct"/>
                  <w:vMerge w:val="continue"/>
                  <w:vAlign w:val="center"/>
                </w:tcPr>
                <w:p w14:paraId="1FD3D99F">
                  <w:pPr>
                    <w:widowControl/>
                    <w:jc w:val="center"/>
                    <w:rPr>
                      <w:kern w:val="0"/>
                      <w:sz w:val="18"/>
                      <w:szCs w:val="18"/>
                    </w:rPr>
                  </w:pPr>
                </w:p>
              </w:tc>
            </w:tr>
            <w:tr w14:paraId="05A3DD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437" w:type="pct"/>
                  <w:vMerge w:val="continue"/>
                  <w:vAlign w:val="center"/>
                </w:tcPr>
                <w:p w14:paraId="7E6CF730">
                  <w:pPr>
                    <w:widowControl/>
                    <w:jc w:val="center"/>
                    <w:rPr>
                      <w:kern w:val="0"/>
                      <w:sz w:val="18"/>
                      <w:szCs w:val="18"/>
                    </w:rPr>
                  </w:pPr>
                </w:p>
              </w:tc>
              <w:tc>
                <w:tcPr>
                  <w:tcW w:w="470" w:type="pct"/>
                  <w:vMerge w:val="continue"/>
                  <w:vAlign w:val="center"/>
                </w:tcPr>
                <w:p w14:paraId="5F3FE3EB">
                  <w:pPr>
                    <w:widowControl/>
                    <w:jc w:val="center"/>
                    <w:rPr>
                      <w:kern w:val="0"/>
                      <w:sz w:val="18"/>
                      <w:szCs w:val="18"/>
                    </w:rPr>
                  </w:pPr>
                </w:p>
              </w:tc>
              <w:tc>
                <w:tcPr>
                  <w:tcW w:w="538" w:type="pct"/>
                  <w:shd w:val="clear" w:color="auto" w:fill="auto"/>
                  <w:vAlign w:val="center"/>
                </w:tcPr>
                <w:p w14:paraId="388C6F9B">
                  <w:pPr>
                    <w:widowControl/>
                    <w:jc w:val="center"/>
                    <w:rPr>
                      <w:rFonts w:ascii="Times New Roman" w:hAnsi="Times New Roman" w:eastAsia="宋体" w:cs="Times New Roman"/>
                      <w:kern w:val="0"/>
                      <w:sz w:val="18"/>
                      <w:szCs w:val="18"/>
                      <w:lang w:val="en-US" w:eastAsia="zh-CN" w:bidi="ar-SA"/>
                    </w:rPr>
                  </w:pPr>
                  <w:r>
                    <w:rPr>
                      <w:kern w:val="0"/>
                      <w:sz w:val="18"/>
                      <w:szCs w:val="18"/>
                    </w:rPr>
                    <w:t>TP</w:t>
                  </w:r>
                </w:p>
              </w:tc>
              <w:tc>
                <w:tcPr>
                  <w:tcW w:w="487" w:type="pct"/>
                  <w:vAlign w:val="center"/>
                </w:tcPr>
                <w:p w14:paraId="34AAD375">
                  <w:pPr>
                    <w:widowControl/>
                    <w:jc w:val="center"/>
                    <w:rPr>
                      <w:rFonts w:hint="eastAsia" w:eastAsia="宋体"/>
                      <w:kern w:val="0"/>
                      <w:sz w:val="18"/>
                      <w:szCs w:val="18"/>
                      <w:lang w:val="en-US" w:eastAsia="zh-CN"/>
                    </w:rPr>
                  </w:pPr>
                  <w:r>
                    <w:rPr>
                      <w:rFonts w:hint="eastAsia"/>
                      <w:kern w:val="0"/>
                      <w:sz w:val="18"/>
                      <w:szCs w:val="18"/>
                      <w:lang w:val="en-US" w:eastAsia="zh-CN"/>
                    </w:rPr>
                    <w:t>1</w:t>
                  </w:r>
                </w:p>
              </w:tc>
              <w:tc>
                <w:tcPr>
                  <w:tcW w:w="470" w:type="pct"/>
                  <w:noWrap/>
                  <w:vAlign w:val="center"/>
                </w:tcPr>
                <w:p w14:paraId="67683773">
                  <w:pPr>
                    <w:widowControl/>
                    <w:jc w:val="center"/>
                    <w:rPr>
                      <w:rFonts w:hint="default" w:eastAsia="宋体"/>
                      <w:kern w:val="0"/>
                      <w:sz w:val="18"/>
                      <w:szCs w:val="18"/>
                      <w:lang w:val="en-US" w:eastAsia="zh-CN"/>
                    </w:rPr>
                  </w:pPr>
                  <w:r>
                    <w:rPr>
                      <w:rFonts w:hint="eastAsia"/>
                      <w:kern w:val="0"/>
                      <w:sz w:val="18"/>
                      <w:szCs w:val="18"/>
                      <w:lang w:val="en-US" w:eastAsia="zh-CN"/>
                    </w:rPr>
                    <w:t>0.00001</w:t>
                  </w:r>
                </w:p>
              </w:tc>
              <w:tc>
                <w:tcPr>
                  <w:tcW w:w="465" w:type="pct"/>
                  <w:vMerge w:val="continue"/>
                  <w:vAlign w:val="center"/>
                </w:tcPr>
                <w:p w14:paraId="1ED6840A">
                  <w:pPr>
                    <w:widowControl/>
                    <w:jc w:val="center"/>
                    <w:rPr>
                      <w:kern w:val="0"/>
                      <w:sz w:val="18"/>
                      <w:szCs w:val="18"/>
                    </w:rPr>
                  </w:pPr>
                </w:p>
              </w:tc>
              <w:tc>
                <w:tcPr>
                  <w:tcW w:w="537" w:type="pct"/>
                  <w:shd w:val="clear" w:color="auto" w:fill="auto"/>
                  <w:vAlign w:val="center"/>
                </w:tcPr>
                <w:p w14:paraId="53F194B2">
                  <w:pPr>
                    <w:widowControl/>
                    <w:jc w:val="center"/>
                    <w:rPr>
                      <w:rFonts w:ascii="Times New Roman" w:hAnsi="Times New Roman" w:eastAsia="宋体" w:cs="Times New Roman"/>
                      <w:kern w:val="0"/>
                      <w:sz w:val="18"/>
                      <w:szCs w:val="18"/>
                      <w:lang w:val="en-US" w:eastAsia="zh-CN" w:bidi="ar-SA"/>
                    </w:rPr>
                  </w:pPr>
                  <w:r>
                    <w:rPr>
                      <w:kern w:val="0"/>
                      <w:sz w:val="18"/>
                      <w:szCs w:val="18"/>
                    </w:rPr>
                    <w:t>TP</w:t>
                  </w:r>
                </w:p>
              </w:tc>
              <w:tc>
                <w:tcPr>
                  <w:tcW w:w="486" w:type="pct"/>
                  <w:noWrap/>
                  <w:vAlign w:val="center"/>
                </w:tcPr>
                <w:p w14:paraId="66E9CCF3">
                  <w:pPr>
                    <w:widowControl/>
                    <w:jc w:val="center"/>
                    <w:rPr>
                      <w:rFonts w:hint="eastAsia" w:eastAsia="宋体"/>
                      <w:kern w:val="0"/>
                      <w:sz w:val="18"/>
                      <w:szCs w:val="18"/>
                      <w:lang w:val="en-US" w:eastAsia="zh-CN"/>
                    </w:rPr>
                  </w:pPr>
                  <w:r>
                    <w:rPr>
                      <w:rFonts w:hint="eastAsia"/>
                      <w:kern w:val="0"/>
                      <w:sz w:val="18"/>
                      <w:szCs w:val="18"/>
                      <w:lang w:val="en-US" w:eastAsia="zh-CN"/>
                    </w:rPr>
                    <w:t>1</w:t>
                  </w:r>
                </w:p>
              </w:tc>
              <w:tc>
                <w:tcPr>
                  <w:tcW w:w="470" w:type="pct"/>
                  <w:shd w:val="clear" w:color="auto" w:fill="auto"/>
                  <w:noWrap/>
                  <w:vAlign w:val="center"/>
                </w:tcPr>
                <w:p w14:paraId="7A87E62F">
                  <w:pPr>
                    <w:widowControl/>
                    <w:jc w:val="center"/>
                    <w:rPr>
                      <w:rFonts w:hint="eastAsia" w:ascii="Times New Roman" w:hAnsi="Times New Roman" w:eastAsia="宋体" w:cs="Times New Roman"/>
                      <w:kern w:val="0"/>
                      <w:sz w:val="18"/>
                      <w:szCs w:val="18"/>
                      <w:lang w:val="en-US" w:eastAsia="zh-CN" w:bidi="ar-SA"/>
                    </w:rPr>
                  </w:pPr>
                  <w:r>
                    <w:rPr>
                      <w:rFonts w:hint="eastAsia"/>
                      <w:kern w:val="0"/>
                      <w:sz w:val="18"/>
                      <w:szCs w:val="18"/>
                      <w:lang w:val="en-US" w:eastAsia="zh-CN"/>
                    </w:rPr>
                    <w:t>0.00001</w:t>
                  </w:r>
                </w:p>
              </w:tc>
              <w:tc>
                <w:tcPr>
                  <w:tcW w:w="634" w:type="pct"/>
                  <w:vMerge w:val="continue"/>
                  <w:vAlign w:val="center"/>
                </w:tcPr>
                <w:p w14:paraId="4A1FC2B4">
                  <w:pPr>
                    <w:widowControl/>
                    <w:jc w:val="center"/>
                    <w:rPr>
                      <w:kern w:val="0"/>
                      <w:sz w:val="18"/>
                      <w:szCs w:val="18"/>
                    </w:rPr>
                  </w:pPr>
                </w:p>
              </w:tc>
            </w:tr>
            <w:tr w14:paraId="0A22ED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9" w:hRule="atLeast"/>
              </w:trPr>
              <w:tc>
                <w:tcPr>
                  <w:tcW w:w="437" w:type="pct"/>
                  <w:vMerge w:val="restart"/>
                  <w:vAlign w:val="center"/>
                </w:tcPr>
                <w:p w14:paraId="243BFA31">
                  <w:pPr>
                    <w:widowControl/>
                    <w:jc w:val="center"/>
                    <w:rPr>
                      <w:rFonts w:hint="eastAsia" w:eastAsia="宋体"/>
                      <w:kern w:val="0"/>
                      <w:sz w:val="18"/>
                      <w:szCs w:val="18"/>
                      <w:lang w:eastAsia="zh-CN"/>
                    </w:rPr>
                  </w:pPr>
                  <w:r>
                    <w:rPr>
                      <w:rFonts w:hint="eastAsia"/>
                      <w:kern w:val="0"/>
                      <w:sz w:val="18"/>
                      <w:szCs w:val="18"/>
                      <w:lang w:val="en-US" w:eastAsia="zh-CN"/>
                    </w:rPr>
                    <w:t>综合废水</w:t>
                  </w:r>
                </w:p>
              </w:tc>
              <w:tc>
                <w:tcPr>
                  <w:tcW w:w="470" w:type="pct"/>
                  <w:vMerge w:val="restart"/>
                  <w:vAlign w:val="center"/>
                </w:tcPr>
                <w:p w14:paraId="2BF9ECCA">
                  <w:pPr>
                    <w:widowControl/>
                    <w:jc w:val="center"/>
                    <w:rPr>
                      <w:rFonts w:hint="eastAsia" w:eastAsia="宋体"/>
                      <w:kern w:val="0"/>
                      <w:sz w:val="18"/>
                      <w:szCs w:val="18"/>
                      <w:lang w:eastAsia="zh-CN"/>
                    </w:rPr>
                  </w:pPr>
                  <w:r>
                    <w:rPr>
                      <w:rFonts w:hint="eastAsia"/>
                      <w:kern w:val="0"/>
                      <w:sz w:val="18"/>
                      <w:szCs w:val="18"/>
                    </w:rPr>
                    <w:t>10</w:t>
                  </w:r>
                  <w:r>
                    <w:rPr>
                      <w:rFonts w:hint="eastAsia"/>
                      <w:kern w:val="0"/>
                      <w:sz w:val="18"/>
                      <w:szCs w:val="18"/>
                      <w:lang w:val="en-US" w:eastAsia="zh-CN"/>
                    </w:rPr>
                    <w:t>6</w:t>
                  </w:r>
                </w:p>
              </w:tc>
              <w:tc>
                <w:tcPr>
                  <w:tcW w:w="1496" w:type="pct"/>
                  <w:gridSpan w:val="3"/>
                  <w:vAlign w:val="center"/>
                </w:tcPr>
                <w:p w14:paraId="2DFDC3B2">
                  <w:pPr>
                    <w:widowControl/>
                    <w:jc w:val="center"/>
                    <w:rPr>
                      <w:kern w:val="0"/>
                      <w:sz w:val="18"/>
                      <w:szCs w:val="18"/>
                    </w:rPr>
                  </w:pPr>
                  <w:r>
                    <w:rPr>
                      <w:rFonts w:hint="eastAsia"/>
                      <w:kern w:val="0"/>
                      <w:sz w:val="18"/>
                      <w:szCs w:val="18"/>
                    </w:rPr>
                    <w:t>外排量</w:t>
                  </w:r>
                </w:p>
              </w:tc>
              <w:tc>
                <w:tcPr>
                  <w:tcW w:w="465" w:type="pct"/>
                  <w:vMerge w:val="restart"/>
                  <w:vAlign w:val="center"/>
                </w:tcPr>
                <w:p w14:paraId="7B4953FC">
                  <w:pPr>
                    <w:widowControl/>
                    <w:jc w:val="center"/>
                    <w:rPr>
                      <w:kern w:val="0"/>
                      <w:sz w:val="18"/>
                      <w:szCs w:val="18"/>
                    </w:rPr>
                  </w:pPr>
                  <w:r>
                    <w:rPr>
                      <w:rFonts w:hint="eastAsia"/>
                      <w:kern w:val="0"/>
                      <w:sz w:val="18"/>
                      <w:szCs w:val="18"/>
                    </w:rPr>
                    <w:t>海安李堡滇池水务有限公司</w:t>
                  </w:r>
                </w:p>
              </w:tc>
              <w:tc>
                <w:tcPr>
                  <w:tcW w:w="1495" w:type="pct"/>
                  <w:gridSpan w:val="3"/>
                  <w:vAlign w:val="center"/>
                </w:tcPr>
                <w:p w14:paraId="4727DFF6">
                  <w:pPr>
                    <w:widowControl/>
                    <w:jc w:val="center"/>
                    <w:rPr>
                      <w:kern w:val="0"/>
                      <w:sz w:val="18"/>
                      <w:szCs w:val="18"/>
                    </w:rPr>
                  </w:pPr>
                  <w:r>
                    <w:rPr>
                      <w:rFonts w:hint="eastAsia"/>
                      <w:kern w:val="0"/>
                      <w:sz w:val="18"/>
                      <w:szCs w:val="18"/>
                      <w:lang w:bidi="ar"/>
                    </w:rPr>
                    <w:t>最终外排量</w:t>
                  </w:r>
                </w:p>
              </w:tc>
              <w:tc>
                <w:tcPr>
                  <w:tcW w:w="634" w:type="pct"/>
                  <w:vMerge w:val="restart"/>
                  <w:vAlign w:val="center"/>
                </w:tcPr>
                <w:p w14:paraId="5FC7AC1E">
                  <w:pPr>
                    <w:widowControl/>
                    <w:jc w:val="center"/>
                    <w:rPr>
                      <w:kern w:val="0"/>
                      <w:sz w:val="18"/>
                      <w:szCs w:val="18"/>
                    </w:rPr>
                  </w:pPr>
                  <w:r>
                    <w:rPr>
                      <w:rFonts w:hint="eastAsia"/>
                      <w:kern w:val="0"/>
                      <w:sz w:val="18"/>
                      <w:szCs w:val="18"/>
                    </w:rPr>
                    <w:t>北凌河</w:t>
                  </w:r>
                </w:p>
              </w:tc>
            </w:tr>
            <w:tr w14:paraId="13FD3C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437" w:type="pct"/>
                  <w:vMerge w:val="continue"/>
                  <w:vAlign w:val="center"/>
                </w:tcPr>
                <w:p w14:paraId="78F41E0A">
                  <w:pPr>
                    <w:widowControl/>
                    <w:jc w:val="center"/>
                    <w:rPr>
                      <w:kern w:val="0"/>
                      <w:sz w:val="18"/>
                      <w:szCs w:val="18"/>
                    </w:rPr>
                  </w:pPr>
                </w:p>
              </w:tc>
              <w:tc>
                <w:tcPr>
                  <w:tcW w:w="470" w:type="pct"/>
                  <w:vMerge w:val="continue"/>
                  <w:vAlign w:val="center"/>
                </w:tcPr>
                <w:p w14:paraId="48316084">
                  <w:pPr>
                    <w:widowControl/>
                    <w:jc w:val="center"/>
                    <w:rPr>
                      <w:kern w:val="0"/>
                      <w:sz w:val="18"/>
                      <w:szCs w:val="18"/>
                    </w:rPr>
                  </w:pPr>
                </w:p>
              </w:tc>
              <w:tc>
                <w:tcPr>
                  <w:tcW w:w="538" w:type="pct"/>
                  <w:vAlign w:val="center"/>
                </w:tcPr>
                <w:p w14:paraId="29507D99">
                  <w:pPr>
                    <w:widowControl/>
                    <w:jc w:val="center"/>
                    <w:rPr>
                      <w:kern w:val="0"/>
                      <w:sz w:val="18"/>
                      <w:szCs w:val="18"/>
                    </w:rPr>
                  </w:pPr>
                  <w:r>
                    <w:rPr>
                      <w:kern w:val="0"/>
                      <w:sz w:val="18"/>
                      <w:szCs w:val="18"/>
                    </w:rPr>
                    <w:t>COD</w:t>
                  </w:r>
                </w:p>
              </w:tc>
              <w:tc>
                <w:tcPr>
                  <w:tcW w:w="487" w:type="pct"/>
                  <w:vAlign w:val="center"/>
                </w:tcPr>
                <w:p w14:paraId="0FEF21AA">
                  <w:pPr>
                    <w:widowControl/>
                    <w:jc w:val="center"/>
                    <w:rPr>
                      <w:rFonts w:hint="default" w:eastAsia="宋体"/>
                      <w:kern w:val="0"/>
                      <w:sz w:val="18"/>
                      <w:szCs w:val="18"/>
                      <w:lang w:val="en-US" w:eastAsia="zh-CN"/>
                    </w:rPr>
                  </w:pPr>
                  <w:r>
                    <w:rPr>
                      <w:rFonts w:hint="eastAsia"/>
                      <w:kern w:val="0"/>
                      <w:sz w:val="18"/>
                      <w:szCs w:val="18"/>
                      <w:lang w:val="en-US" w:eastAsia="zh-CN"/>
                    </w:rPr>
                    <w:t>350</w:t>
                  </w:r>
                </w:p>
              </w:tc>
              <w:tc>
                <w:tcPr>
                  <w:tcW w:w="470" w:type="pct"/>
                  <w:noWrap/>
                  <w:vAlign w:val="center"/>
                </w:tcPr>
                <w:p w14:paraId="63EB2A62">
                  <w:pPr>
                    <w:widowControl/>
                    <w:jc w:val="center"/>
                    <w:rPr>
                      <w:rFonts w:hint="eastAsia" w:eastAsia="宋体"/>
                      <w:kern w:val="0"/>
                      <w:sz w:val="18"/>
                      <w:szCs w:val="18"/>
                      <w:lang w:eastAsia="zh-CN"/>
                    </w:rPr>
                  </w:pPr>
                  <w:r>
                    <w:rPr>
                      <w:rFonts w:hint="eastAsia"/>
                      <w:kern w:val="0"/>
                      <w:sz w:val="18"/>
                      <w:szCs w:val="18"/>
                    </w:rPr>
                    <w:t>0.03</w:t>
                  </w:r>
                  <w:r>
                    <w:rPr>
                      <w:rFonts w:hint="eastAsia"/>
                      <w:kern w:val="0"/>
                      <w:sz w:val="18"/>
                      <w:szCs w:val="18"/>
                      <w:lang w:val="en-US" w:eastAsia="zh-CN"/>
                    </w:rPr>
                    <w:t>7</w:t>
                  </w:r>
                </w:p>
              </w:tc>
              <w:tc>
                <w:tcPr>
                  <w:tcW w:w="465" w:type="pct"/>
                  <w:vMerge w:val="continue"/>
                  <w:vAlign w:val="center"/>
                </w:tcPr>
                <w:p w14:paraId="4FC5D136">
                  <w:pPr>
                    <w:widowControl/>
                    <w:jc w:val="center"/>
                    <w:rPr>
                      <w:kern w:val="0"/>
                      <w:sz w:val="18"/>
                      <w:szCs w:val="18"/>
                    </w:rPr>
                  </w:pPr>
                </w:p>
              </w:tc>
              <w:tc>
                <w:tcPr>
                  <w:tcW w:w="537" w:type="pct"/>
                  <w:vAlign w:val="center"/>
                </w:tcPr>
                <w:p w14:paraId="72F7D5C3">
                  <w:pPr>
                    <w:widowControl/>
                    <w:jc w:val="center"/>
                    <w:rPr>
                      <w:kern w:val="0"/>
                      <w:sz w:val="18"/>
                      <w:szCs w:val="18"/>
                    </w:rPr>
                  </w:pPr>
                  <w:r>
                    <w:rPr>
                      <w:kern w:val="0"/>
                      <w:sz w:val="18"/>
                      <w:szCs w:val="18"/>
                    </w:rPr>
                    <w:t>COD</w:t>
                  </w:r>
                </w:p>
              </w:tc>
              <w:tc>
                <w:tcPr>
                  <w:tcW w:w="486" w:type="pct"/>
                  <w:noWrap/>
                  <w:vAlign w:val="center"/>
                </w:tcPr>
                <w:p w14:paraId="28D08F2E">
                  <w:pPr>
                    <w:widowControl/>
                    <w:jc w:val="center"/>
                    <w:rPr>
                      <w:kern w:val="0"/>
                      <w:sz w:val="18"/>
                      <w:szCs w:val="18"/>
                    </w:rPr>
                  </w:pPr>
                  <w:r>
                    <w:rPr>
                      <w:rFonts w:hint="eastAsia"/>
                      <w:kern w:val="0"/>
                      <w:sz w:val="18"/>
                      <w:szCs w:val="18"/>
                    </w:rPr>
                    <w:t>50</w:t>
                  </w:r>
                </w:p>
              </w:tc>
              <w:tc>
                <w:tcPr>
                  <w:tcW w:w="470" w:type="pct"/>
                  <w:noWrap/>
                  <w:vAlign w:val="center"/>
                </w:tcPr>
                <w:p w14:paraId="64119C91">
                  <w:pPr>
                    <w:widowControl/>
                    <w:jc w:val="center"/>
                    <w:rPr>
                      <w:kern w:val="0"/>
                      <w:sz w:val="18"/>
                      <w:szCs w:val="18"/>
                    </w:rPr>
                  </w:pPr>
                  <w:r>
                    <w:rPr>
                      <w:rFonts w:hint="eastAsia"/>
                      <w:kern w:val="0"/>
                      <w:sz w:val="18"/>
                      <w:szCs w:val="18"/>
                    </w:rPr>
                    <w:t>0.005</w:t>
                  </w:r>
                </w:p>
              </w:tc>
              <w:tc>
                <w:tcPr>
                  <w:tcW w:w="634" w:type="pct"/>
                  <w:vMerge w:val="continue"/>
                  <w:vAlign w:val="center"/>
                </w:tcPr>
                <w:p w14:paraId="12B0641C">
                  <w:pPr>
                    <w:widowControl/>
                    <w:jc w:val="center"/>
                    <w:rPr>
                      <w:kern w:val="0"/>
                      <w:sz w:val="18"/>
                      <w:szCs w:val="18"/>
                    </w:rPr>
                  </w:pPr>
                </w:p>
              </w:tc>
            </w:tr>
            <w:tr w14:paraId="05439D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437" w:type="pct"/>
                  <w:vMerge w:val="continue"/>
                  <w:vAlign w:val="center"/>
                </w:tcPr>
                <w:p w14:paraId="74FB2294">
                  <w:pPr>
                    <w:widowControl/>
                    <w:jc w:val="center"/>
                    <w:rPr>
                      <w:kern w:val="0"/>
                      <w:sz w:val="18"/>
                      <w:szCs w:val="18"/>
                    </w:rPr>
                  </w:pPr>
                </w:p>
              </w:tc>
              <w:tc>
                <w:tcPr>
                  <w:tcW w:w="470" w:type="pct"/>
                  <w:vMerge w:val="continue"/>
                  <w:vAlign w:val="center"/>
                </w:tcPr>
                <w:p w14:paraId="616A6E7E">
                  <w:pPr>
                    <w:widowControl/>
                    <w:jc w:val="center"/>
                    <w:rPr>
                      <w:kern w:val="0"/>
                      <w:sz w:val="18"/>
                      <w:szCs w:val="18"/>
                    </w:rPr>
                  </w:pPr>
                </w:p>
              </w:tc>
              <w:tc>
                <w:tcPr>
                  <w:tcW w:w="538" w:type="pct"/>
                  <w:vAlign w:val="center"/>
                </w:tcPr>
                <w:p w14:paraId="4B1DB2D0">
                  <w:pPr>
                    <w:widowControl/>
                    <w:jc w:val="center"/>
                    <w:rPr>
                      <w:kern w:val="0"/>
                      <w:sz w:val="18"/>
                      <w:szCs w:val="18"/>
                    </w:rPr>
                  </w:pPr>
                  <w:r>
                    <w:rPr>
                      <w:kern w:val="0"/>
                      <w:sz w:val="18"/>
                      <w:szCs w:val="18"/>
                    </w:rPr>
                    <w:t>SS</w:t>
                  </w:r>
                </w:p>
              </w:tc>
              <w:tc>
                <w:tcPr>
                  <w:tcW w:w="487" w:type="pct"/>
                  <w:vAlign w:val="center"/>
                </w:tcPr>
                <w:p w14:paraId="4D61A3A3">
                  <w:pPr>
                    <w:widowControl/>
                    <w:jc w:val="center"/>
                    <w:rPr>
                      <w:rFonts w:hint="default" w:eastAsia="宋体"/>
                      <w:kern w:val="0"/>
                      <w:sz w:val="18"/>
                      <w:szCs w:val="18"/>
                      <w:lang w:val="en-US" w:eastAsia="zh-CN"/>
                    </w:rPr>
                  </w:pPr>
                  <w:r>
                    <w:rPr>
                      <w:rFonts w:hint="eastAsia"/>
                      <w:kern w:val="0"/>
                      <w:sz w:val="18"/>
                      <w:szCs w:val="18"/>
                      <w:lang w:val="en-US" w:eastAsia="zh-CN"/>
                    </w:rPr>
                    <w:t>193</w:t>
                  </w:r>
                </w:p>
              </w:tc>
              <w:tc>
                <w:tcPr>
                  <w:tcW w:w="470" w:type="pct"/>
                  <w:noWrap/>
                  <w:vAlign w:val="center"/>
                </w:tcPr>
                <w:p w14:paraId="35CF8865">
                  <w:pPr>
                    <w:widowControl/>
                    <w:jc w:val="center"/>
                    <w:rPr>
                      <w:rFonts w:hint="eastAsia" w:eastAsia="宋体"/>
                      <w:kern w:val="0"/>
                      <w:sz w:val="18"/>
                      <w:szCs w:val="18"/>
                      <w:lang w:val="en-US" w:eastAsia="zh-CN"/>
                    </w:rPr>
                  </w:pPr>
                  <w:r>
                    <w:rPr>
                      <w:rFonts w:hint="eastAsia"/>
                      <w:kern w:val="0"/>
                      <w:sz w:val="18"/>
                      <w:szCs w:val="18"/>
                    </w:rPr>
                    <w:t>0.020</w:t>
                  </w:r>
                  <w:r>
                    <w:rPr>
                      <w:rFonts w:hint="eastAsia"/>
                      <w:kern w:val="0"/>
                      <w:sz w:val="18"/>
                      <w:szCs w:val="18"/>
                      <w:lang w:val="en-US" w:eastAsia="zh-CN"/>
                    </w:rPr>
                    <w:t>5</w:t>
                  </w:r>
                </w:p>
              </w:tc>
              <w:tc>
                <w:tcPr>
                  <w:tcW w:w="465" w:type="pct"/>
                  <w:vMerge w:val="continue"/>
                  <w:vAlign w:val="center"/>
                </w:tcPr>
                <w:p w14:paraId="75B05EE8">
                  <w:pPr>
                    <w:widowControl/>
                    <w:jc w:val="center"/>
                    <w:rPr>
                      <w:kern w:val="0"/>
                      <w:sz w:val="18"/>
                      <w:szCs w:val="18"/>
                    </w:rPr>
                  </w:pPr>
                </w:p>
              </w:tc>
              <w:tc>
                <w:tcPr>
                  <w:tcW w:w="537" w:type="pct"/>
                  <w:vAlign w:val="center"/>
                </w:tcPr>
                <w:p w14:paraId="0A35F0C8">
                  <w:pPr>
                    <w:widowControl/>
                    <w:jc w:val="center"/>
                    <w:rPr>
                      <w:kern w:val="0"/>
                      <w:sz w:val="18"/>
                      <w:szCs w:val="18"/>
                    </w:rPr>
                  </w:pPr>
                  <w:r>
                    <w:rPr>
                      <w:kern w:val="0"/>
                      <w:sz w:val="18"/>
                      <w:szCs w:val="18"/>
                    </w:rPr>
                    <w:t>SS</w:t>
                  </w:r>
                </w:p>
              </w:tc>
              <w:tc>
                <w:tcPr>
                  <w:tcW w:w="486" w:type="pct"/>
                  <w:noWrap/>
                  <w:vAlign w:val="center"/>
                </w:tcPr>
                <w:p w14:paraId="5262DDEE">
                  <w:pPr>
                    <w:widowControl/>
                    <w:jc w:val="center"/>
                    <w:rPr>
                      <w:kern w:val="0"/>
                      <w:sz w:val="18"/>
                      <w:szCs w:val="18"/>
                    </w:rPr>
                  </w:pPr>
                  <w:r>
                    <w:rPr>
                      <w:rFonts w:hint="eastAsia"/>
                      <w:kern w:val="0"/>
                      <w:sz w:val="18"/>
                      <w:szCs w:val="18"/>
                    </w:rPr>
                    <w:t>10</w:t>
                  </w:r>
                </w:p>
              </w:tc>
              <w:tc>
                <w:tcPr>
                  <w:tcW w:w="470" w:type="pct"/>
                  <w:noWrap/>
                  <w:vAlign w:val="center"/>
                </w:tcPr>
                <w:p w14:paraId="35E8D2EC">
                  <w:pPr>
                    <w:widowControl/>
                    <w:jc w:val="center"/>
                    <w:rPr>
                      <w:kern w:val="0"/>
                      <w:sz w:val="18"/>
                      <w:szCs w:val="18"/>
                    </w:rPr>
                  </w:pPr>
                  <w:r>
                    <w:rPr>
                      <w:rFonts w:hint="eastAsia"/>
                      <w:kern w:val="0"/>
                      <w:sz w:val="18"/>
                      <w:szCs w:val="18"/>
                    </w:rPr>
                    <w:t>0.001</w:t>
                  </w:r>
                </w:p>
              </w:tc>
              <w:tc>
                <w:tcPr>
                  <w:tcW w:w="634" w:type="pct"/>
                  <w:vMerge w:val="continue"/>
                  <w:vAlign w:val="center"/>
                </w:tcPr>
                <w:p w14:paraId="3FF06AF2">
                  <w:pPr>
                    <w:widowControl/>
                    <w:jc w:val="center"/>
                    <w:rPr>
                      <w:kern w:val="0"/>
                      <w:sz w:val="18"/>
                      <w:szCs w:val="18"/>
                    </w:rPr>
                  </w:pPr>
                </w:p>
              </w:tc>
            </w:tr>
            <w:tr w14:paraId="55074F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437" w:type="pct"/>
                  <w:vMerge w:val="continue"/>
                  <w:vAlign w:val="center"/>
                </w:tcPr>
                <w:p w14:paraId="0DEFE551">
                  <w:pPr>
                    <w:widowControl/>
                    <w:jc w:val="center"/>
                    <w:rPr>
                      <w:kern w:val="0"/>
                      <w:sz w:val="18"/>
                      <w:szCs w:val="18"/>
                    </w:rPr>
                  </w:pPr>
                </w:p>
              </w:tc>
              <w:tc>
                <w:tcPr>
                  <w:tcW w:w="470" w:type="pct"/>
                  <w:vMerge w:val="continue"/>
                  <w:vAlign w:val="center"/>
                </w:tcPr>
                <w:p w14:paraId="473CFE3C">
                  <w:pPr>
                    <w:widowControl/>
                    <w:jc w:val="center"/>
                    <w:rPr>
                      <w:kern w:val="0"/>
                      <w:sz w:val="18"/>
                      <w:szCs w:val="18"/>
                    </w:rPr>
                  </w:pPr>
                </w:p>
              </w:tc>
              <w:tc>
                <w:tcPr>
                  <w:tcW w:w="538" w:type="pct"/>
                  <w:vAlign w:val="center"/>
                </w:tcPr>
                <w:p w14:paraId="09F22B47">
                  <w:pPr>
                    <w:widowControl/>
                    <w:jc w:val="center"/>
                    <w:rPr>
                      <w:kern w:val="0"/>
                      <w:sz w:val="18"/>
                      <w:szCs w:val="18"/>
                    </w:rPr>
                  </w:pPr>
                  <w:r>
                    <w:rPr>
                      <w:kern w:val="0"/>
                      <w:sz w:val="18"/>
                      <w:szCs w:val="18"/>
                    </w:rPr>
                    <w:t>NH</w:t>
                  </w:r>
                  <w:r>
                    <w:rPr>
                      <w:kern w:val="0"/>
                      <w:sz w:val="18"/>
                      <w:szCs w:val="18"/>
                      <w:vertAlign w:val="subscript"/>
                    </w:rPr>
                    <w:t>3</w:t>
                  </w:r>
                  <w:r>
                    <w:rPr>
                      <w:kern w:val="0"/>
                      <w:sz w:val="18"/>
                      <w:szCs w:val="18"/>
                    </w:rPr>
                    <w:t>-N</w:t>
                  </w:r>
                </w:p>
              </w:tc>
              <w:tc>
                <w:tcPr>
                  <w:tcW w:w="487" w:type="pct"/>
                  <w:vAlign w:val="center"/>
                </w:tcPr>
                <w:p w14:paraId="2A72F05A">
                  <w:pPr>
                    <w:widowControl/>
                    <w:jc w:val="center"/>
                    <w:rPr>
                      <w:rFonts w:hint="default" w:eastAsia="宋体"/>
                      <w:kern w:val="0"/>
                      <w:sz w:val="18"/>
                      <w:szCs w:val="18"/>
                      <w:lang w:val="en-US" w:eastAsia="zh-CN"/>
                    </w:rPr>
                  </w:pPr>
                  <w:r>
                    <w:rPr>
                      <w:rFonts w:hint="eastAsia"/>
                      <w:kern w:val="0"/>
                      <w:sz w:val="18"/>
                      <w:szCs w:val="18"/>
                      <w:lang w:val="en-US" w:eastAsia="zh-CN"/>
                    </w:rPr>
                    <w:t>25</w:t>
                  </w:r>
                </w:p>
              </w:tc>
              <w:tc>
                <w:tcPr>
                  <w:tcW w:w="470" w:type="pct"/>
                  <w:noWrap/>
                  <w:vAlign w:val="center"/>
                </w:tcPr>
                <w:p w14:paraId="167B70F5">
                  <w:pPr>
                    <w:widowControl/>
                    <w:jc w:val="center"/>
                    <w:rPr>
                      <w:rFonts w:hint="eastAsia" w:eastAsia="宋体"/>
                      <w:kern w:val="0"/>
                      <w:sz w:val="18"/>
                      <w:szCs w:val="18"/>
                      <w:lang w:val="en-US" w:eastAsia="zh-CN"/>
                    </w:rPr>
                  </w:pPr>
                  <w:r>
                    <w:rPr>
                      <w:rFonts w:hint="eastAsia"/>
                      <w:kern w:val="0"/>
                      <w:sz w:val="18"/>
                      <w:szCs w:val="18"/>
                    </w:rPr>
                    <w:t>0.002</w:t>
                  </w:r>
                  <w:r>
                    <w:rPr>
                      <w:rFonts w:hint="eastAsia"/>
                      <w:kern w:val="0"/>
                      <w:sz w:val="18"/>
                      <w:szCs w:val="18"/>
                      <w:lang w:val="en-US" w:eastAsia="zh-CN"/>
                    </w:rPr>
                    <w:t>6</w:t>
                  </w:r>
                </w:p>
              </w:tc>
              <w:tc>
                <w:tcPr>
                  <w:tcW w:w="465" w:type="pct"/>
                  <w:vMerge w:val="continue"/>
                  <w:vAlign w:val="center"/>
                </w:tcPr>
                <w:p w14:paraId="18A92CB1">
                  <w:pPr>
                    <w:widowControl/>
                    <w:jc w:val="center"/>
                    <w:rPr>
                      <w:kern w:val="0"/>
                      <w:sz w:val="18"/>
                      <w:szCs w:val="18"/>
                    </w:rPr>
                  </w:pPr>
                </w:p>
              </w:tc>
              <w:tc>
                <w:tcPr>
                  <w:tcW w:w="537" w:type="pct"/>
                  <w:vAlign w:val="center"/>
                </w:tcPr>
                <w:p w14:paraId="2D2432EE">
                  <w:pPr>
                    <w:widowControl/>
                    <w:jc w:val="center"/>
                    <w:rPr>
                      <w:kern w:val="0"/>
                      <w:sz w:val="18"/>
                      <w:szCs w:val="18"/>
                    </w:rPr>
                  </w:pPr>
                  <w:r>
                    <w:rPr>
                      <w:kern w:val="0"/>
                      <w:sz w:val="18"/>
                      <w:szCs w:val="18"/>
                    </w:rPr>
                    <w:t>NH</w:t>
                  </w:r>
                  <w:r>
                    <w:rPr>
                      <w:kern w:val="0"/>
                      <w:sz w:val="18"/>
                      <w:szCs w:val="18"/>
                      <w:vertAlign w:val="subscript"/>
                    </w:rPr>
                    <w:t>3</w:t>
                  </w:r>
                  <w:r>
                    <w:rPr>
                      <w:kern w:val="0"/>
                      <w:sz w:val="18"/>
                      <w:szCs w:val="18"/>
                    </w:rPr>
                    <w:t>-N</w:t>
                  </w:r>
                </w:p>
              </w:tc>
              <w:tc>
                <w:tcPr>
                  <w:tcW w:w="486" w:type="pct"/>
                  <w:noWrap/>
                  <w:vAlign w:val="center"/>
                </w:tcPr>
                <w:p w14:paraId="60C2A9E1">
                  <w:pPr>
                    <w:widowControl/>
                    <w:jc w:val="center"/>
                    <w:rPr>
                      <w:kern w:val="0"/>
                      <w:sz w:val="18"/>
                      <w:szCs w:val="18"/>
                    </w:rPr>
                  </w:pPr>
                  <w:r>
                    <w:rPr>
                      <w:rFonts w:hint="eastAsia"/>
                      <w:kern w:val="0"/>
                      <w:sz w:val="18"/>
                      <w:szCs w:val="18"/>
                    </w:rPr>
                    <w:t>5</w:t>
                  </w:r>
                </w:p>
              </w:tc>
              <w:tc>
                <w:tcPr>
                  <w:tcW w:w="470" w:type="pct"/>
                  <w:noWrap/>
                  <w:vAlign w:val="center"/>
                </w:tcPr>
                <w:p w14:paraId="26FBF947">
                  <w:pPr>
                    <w:widowControl/>
                    <w:jc w:val="center"/>
                    <w:rPr>
                      <w:kern w:val="0"/>
                      <w:sz w:val="18"/>
                      <w:szCs w:val="18"/>
                    </w:rPr>
                  </w:pPr>
                  <w:r>
                    <w:rPr>
                      <w:rFonts w:hint="eastAsia"/>
                      <w:kern w:val="0"/>
                      <w:sz w:val="18"/>
                      <w:szCs w:val="18"/>
                    </w:rPr>
                    <w:t>0.0005</w:t>
                  </w:r>
                </w:p>
              </w:tc>
              <w:tc>
                <w:tcPr>
                  <w:tcW w:w="634" w:type="pct"/>
                  <w:vMerge w:val="continue"/>
                  <w:vAlign w:val="center"/>
                </w:tcPr>
                <w:p w14:paraId="2B96D8C9">
                  <w:pPr>
                    <w:widowControl/>
                    <w:jc w:val="center"/>
                    <w:rPr>
                      <w:kern w:val="0"/>
                      <w:sz w:val="18"/>
                      <w:szCs w:val="18"/>
                    </w:rPr>
                  </w:pPr>
                </w:p>
              </w:tc>
            </w:tr>
            <w:tr w14:paraId="435F46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437" w:type="pct"/>
                  <w:vMerge w:val="continue"/>
                  <w:vAlign w:val="center"/>
                </w:tcPr>
                <w:p w14:paraId="1473F3CB">
                  <w:pPr>
                    <w:widowControl/>
                    <w:jc w:val="center"/>
                    <w:rPr>
                      <w:kern w:val="0"/>
                      <w:sz w:val="18"/>
                      <w:szCs w:val="18"/>
                    </w:rPr>
                  </w:pPr>
                </w:p>
              </w:tc>
              <w:tc>
                <w:tcPr>
                  <w:tcW w:w="470" w:type="pct"/>
                  <w:vMerge w:val="continue"/>
                  <w:vAlign w:val="center"/>
                </w:tcPr>
                <w:p w14:paraId="3F5C72CF">
                  <w:pPr>
                    <w:widowControl/>
                    <w:jc w:val="center"/>
                    <w:rPr>
                      <w:kern w:val="0"/>
                      <w:sz w:val="18"/>
                      <w:szCs w:val="18"/>
                    </w:rPr>
                  </w:pPr>
                </w:p>
              </w:tc>
              <w:tc>
                <w:tcPr>
                  <w:tcW w:w="538" w:type="pct"/>
                  <w:vAlign w:val="center"/>
                </w:tcPr>
                <w:p w14:paraId="58AD54A7">
                  <w:pPr>
                    <w:widowControl/>
                    <w:jc w:val="center"/>
                    <w:rPr>
                      <w:kern w:val="0"/>
                      <w:sz w:val="18"/>
                      <w:szCs w:val="18"/>
                    </w:rPr>
                  </w:pPr>
                  <w:r>
                    <w:rPr>
                      <w:kern w:val="0"/>
                      <w:sz w:val="18"/>
                      <w:szCs w:val="18"/>
                    </w:rPr>
                    <w:t>TN</w:t>
                  </w:r>
                </w:p>
              </w:tc>
              <w:tc>
                <w:tcPr>
                  <w:tcW w:w="487" w:type="pct"/>
                  <w:vAlign w:val="center"/>
                </w:tcPr>
                <w:p w14:paraId="0C956243">
                  <w:pPr>
                    <w:widowControl/>
                    <w:jc w:val="center"/>
                    <w:rPr>
                      <w:rFonts w:hint="default" w:eastAsia="宋体"/>
                      <w:kern w:val="0"/>
                      <w:sz w:val="18"/>
                      <w:szCs w:val="18"/>
                      <w:lang w:val="en-US" w:eastAsia="zh-CN"/>
                    </w:rPr>
                  </w:pPr>
                  <w:r>
                    <w:rPr>
                      <w:rFonts w:hint="eastAsia"/>
                      <w:kern w:val="0"/>
                      <w:sz w:val="18"/>
                      <w:szCs w:val="18"/>
                      <w:lang w:val="en-US" w:eastAsia="zh-CN"/>
                    </w:rPr>
                    <w:t>35</w:t>
                  </w:r>
                </w:p>
              </w:tc>
              <w:tc>
                <w:tcPr>
                  <w:tcW w:w="470" w:type="pct"/>
                  <w:noWrap/>
                  <w:vAlign w:val="center"/>
                </w:tcPr>
                <w:p w14:paraId="59E764C7">
                  <w:pPr>
                    <w:widowControl/>
                    <w:jc w:val="center"/>
                    <w:rPr>
                      <w:rFonts w:hint="eastAsia" w:eastAsia="宋体"/>
                      <w:kern w:val="0"/>
                      <w:sz w:val="18"/>
                      <w:szCs w:val="18"/>
                      <w:lang w:val="en-US" w:eastAsia="zh-CN"/>
                    </w:rPr>
                  </w:pPr>
                  <w:r>
                    <w:rPr>
                      <w:rFonts w:hint="eastAsia"/>
                      <w:kern w:val="0"/>
                      <w:sz w:val="18"/>
                      <w:szCs w:val="18"/>
                    </w:rPr>
                    <w:t>0.004</w:t>
                  </w:r>
                  <w:r>
                    <w:rPr>
                      <w:rFonts w:hint="eastAsia"/>
                      <w:kern w:val="0"/>
                      <w:sz w:val="18"/>
                      <w:szCs w:val="18"/>
                      <w:lang w:val="en-US" w:eastAsia="zh-CN"/>
                    </w:rPr>
                    <w:t>2</w:t>
                  </w:r>
                </w:p>
              </w:tc>
              <w:tc>
                <w:tcPr>
                  <w:tcW w:w="465" w:type="pct"/>
                  <w:vMerge w:val="continue"/>
                  <w:vAlign w:val="center"/>
                </w:tcPr>
                <w:p w14:paraId="1D12083A">
                  <w:pPr>
                    <w:widowControl/>
                    <w:jc w:val="center"/>
                    <w:rPr>
                      <w:kern w:val="0"/>
                      <w:sz w:val="18"/>
                      <w:szCs w:val="18"/>
                    </w:rPr>
                  </w:pPr>
                </w:p>
              </w:tc>
              <w:tc>
                <w:tcPr>
                  <w:tcW w:w="537" w:type="pct"/>
                  <w:vAlign w:val="center"/>
                </w:tcPr>
                <w:p w14:paraId="57D25C0E">
                  <w:pPr>
                    <w:widowControl/>
                    <w:jc w:val="center"/>
                    <w:rPr>
                      <w:kern w:val="0"/>
                      <w:sz w:val="18"/>
                      <w:szCs w:val="18"/>
                    </w:rPr>
                  </w:pPr>
                  <w:r>
                    <w:rPr>
                      <w:kern w:val="0"/>
                      <w:sz w:val="18"/>
                      <w:szCs w:val="18"/>
                    </w:rPr>
                    <w:t>TN</w:t>
                  </w:r>
                </w:p>
              </w:tc>
              <w:tc>
                <w:tcPr>
                  <w:tcW w:w="486" w:type="pct"/>
                  <w:noWrap/>
                  <w:vAlign w:val="center"/>
                </w:tcPr>
                <w:p w14:paraId="3C226DC3">
                  <w:pPr>
                    <w:widowControl/>
                    <w:jc w:val="center"/>
                    <w:rPr>
                      <w:kern w:val="0"/>
                      <w:sz w:val="18"/>
                      <w:szCs w:val="18"/>
                    </w:rPr>
                  </w:pPr>
                  <w:r>
                    <w:rPr>
                      <w:rFonts w:hint="eastAsia"/>
                      <w:kern w:val="0"/>
                      <w:sz w:val="18"/>
                      <w:szCs w:val="18"/>
                    </w:rPr>
                    <w:t>15</w:t>
                  </w:r>
                </w:p>
              </w:tc>
              <w:tc>
                <w:tcPr>
                  <w:tcW w:w="470" w:type="pct"/>
                  <w:noWrap/>
                  <w:vAlign w:val="center"/>
                </w:tcPr>
                <w:p w14:paraId="0FD9A22B">
                  <w:pPr>
                    <w:widowControl/>
                    <w:jc w:val="center"/>
                    <w:rPr>
                      <w:kern w:val="0"/>
                      <w:sz w:val="18"/>
                      <w:szCs w:val="18"/>
                    </w:rPr>
                  </w:pPr>
                  <w:r>
                    <w:rPr>
                      <w:rFonts w:hint="eastAsia"/>
                      <w:kern w:val="0"/>
                      <w:sz w:val="18"/>
                      <w:szCs w:val="18"/>
                    </w:rPr>
                    <w:t>0.002</w:t>
                  </w:r>
                </w:p>
              </w:tc>
              <w:tc>
                <w:tcPr>
                  <w:tcW w:w="634" w:type="pct"/>
                  <w:vMerge w:val="continue"/>
                  <w:vAlign w:val="center"/>
                </w:tcPr>
                <w:p w14:paraId="2B2EF44F">
                  <w:pPr>
                    <w:widowControl/>
                    <w:jc w:val="center"/>
                    <w:rPr>
                      <w:kern w:val="0"/>
                      <w:sz w:val="18"/>
                      <w:szCs w:val="18"/>
                    </w:rPr>
                  </w:pPr>
                </w:p>
              </w:tc>
            </w:tr>
            <w:tr w14:paraId="59AF0D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9" w:hRule="atLeast"/>
              </w:trPr>
              <w:tc>
                <w:tcPr>
                  <w:tcW w:w="437" w:type="pct"/>
                  <w:vMerge w:val="continue"/>
                  <w:vAlign w:val="center"/>
                </w:tcPr>
                <w:p w14:paraId="391BBC3F">
                  <w:pPr>
                    <w:widowControl/>
                    <w:jc w:val="center"/>
                    <w:rPr>
                      <w:kern w:val="0"/>
                      <w:sz w:val="18"/>
                      <w:szCs w:val="18"/>
                    </w:rPr>
                  </w:pPr>
                </w:p>
              </w:tc>
              <w:tc>
                <w:tcPr>
                  <w:tcW w:w="470" w:type="pct"/>
                  <w:vMerge w:val="continue"/>
                  <w:vAlign w:val="center"/>
                </w:tcPr>
                <w:p w14:paraId="7811A1E3">
                  <w:pPr>
                    <w:widowControl/>
                    <w:jc w:val="center"/>
                    <w:rPr>
                      <w:kern w:val="0"/>
                      <w:sz w:val="18"/>
                      <w:szCs w:val="18"/>
                    </w:rPr>
                  </w:pPr>
                </w:p>
              </w:tc>
              <w:tc>
                <w:tcPr>
                  <w:tcW w:w="538" w:type="pct"/>
                  <w:vAlign w:val="center"/>
                </w:tcPr>
                <w:p w14:paraId="577C7BF9">
                  <w:pPr>
                    <w:widowControl/>
                    <w:jc w:val="center"/>
                    <w:rPr>
                      <w:kern w:val="0"/>
                      <w:sz w:val="18"/>
                      <w:szCs w:val="18"/>
                    </w:rPr>
                  </w:pPr>
                  <w:r>
                    <w:rPr>
                      <w:kern w:val="0"/>
                      <w:sz w:val="18"/>
                      <w:szCs w:val="18"/>
                    </w:rPr>
                    <w:t>TP</w:t>
                  </w:r>
                </w:p>
              </w:tc>
              <w:tc>
                <w:tcPr>
                  <w:tcW w:w="487" w:type="pct"/>
                  <w:vAlign w:val="center"/>
                </w:tcPr>
                <w:p w14:paraId="5DACD8B2">
                  <w:pPr>
                    <w:widowControl/>
                    <w:jc w:val="center"/>
                    <w:rPr>
                      <w:rFonts w:hint="eastAsia" w:eastAsia="宋体"/>
                      <w:kern w:val="0"/>
                      <w:sz w:val="18"/>
                      <w:szCs w:val="18"/>
                      <w:lang w:val="en-US" w:eastAsia="zh-CN"/>
                    </w:rPr>
                  </w:pPr>
                  <w:r>
                    <w:rPr>
                      <w:rFonts w:hint="eastAsia"/>
                      <w:kern w:val="0"/>
                      <w:sz w:val="18"/>
                      <w:szCs w:val="18"/>
                      <w:lang w:val="en-US" w:eastAsia="zh-CN"/>
                    </w:rPr>
                    <w:t>4</w:t>
                  </w:r>
                </w:p>
              </w:tc>
              <w:tc>
                <w:tcPr>
                  <w:tcW w:w="470" w:type="pct"/>
                  <w:noWrap/>
                  <w:vAlign w:val="center"/>
                </w:tcPr>
                <w:p w14:paraId="4B020B51">
                  <w:pPr>
                    <w:widowControl/>
                    <w:jc w:val="center"/>
                    <w:rPr>
                      <w:rFonts w:hint="eastAsia" w:eastAsia="宋体"/>
                      <w:kern w:val="0"/>
                      <w:sz w:val="18"/>
                      <w:szCs w:val="18"/>
                      <w:lang w:val="en-US" w:eastAsia="zh-CN"/>
                    </w:rPr>
                  </w:pPr>
                  <w:r>
                    <w:rPr>
                      <w:rFonts w:hint="eastAsia"/>
                      <w:kern w:val="0"/>
                      <w:sz w:val="18"/>
                      <w:szCs w:val="18"/>
                    </w:rPr>
                    <w:t>0.0004</w:t>
                  </w:r>
                  <w:r>
                    <w:rPr>
                      <w:rFonts w:hint="eastAsia"/>
                      <w:kern w:val="0"/>
                      <w:sz w:val="18"/>
                      <w:szCs w:val="18"/>
                      <w:lang w:val="en-US" w:eastAsia="zh-CN"/>
                    </w:rPr>
                    <w:t>1</w:t>
                  </w:r>
                </w:p>
              </w:tc>
              <w:tc>
                <w:tcPr>
                  <w:tcW w:w="465" w:type="pct"/>
                  <w:vMerge w:val="continue"/>
                  <w:vAlign w:val="center"/>
                </w:tcPr>
                <w:p w14:paraId="2878F66C">
                  <w:pPr>
                    <w:widowControl/>
                    <w:jc w:val="center"/>
                    <w:rPr>
                      <w:kern w:val="0"/>
                      <w:sz w:val="18"/>
                      <w:szCs w:val="18"/>
                    </w:rPr>
                  </w:pPr>
                </w:p>
              </w:tc>
              <w:tc>
                <w:tcPr>
                  <w:tcW w:w="537" w:type="pct"/>
                  <w:vAlign w:val="center"/>
                </w:tcPr>
                <w:p w14:paraId="43925876">
                  <w:pPr>
                    <w:widowControl/>
                    <w:jc w:val="center"/>
                    <w:rPr>
                      <w:kern w:val="0"/>
                      <w:sz w:val="18"/>
                      <w:szCs w:val="18"/>
                    </w:rPr>
                  </w:pPr>
                  <w:r>
                    <w:rPr>
                      <w:kern w:val="0"/>
                      <w:sz w:val="18"/>
                      <w:szCs w:val="18"/>
                    </w:rPr>
                    <w:t>TP</w:t>
                  </w:r>
                </w:p>
              </w:tc>
              <w:tc>
                <w:tcPr>
                  <w:tcW w:w="486" w:type="pct"/>
                  <w:noWrap/>
                  <w:vAlign w:val="center"/>
                </w:tcPr>
                <w:p w14:paraId="60588ECB">
                  <w:pPr>
                    <w:widowControl/>
                    <w:jc w:val="center"/>
                    <w:rPr>
                      <w:kern w:val="0"/>
                      <w:sz w:val="18"/>
                      <w:szCs w:val="18"/>
                    </w:rPr>
                  </w:pPr>
                  <w:r>
                    <w:rPr>
                      <w:rFonts w:hint="eastAsia"/>
                      <w:kern w:val="0"/>
                      <w:sz w:val="18"/>
                      <w:szCs w:val="18"/>
                    </w:rPr>
                    <w:t>0.5</w:t>
                  </w:r>
                </w:p>
              </w:tc>
              <w:tc>
                <w:tcPr>
                  <w:tcW w:w="470" w:type="pct"/>
                  <w:noWrap/>
                  <w:vAlign w:val="center"/>
                </w:tcPr>
                <w:p w14:paraId="406AD91D">
                  <w:pPr>
                    <w:widowControl/>
                    <w:jc w:val="center"/>
                    <w:rPr>
                      <w:kern w:val="0"/>
                      <w:sz w:val="18"/>
                      <w:szCs w:val="18"/>
                    </w:rPr>
                  </w:pPr>
                  <w:r>
                    <w:rPr>
                      <w:rFonts w:hint="eastAsia"/>
                      <w:kern w:val="0"/>
                      <w:sz w:val="18"/>
                      <w:szCs w:val="18"/>
                    </w:rPr>
                    <w:t>0.00005</w:t>
                  </w:r>
                </w:p>
              </w:tc>
              <w:tc>
                <w:tcPr>
                  <w:tcW w:w="634" w:type="pct"/>
                  <w:vMerge w:val="continue"/>
                  <w:vAlign w:val="center"/>
                </w:tcPr>
                <w:p w14:paraId="5E17FF6E">
                  <w:pPr>
                    <w:widowControl/>
                    <w:jc w:val="center"/>
                    <w:rPr>
                      <w:kern w:val="0"/>
                      <w:sz w:val="18"/>
                      <w:szCs w:val="18"/>
                    </w:rPr>
                  </w:pPr>
                </w:p>
              </w:tc>
            </w:tr>
          </w:tbl>
          <w:p w14:paraId="27C9CDEF">
            <w:pPr>
              <w:widowControl/>
              <w:shd w:val="clear" w:color="auto" w:fill="FFFFFF"/>
              <w:spacing w:line="360" w:lineRule="auto"/>
              <w:ind w:firstLine="454" w:firstLineChars="200"/>
              <w:jc w:val="left"/>
              <w:rPr>
                <w:b/>
                <w:bCs/>
                <w:spacing w:val="8"/>
                <w:kern w:val="0"/>
                <w:szCs w:val="21"/>
              </w:rPr>
            </w:pPr>
            <w:r>
              <w:rPr>
                <w:b/>
                <w:bCs/>
                <w:spacing w:val="8"/>
                <w:kern w:val="0"/>
                <w:szCs w:val="21"/>
              </w:rPr>
              <w:t>（3）</w:t>
            </w:r>
            <w:r>
              <w:rPr>
                <w:rFonts w:hint="eastAsia"/>
                <w:b/>
                <w:bCs/>
                <w:spacing w:val="8"/>
                <w:kern w:val="0"/>
                <w:szCs w:val="21"/>
                <w:lang w:val="en-US" w:eastAsia="zh-CN"/>
              </w:rPr>
              <w:t>废水污染防治措施可行性分析</w:t>
            </w:r>
          </w:p>
          <w:p w14:paraId="62C7257A">
            <w:pPr>
              <w:widowControl/>
              <w:shd w:val="clear" w:color="auto" w:fill="FFFFFF"/>
              <w:spacing w:line="360" w:lineRule="auto"/>
              <w:ind w:firstLine="452" w:firstLineChars="200"/>
              <w:rPr>
                <w:spacing w:val="8"/>
                <w:kern w:val="0"/>
                <w:szCs w:val="21"/>
              </w:rPr>
            </w:pPr>
            <w:r>
              <w:rPr>
                <w:rFonts w:hint="eastAsia"/>
                <w:b w:val="0"/>
                <w:bCs w:val="0"/>
                <w:spacing w:val="8"/>
                <w:kern w:val="0"/>
                <w:szCs w:val="21"/>
                <w:lang w:val="en-US" w:eastAsia="zh-CN"/>
              </w:rPr>
              <w:t>项目生活污水经化粪池预处理、后道清洗废水经厂区污水处理设施处理后</w:t>
            </w:r>
            <w:r>
              <w:rPr>
                <w:rFonts w:hint="eastAsia"/>
                <w:spacing w:val="6"/>
                <w:szCs w:val="21"/>
                <w:shd w:val="clear" w:color="auto" w:fill="FFFFFF"/>
                <w:lang w:val="en-US" w:eastAsia="zh-CN"/>
              </w:rPr>
              <w:t>一起</w:t>
            </w:r>
            <w:r>
              <w:rPr>
                <w:spacing w:val="6"/>
                <w:szCs w:val="21"/>
                <w:shd w:val="clear" w:color="auto" w:fill="FFFFFF"/>
              </w:rPr>
              <w:t>接管至</w:t>
            </w:r>
            <w:r>
              <w:rPr>
                <w:rFonts w:hint="eastAsia"/>
                <w:spacing w:val="6"/>
                <w:szCs w:val="21"/>
                <w:shd w:val="clear" w:color="auto" w:fill="FFFFFF"/>
              </w:rPr>
              <w:t>海安李堡滇池水务有限公司</w:t>
            </w:r>
            <w:r>
              <w:rPr>
                <w:spacing w:val="6"/>
                <w:szCs w:val="21"/>
                <w:shd w:val="clear" w:color="auto" w:fill="FFFFFF"/>
              </w:rPr>
              <w:t>处理，达标尾水排入</w:t>
            </w:r>
            <w:r>
              <w:rPr>
                <w:rFonts w:hint="eastAsia"/>
                <w:spacing w:val="6"/>
                <w:szCs w:val="21"/>
                <w:shd w:val="clear" w:color="auto" w:fill="FFFFFF"/>
              </w:rPr>
              <w:t>北凌河</w:t>
            </w:r>
            <w:r>
              <w:rPr>
                <w:spacing w:val="6"/>
                <w:szCs w:val="21"/>
                <w:shd w:val="clear" w:color="auto" w:fill="FFFFFF"/>
              </w:rPr>
              <w:t>。</w:t>
            </w:r>
          </w:p>
          <w:p w14:paraId="6E6C4E14">
            <w:pPr>
              <w:widowControl/>
              <w:shd w:val="clear" w:color="auto" w:fill="FFFFFF"/>
              <w:spacing w:line="360" w:lineRule="auto"/>
              <w:ind w:firstLine="452" w:firstLineChars="200"/>
              <w:jc w:val="left"/>
              <w:rPr>
                <w:rFonts w:hint="default" w:eastAsia="宋体"/>
                <w:b w:val="0"/>
                <w:bCs w:val="0"/>
                <w:spacing w:val="8"/>
                <w:kern w:val="0"/>
                <w:szCs w:val="21"/>
                <w:lang w:val="en-US" w:eastAsia="zh-CN"/>
              </w:rPr>
            </w:pPr>
            <w:r>
              <w:rPr>
                <w:rFonts w:hint="eastAsia"/>
                <w:b w:val="0"/>
                <w:bCs w:val="0"/>
                <w:spacing w:val="8"/>
                <w:kern w:val="0"/>
                <w:szCs w:val="21"/>
                <w:lang w:val="en-US" w:eastAsia="zh-CN"/>
              </w:rPr>
              <w:t>厂区污水处理设施工艺如下：</w:t>
            </w:r>
          </w:p>
          <w:p w14:paraId="21AD7B44">
            <w:pPr>
              <w:widowControl/>
              <w:shd w:val="clear" w:color="auto" w:fill="FFFFFF"/>
              <w:spacing w:line="360" w:lineRule="auto"/>
              <w:jc w:val="center"/>
              <w:rPr>
                <w:b/>
                <w:bCs/>
                <w:spacing w:val="8"/>
                <w:kern w:val="0"/>
                <w:szCs w:val="21"/>
              </w:rPr>
            </w:pPr>
            <w:r>
              <w:drawing>
                <wp:inline distT="0" distB="0" distL="114300" distR="114300">
                  <wp:extent cx="5614035" cy="1518920"/>
                  <wp:effectExtent l="0" t="0" r="5715" b="5080"/>
                  <wp:docPr id="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pic:cNvPicPr>
                            <a:picLocks noChangeAspect="1"/>
                          </pic:cNvPicPr>
                        </pic:nvPicPr>
                        <pic:blipFill>
                          <a:blip r:embed="rId15"/>
                          <a:stretch>
                            <a:fillRect/>
                          </a:stretch>
                        </pic:blipFill>
                        <pic:spPr>
                          <a:xfrm>
                            <a:off x="0" y="0"/>
                            <a:ext cx="5614035" cy="1518920"/>
                          </a:xfrm>
                          <a:prstGeom prst="rect">
                            <a:avLst/>
                          </a:prstGeom>
                          <a:noFill/>
                          <a:ln>
                            <a:noFill/>
                          </a:ln>
                        </pic:spPr>
                      </pic:pic>
                    </a:graphicData>
                  </a:graphic>
                </wp:inline>
              </w:drawing>
            </w:r>
          </w:p>
          <w:p w14:paraId="7FE9EFA6">
            <w:pPr>
              <w:adjustRightInd w:val="0"/>
              <w:snapToGrid w:val="0"/>
              <w:spacing w:line="360" w:lineRule="auto"/>
              <w:ind w:firstLine="480"/>
              <w:jc w:val="center"/>
              <w:rPr>
                <w:b/>
                <w:bCs/>
                <w:szCs w:val="21"/>
              </w:rPr>
            </w:pPr>
            <w:r>
              <w:rPr>
                <w:rFonts w:hint="eastAsia"/>
                <w:b/>
                <w:bCs/>
                <w:szCs w:val="21"/>
              </w:rPr>
              <w:t xml:space="preserve">图4-3 </w:t>
            </w:r>
            <w:r>
              <w:rPr>
                <w:rFonts w:hint="eastAsia"/>
                <w:b/>
                <w:bCs/>
                <w:szCs w:val="21"/>
                <w:lang w:val="en-US" w:eastAsia="zh-CN"/>
              </w:rPr>
              <w:t>厂区</w:t>
            </w:r>
            <w:r>
              <w:rPr>
                <w:rFonts w:hint="eastAsia"/>
                <w:b/>
                <w:bCs/>
                <w:szCs w:val="21"/>
              </w:rPr>
              <w:t>污水处理工艺示意图</w:t>
            </w:r>
          </w:p>
          <w:p w14:paraId="2B5FAC07">
            <w:pPr>
              <w:widowControl/>
              <w:shd w:val="clear" w:color="auto" w:fill="FFFFFF"/>
              <w:spacing w:line="360" w:lineRule="auto"/>
              <w:ind w:firstLine="452" w:firstLineChars="200"/>
              <w:rPr>
                <w:rFonts w:hint="default"/>
                <w:b w:val="0"/>
                <w:bCs w:val="0"/>
                <w:spacing w:val="8"/>
                <w:kern w:val="0"/>
                <w:szCs w:val="21"/>
                <w:lang w:val="en-US" w:eastAsia="zh-CN"/>
              </w:rPr>
            </w:pPr>
            <w:r>
              <w:rPr>
                <w:rFonts w:hint="eastAsia"/>
                <w:b w:val="0"/>
                <w:bCs w:val="0"/>
                <w:spacing w:val="8"/>
                <w:kern w:val="0"/>
                <w:szCs w:val="21"/>
                <w:lang w:val="en-US" w:eastAsia="zh-CN"/>
              </w:rPr>
              <w:t>实验室后道清洗废水经收集系统收集后达到一定液位高度，通过提升泵定量提升到实验室一体化污水处理设备。收集池能够容纳1m</w:t>
            </w:r>
            <w:r>
              <w:rPr>
                <w:rFonts w:hint="eastAsia"/>
                <w:b w:val="0"/>
                <w:bCs w:val="0"/>
                <w:spacing w:val="8"/>
                <w:kern w:val="0"/>
                <w:szCs w:val="21"/>
                <w:vertAlign w:val="superscript"/>
                <w:lang w:val="en-US" w:eastAsia="zh-CN"/>
              </w:rPr>
              <w:t>3</w:t>
            </w:r>
            <w:r>
              <w:rPr>
                <w:rFonts w:hint="eastAsia"/>
                <w:b w:val="0"/>
                <w:bCs w:val="0"/>
                <w:spacing w:val="8"/>
                <w:kern w:val="0"/>
                <w:szCs w:val="21"/>
                <w:vertAlign w:val="baseline"/>
                <w:lang w:val="en-US" w:eastAsia="zh-CN"/>
              </w:rPr>
              <w:t>，每天废水产生量0.024t，符合《化学实验室废水处理装置技术规范》（GB/T40378-2021）</w:t>
            </w:r>
            <w:r>
              <w:rPr>
                <w:rFonts w:hint="eastAsia"/>
                <w:b w:val="0"/>
                <w:bCs w:val="0"/>
                <w:spacing w:val="8"/>
                <w:kern w:val="0"/>
                <w:szCs w:val="21"/>
                <w:lang w:val="en-US" w:eastAsia="zh-CN"/>
              </w:rPr>
              <w:t>正常情况下不小于1d处理量的废水。</w:t>
            </w:r>
          </w:p>
          <w:p w14:paraId="670B03EB">
            <w:pPr>
              <w:widowControl/>
              <w:shd w:val="clear" w:color="auto" w:fill="FFFFFF"/>
              <w:spacing w:line="360" w:lineRule="auto"/>
              <w:ind w:firstLine="452" w:firstLineChars="200"/>
              <w:rPr>
                <w:rFonts w:hint="default"/>
                <w:b w:val="0"/>
                <w:bCs w:val="0"/>
                <w:spacing w:val="8"/>
                <w:kern w:val="0"/>
                <w:szCs w:val="21"/>
                <w:lang w:val="en-US" w:eastAsia="zh-CN"/>
              </w:rPr>
            </w:pPr>
            <w:r>
              <w:rPr>
                <w:rFonts w:hint="eastAsia"/>
                <w:b w:val="0"/>
                <w:bCs w:val="0"/>
                <w:spacing w:val="8"/>
                <w:kern w:val="0"/>
                <w:szCs w:val="21"/>
                <w:lang w:val="en-US" w:eastAsia="zh-CN"/>
              </w:rPr>
              <w:t>在一体化污水处理设备中首先进入酸碱中和调节系统，进行酸碱中和。主体结构由酸碱中和池、酸液药箱、碱液药箱组成。控制系统由中央控制模块、pH传感器、酸液计量泵、碱液计量泵、液位传感器等组成。药箱设置液位测量或报警装置。pH调整过程中有曝气搅拌或机械搅拌。根据pH实测值，系统应自动调整pH值至设定值。通过pH控制仪，利用计量泵准确投加药剂，调节pH值至6～9之间。</w:t>
            </w:r>
          </w:p>
          <w:p w14:paraId="4CA6193A">
            <w:pPr>
              <w:widowControl/>
              <w:shd w:val="clear" w:color="auto" w:fill="FFFFFF"/>
              <w:spacing w:line="360" w:lineRule="auto"/>
              <w:ind w:firstLine="452" w:firstLineChars="200"/>
              <w:rPr>
                <w:rFonts w:hint="eastAsia"/>
                <w:b w:val="0"/>
                <w:bCs w:val="0"/>
                <w:spacing w:val="8"/>
                <w:kern w:val="0"/>
                <w:szCs w:val="21"/>
                <w:lang w:val="en-US" w:eastAsia="zh-CN"/>
              </w:rPr>
            </w:pPr>
            <w:r>
              <w:rPr>
                <w:rFonts w:hint="eastAsia"/>
                <w:b w:val="0"/>
                <w:bCs w:val="0"/>
                <w:spacing w:val="8"/>
                <w:kern w:val="0"/>
                <w:szCs w:val="21"/>
                <w:lang w:val="en-US" w:eastAsia="zh-CN"/>
              </w:rPr>
              <w:t>酸碱中和池出水进入多介质过滤器，尚未被去除的细小悬浮物及极少量的有机物等，一部分通过石英砂以及具有巨大孔隙结构和比表面积的活性炭的吸咐、截留等物理、化学作用等去除，另一部则被附着在活性炭上的微生物膜中的厌氧、好氧及兼性菌等降解去除，活性炭截留吸咐，与微生物降解解吸的过程穿插、交替、循环进行。整个废水处理流程，通过自动控制系统控制，中和调节系统设有浮球液位控制仪，低液位自动停泵，高液位自动启动。处理后的废水可达标排放。</w:t>
            </w:r>
          </w:p>
          <w:p w14:paraId="02C91504">
            <w:pPr>
              <w:widowControl/>
              <w:shd w:val="clear" w:color="auto" w:fill="FFFFFF"/>
              <w:spacing w:line="360" w:lineRule="auto"/>
              <w:ind w:firstLine="452" w:firstLineChars="200"/>
              <w:rPr>
                <w:rFonts w:hint="eastAsia"/>
                <w:b w:val="0"/>
                <w:bCs w:val="0"/>
                <w:spacing w:val="8"/>
                <w:kern w:val="0"/>
                <w:szCs w:val="21"/>
                <w:lang w:val="en-US" w:eastAsia="zh-CN"/>
              </w:rPr>
            </w:pPr>
            <w:r>
              <w:rPr>
                <w:rFonts w:hint="eastAsia"/>
                <w:b w:val="0"/>
                <w:bCs w:val="0"/>
                <w:spacing w:val="8"/>
                <w:kern w:val="0"/>
                <w:szCs w:val="21"/>
                <w:lang w:val="en-US" w:eastAsia="zh-CN"/>
              </w:rPr>
              <w:t>项目污泥产生量较少，污泥干化采用</w:t>
            </w:r>
            <w:r>
              <w:rPr>
                <w:rFonts w:hint="eastAsia"/>
                <w:b w:val="0"/>
                <w:bCs w:val="0"/>
                <w:spacing w:val="8"/>
                <w:kern w:val="0"/>
                <w:szCs w:val="21"/>
                <w:lang w:val="en-US" w:eastAsia="zh-CN"/>
              </w:rPr>
              <w:fldChar w:fldCharType="begin"/>
            </w:r>
            <w:r>
              <w:rPr>
                <w:rFonts w:hint="eastAsia"/>
                <w:b w:val="0"/>
                <w:bCs w:val="0"/>
                <w:spacing w:val="8"/>
                <w:kern w:val="0"/>
                <w:szCs w:val="21"/>
                <w:lang w:val="en-US" w:eastAsia="zh-CN"/>
              </w:rPr>
              <w:instrText xml:space="preserve"> HYPERLINK "https://baike.baidu.com/item/%E6%B1%A1%E6%B3%A5%E5%B9%B2%E5%8C%96%E5%9C%BA/19174186?fromModule=lemma_inlink" \t "https://baike.baidu.com/item/%E6%B1%A1%E6%B3%A5%E5%B9%B2%E5%8C%96/_blank" </w:instrText>
            </w:r>
            <w:r>
              <w:rPr>
                <w:rFonts w:hint="eastAsia"/>
                <w:b w:val="0"/>
                <w:bCs w:val="0"/>
                <w:spacing w:val="8"/>
                <w:kern w:val="0"/>
                <w:szCs w:val="21"/>
                <w:lang w:val="en-US" w:eastAsia="zh-CN"/>
              </w:rPr>
              <w:fldChar w:fldCharType="separate"/>
            </w:r>
            <w:r>
              <w:rPr>
                <w:rFonts w:hint="eastAsia"/>
                <w:b w:val="0"/>
                <w:bCs w:val="0"/>
                <w:spacing w:val="8"/>
                <w:kern w:val="0"/>
                <w:szCs w:val="21"/>
                <w:lang w:val="en-US" w:eastAsia="zh-CN"/>
              </w:rPr>
              <w:t>污泥干化场</w:t>
            </w:r>
            <w:r>
              <w:rPr>
                <w:rFonts w:hint="eastAsia"/>
                <w:b w:val="0"/>
                <w:bCs w:val="0"/>
                <w:spacing w:val="8"/>
                <w:kern w:val="0"/>
                <w:szCs w:val="21"/>
                <w:lang w:val="en-US" w:eastAsia="zh-CN"/>
              </w:rPr>
              <w:fldChar w:fldCharType="end"/>
            </w:r>
            <w:r>
              <w:rPr>
                <w:rFonts w:hint="eastAsia"/>
                <w:b w:val="0"/>
                <w:bCs w:val="0"/>
                <w:spacing w:val="8"/>
                <w:kern w:val="0"/>
                <w:szCs w:val="21"/>
                <w:lang w:val="en-US" w:eastAsia="zh-CN"/>
              </w:rPr>
              <w:t>自蒸发设施，通过蒸发作用，从</w:t>
            </w:r>
            <w:r>
              <w:rPr>
                <w:rFonts w:hint="eastAsia"/>
                <w:b w:val="0"/>
                <w:bCs w:val="0"/>
                <w:spacing w:val="8"/>
                <w:kern w:val="0"/>
                <w:szCs w:val="21"/>
                <w:lang w:val="en-US" w:eastAsia="zh-CN"/>
              </w:rPr>
              <w:fldChar w:fldCharType="begin"/>
            </w:r>
            <w:r>
              <w:rPr>
                <w:rFonts w:hint="eastAsia"/>
                <w:b w:val="0"/>
                <w:bCs w:val="0"/>
                <w:spacing w:val="8"/>
                <w:kern w:val="0"/>
                <w:szCs w:val="21"/>
                <w:lang w:val="en-US" w:eastAsia="zh-CN"/>
              </w:rPr>
              <w:instrText xml:space="preserve"> HYPERLINK "https://baike.baidu.com/item/%E6%B1%A1%E6%B3%A5/7586290?fromModule=lemma_inlink" \t "https://baike.baidu.com/item/%E6%B1%A1%E6%B3%A5%E5%B9%B2%E5%8C%96/_blank" </w:instrText>
            </w:r>
            <w:r>
              <w:rPr>
                <w:rFonts w:hint="eastAsia"/>
                <w:b w:val="0"/>
                <w:bCs w:val="0"/>
                <w:spacing w:val="8"/>
                <w:kern w:val="0"/>
                <w:szCs w:val="21"/>
                <w:lang w:val="en-US" w:eastAsia="zh-CN"/>
              </w:rPr>
              <w:fldChar w:fldCharType="separate"/>
            </w:r>
            <w:r>
              <w:rPr>
                <w:rFonts w:hint="eastAsia"/>
                <w:b w:val="0"/>
                <w:bCs w:val="0"/>
                <w:spacing w:val="8"/>
                <w:kern w:val="0"/>
                <w:szCs w:val="21"/>
                <w:lang w:val="en-US" w:eastAsia="zh-CN"/>
              </w:rPr>
              <w:t>污泥</w:t>
            </w:r>
            <w:r>
              <w:rPr>
                <w:rFonts w:hint="eastAsia"/>
                <w:b w:val="0"/>
                <w:bCs w:val="0"/>
                <w:spacing w:val="8"/>
                <w:kern w:val="0"/>
                <w:szCs w:val="21"/>
                <w:lang w:val="en-US" w:eastAsia="zh-CN"/>
              </w:rPr>
              <w:fldChar w:fldCharType="end"/>
            </w:r>
            <w:r>
              <w:rPr>
                <w:rFonts w:hint="eastAsia"/>
                <w:b w:val="0"/>
                <w:bCs w:val="0"/>
                <w:spacing w:val="8"/>
                <w:kern w:val="0"/>
                <w:szCs w:val="21"/>
                <w:lang w:val="en-US" w:eastAsia="zh-CN"/>
              </w:rPr>
              <w:t>中去除大部分含水量。</w:t>
            </w:r>
          </w:p>
          <w:p w14:paraId="03981823">
            <w:pPr>
              <w:adjustRightInd w:val="0"/>
              <w:snapToGrid w:val="0"/>
              <w:jc w:val="center"/>
              <w:rPr>
                <w:rFonts w:hint="default" w:eastAsia="宋体"/>
                <w:b/>
                <w:bCs/>
                <w:kern w:val="0"/>
                <w:szCs w:val="21"/>
                <w:lang w:val="en-US" w:eastAsia="zh-CN"/>
              </w:rPr>
            </w:pPr>
            <w:r>
              <w:rPr>
                <w:b/>
                <w:bCs/>
                <w:kern w:val="0"/>
                <w:szCs w:val="21"/>
              </w:rPr>
              <w:t>表4-</w:t>
            </w:r>
            <w:r>
              <w:rPr>
                <w:rFonts w:hint="eastAsia"/>
                <w:b/>
                <w:bCs/>
                <w:kern w:val="0"/>
                <w:szCs w:val="21"/>
              </w:rPr>
              <w:t>1</w:t>
            </w:r>
            <w:r>
              <w:rPr>
                <w:rFonts w:hint="eastAsia"/>
                <w:b/>
                <w:bCs/>
                <w:kern w:val="0"/>
                <w:szCs w:val="21"/>
                <w:lang w:val="en-US" w:eastAsia="zh-CN"/>
              </w:rPr>
              <w:t>5 废水处理设施参数</w:t>
            </w:r>
          </w:p>
          <w:tbl>
            <w:tblPr>
              <w:tblStyle w:val="23"/>
              <w:tblW w:w="495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2655"/>
              <w:gridCol w:w="5060"/>
            </w:tblGrid>
            <w:tr w14:paraId="38674B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585" w:type="pct"/>
                  <w:tcBorders>
                    <w:tl2br w:val="nil"/>
                    <w:tr2bl w:val="nil"/>
                  </w:tcBorders>
                  <w:vAlign w:val="center"/>
                </w:tcPr>
                <w:p w14:paraId="0A1976F7">
                  <w:pPr>
                    <w:adjustRightInd w:val="0"/>
                    <w:snapToGrid w:val="0"/>
                    <w:jc w:val="center"/>
                    <w:rPr>
                      <w:rFonts w:hint="eastAsia" w:ascii="Times New Roman" w:hAnsi="Times New Roman" w:eastAsia="宋体" w:cs="Times New Roman"/>
                      <w:b/>
                      <w:bCs/>
                      <w:sz w:val="18"/>
                      <w:szCs w:val="18"/>
                      <w:lang w:val="en-US" w:eastAsia="zh-CN" w:bidi="ar"/>
                    </w:rPr>
                  </w:pPr>
                  <w:r>
                    <w:rPr>
                      <w:rFonts w:hint="eastAsia" w:ascii="Times New Roman" w:hAnsi="Times New Roman" w:eastAsia="宋体" w:cs="Times New Roman"/>
                      <w:b/>
                      <w:bCs/>
                      <w:sz w:val="18"/>
                      <w:szCs w:val="18"/>
                      <w:lang w:val="en-US" w:eastAsia="zh-CN" w:bidi="ar"/>
                    </w:rPr>
                    <w:t>序号</w:t>
                  </w:r>
                </w:p>
              </w:tc>
              <w:tc>
                <w:tcPr>
                  <w:tcW w:w="1519" w:type="pct"/>
                  <w:tcBorders>
                    <w:tl2br w:val="nil"/>
                    <w:tr2bl w:val="nil"/>
                  </w:tcBorders>
                  <w:vAlign w:val="center"/>
                </w:tcPr>
                <w:p w14:paraId="21604971">
                  <w:pPr>
                    <w:adjustRightInd w:val="0"/>
                    <w:snapToGrid w:val="0"/>
                    <w:jc w:val="center"/>
                    <w:rPr>
                      <w:rFonts w:hint="eastAsia" w:ascii="Times New Roman" w:hAnsi="Times New Roman" w:eastAsia="宋体" w:cs="Times New Roman"/>
                      <w:b/>
                      <w:bCs/>
                      <w:sz w:val="18"/>
                      <w:szCs w:val="18"/>
                      <w:lang w:val="en-US" w:eastAsia="zh-CN" w:bidi="ar"/>
                    </w:rPr>
                  </w:pPr>
                  <w:r>
                    <w:rPr>
                      <w:rFonts w:hint="eastAsia" w:ascii="Times New Roman" w:hAnsi="Times New Roman" w:eastAsia="宋体" w:cs="Times New Roman"/>
                      <w:b/>
                      <w:bCs/>
                      <w:sz w:val="18"/>
                      <w:szCs w:val="18"/>
                      <w:lang w:val="en-US" w:eastAsia="zh-CN" w:bidi="ar"/>
                    </w:rPr>
                    <w:t>名称</w:t>
                  </w:r>
                </w:p>
              </w:tc>
              <w:tc>
                <w:tcPr>
                  <w:tcW w:w="2895" w:type="pct"/>
                  <w:tcBorders>
                    <w:tl2br w:val="nil"/>
                    <w:tr2bl w:val="nil"/>
                  </w:tcBorders>
                  <w:vAlign w:val="center"/>
                </w:tcPr>
                <w:p w14:paraId="1D61A4DF">
                  <w:pPr>
                    <w:adjustRightInd w:val="0"/>
                    <w:snapToGrid w:val="0"/>
                    <w:jc w:val="center"/>
                    <w:rPr>
                      <w:rFonts w:hint="eastAsia" w:ascii="Times New Roman" w:hAnsi="Times New Roman" w:eastAsia="宋体" w:cs="Times New Roman"/>
                      <w:b/>
                      <w:bCs/>
                      <w:sz w:val="18"/>
                      <w:szCs w:val="18"/>
                      <w:lang w:val="en-US" w:eastAsia="zh-CN" w:bidi="ar"/>
                    </w:rPr>
                  </w:pPr>
                  <w:r>
                    <w:rPr>
                      <w:rFonts w:hint="eastAsia" w:ascii="Times New Roman" w:hAnsi="Times New Roman" w:eastAsia="宋体" w:cs="Times New Roman"/>
                      <w:b/>
                      <w:bCs/>
                      <w:sz w:val="18"/>
                      <w:szCs w:val="18"/>
                      <w:lang w:val="en-US" w:eastAsia="zh-CN" w:bidi="ar"/>
                    </w:rPr>
                    <w:t>规格型号</w:t>
                  </w:r>
                </w:p>
              </w:tc>
            </w:tr>
            <w:tr w14:paraId="6B02A7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585" w:type="pct"/>
                  <w:tcBorders>
                    <w:tl2br w:val="nil"/>
                    <w:tr2bl w:val="nil"/>
                  </w:tcBorders>
                  <w:vAlign w:val="center"/>
                </w:tcPr>
                <w:p w14:paraId="662E5B63">
                  <w:pPr>
                    <w:pStyle w:val="53"/>
                    <w:rPr>
                      <w:rFonts w:hint="eastAsia" w:eastAsia="宋体"/>
                      <w:sz w:val="18"/>
                      <w:szCs w:val="18"/>
                      <w:lang w:val="en-US" w:eastAsia="zh-CN"/>
                    </w:rPr>
                  </w:pPr>
                  <w:r>
                    <w:rPr>
                      <w:rFonts w:hint="eastAsia"/>
                      <w:sz w:val="18"/>
                      <w:szCs w:val="18"/>
                      <w:lang w:val="en-US" w:eastAsia="zh-CN"/>
                    </w:rPr>
                    <w:t>1</w:t>
                  </w:r>
                </w:p>
              </w:tc>
              <w:tc>
                <w:tcPr>
                  <w:tcW w:w="1519" w:type="pct"/>
                  <w:tcBorders>
                    <w:tl2br w:val="nil"/>
                    <w:tr2bl w:val="nil"/>
                  </w:tcBorders>
                  <w:vAlign w:val="center"/>
                </w:tcPr>
                <w:p w14:paraId="275D1186">
                  <w:pPr>
                    <w:pStyle w:val="53"/>
                    <w:rPr>
                      <w:rFonts w:hint="default" w:eastAsia="宋体"/>
                      <w:sz w:val="18"/>
                      <w:szCs w:val="18"/>
                      <w:lang w:val="en-US" w:eastAsia="zh-CN"/>
                    </w:rPr>
                  </w:pPr>
                  <w:r>
                    <w:rPr>
                      <w:rFonts w:hint="eastAsia"/>
                      <w:sz w:val="18"/>
                      <w:szCs w:val="18"/>
                      <w:lang w:val="en-US" w:eastAsia="zh-CN"/>
                    </w:rPr>
                    <w:t>实验室废水处理设备</w:t>
                  </w:r>
                </w:p>
              </w:tc>
              <w:tc>
                <w:tcPr>
                  <w:tcW w:w="2895" w:type="pct"/>
                  <w:tcBorders>
                    <w:tl2br w:val="nil"/>
                    <w:tr2bl w:val="nil"/>
                  </w:tcBorders>
                  <w:vAlign w:val="center"/>
                </w:tcPr>
                <w:p w14:paraId="2DD2C736">
                  <w:pPr>
                    <w:pStyle w:val="5"/>
                    <w:ind w:firstLine="0" w:firstLineChars="0"/>
                    <w:jc w:val="center"/>
                    <w:rPr>
                      <w:rFonts w:hint="eastAsia" w:ascii="Times New Roman" w:hAnsi="Times New Roman" w:cs="Times New Roman"/>
                      <w:sz w:val="18"/>
                      <w:szCs w:val="18"/>
                      <w:vertAlign w:val="baseline"/>
                      <w:lang w:val="en-US" w:eastAsia="zh-CN"/>
                    </w:rPr>
                  </w:pPr>
                  <w:r>
                    <w:rPr>
                      <w:rFonts w:hint="default" w:ascii="Times New Roman" w:hAnsi="Times New Roman" w:cs="Times New Roman"/>
                      <w:sz w:val="18"/>
                      <w:szCs w:val="18"/>
                      <w:lang w:val="en-US" w:eastAsia="zh-CN"/>
                    </w:rPr>
                    <w:t>处理量：1m</w:t>
                  </w:r>
                  <w:r>
                    <w:rPr>
                      <w:rFonts w:hint="default" w:ascii="Times New Roman" w:hAnsi="Times New Roman" w:cs="Times New Roman"/>
                      <w:sz w:val="18"/>
                      <w:szCs w:val="18"/>
                      <w:vertAlign w:val="superscript"/>
                      <w:lang w:val="en-US" w:eastAsia="zh-CN"/>
                    </w:rPr>
                    <w:t>3</w:t>
                  </w:r>
                  <w:r>
                    <w:rPr>
                      <w:rFonts w:hint="default" w:ascii="Times New Roman" w:hAnsi="Times New Roman" w:cs="Times New Roman"/>
                      <w:sz w:val="18"/>
                      <w:szCs w:val="18"/>
                      <w:vertAlign w:val="baseline"/>
                      <w:lang w:val="en-US" w:eastAsia="zh-CN"/>
                    </w:rPr>
                    <w:t>/h；设备尺寸</w:t>
                  </w:r>
                  <w:r>
                    <w:rPr>
                      <w:rFonts w:hint="default" w:ascii="Times New Roman" w:hAnsi="Times New Roman" w:cs="Times New Roman"/>
                      <w:sz w:val="18"/>
                      <w:szCs w:val="18"/>
                      <w:vertAlign w:val="baseline"/>
                      <w:lang w:val="en-US" w:eastAsia="zh-CN"/>
                    </w:rPr>
                    <w:t>：</w:t>
                  </w:r>
                  <w:r>
                    <w:rPr>
                      <w:rFonts w:hint="eastAsia" w:ascii="Times New Roman" w:hAnsi="Times New Roman" w:cs="Times New Roman"/>
                      <w:sz w:val="18"/>
                      <w:szCs w:val="18"/>
                      <w:vertAlign w:val="baseline"/>
                      <w:lang w:val="en-US" w:eastAsia="zh-CN"/>
                    </w:rPr>
                    <w:t>1100*700*1100；</w:t>
                  </w:r>
                </w:p>
                <w:p w14:paraId="21C7A014">
                  <w:pPr>
                    <w:pStyle w:val="5"/>
                    <w:ind w:firstLine="0" w:firstLineChars="0"/>
                    <w:jc w:val="center"/>
                    <w:rPr>
                      <w:rFonts w:hint="default" w:ascii="Times New Roman" w:hAnsi="Times New Roman" w:cs="Times New Roman"/>
                      <w:sz w:val="18"/>
                      <w:szCs w:val="18"/>
                      <w:vertAlign w:val="baseline"/>
                      <w:lang w:val="en-US" w:eastAsia="zh-CN"/>
                    </w:rPr>
                  </w:pPr>
                  <w:r>
                    <w:rPr>
                      <w:rFonts w:hint="eastAsia" w:ascii="Times New Roman" w:hAnsi="Times New Roman" w:cs="Times New Roman"/>
                      <w:sz w:val="18"/>
                      <w:szCs w:val="18"/>
                      <w:vertAlign w:val="baseline"/>
                      <w:lang w:val="en-US" w:eastAsia="zh-CN"/>
                    </w:rPr>
                    <w:t>设备材质：碳钢表面电泳喷塑处理，防腐耐用</w:t>
                  </w:r>
                </w:p>
              </w:tc>
            </w:tr>
            <w:tr w14:paraId="3ED67D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585" w:type="pct"/>
                  <w:tcBorders>
                    <w:tl2br w:val="nil"/>
                    <w:tr2bl w:val="nil"/>
                  </w:tcBorders>
                  <w:vAlign w:val="center"/>
                </w:tcPr>
                <w:p w14:paraId="357719A4">
                  <w:pPr>
                    <w:pStyle w:val="53"/>
                    <w:rPr>
                      <w:rFonts w:hint="default" w:eastAsia="宋体"/>
                      <w:sz w:val="18"/>
                      <w:szCs w:val="18"/>
                      <w:lang w:val="en-US" w:eastAsia="zh-CN"/>
                    </w:rPr>
                  </w:pPr>
                  <w:r>
                    <w:rPr>
                      <w:rFonts w:hint="eastAsia"/>
                      <w:sz w:val="18"/>
                      <w:szCs w:val="18"/>
                      <w:lang w:val="en-US" w:eastAsia="zh-CN"/>
                    </w:rPr>
                    <w:t>2</w:t>
                  </w:r>
                </w:p>
              </w:tc>
              <w:tc>
                <w:tcPr>
                  <w:tcW w:w="1519" w:type="pct"/>
                  <w:tcBorders>
                    <w:tl2br w:val="nil"/>
                    <w:tr2bl w:val="nil"/>
                  </w:tcBorders>
                  <w:vAlign w:val="center"/>
                </w:tcPr>
                <w:p w14:paraId="44F6ABA0">
                  <w:pPr>
                    <w:pStyle w:val="53"/>
                    <w:rPr>
                      <w:rFonts w:hint="default" w:eastAsia="宋体"/>
                      <w:sz w:val="18"/>
                      <w:szCs w:val="18"/>
                      <w:lang w:val="en-US" w:eastAsia="zh-CN"/>
                    </w:rPr>
                  </w:pPr>
                  <w:r>
                    <w:rPr>
                      <w:rFonts w:hint="eastAsia"/>
                      <w:sz w:val="18"/>
                      <w:szCs w:val="18"/>
                      <w:lang w:val="en-US" w:eastAsia="zh-CN"/>
                    </w:rPr>
                    <w:t>全自动气动搅拌系统</w:t>
                  </w:r>
                </w:p>
              </w:tc>
              <w:tc>
                <w:tcPr>
                  <w:tcW w:w="2895" w:type="pct"/>
                  <w:tcBorders>
                    <w:tl2br w:val="nil"/>
                    <w:tr2bl w:val="nil"/>
                  </w:tcBorders>
                  <w:vAlign w:val="center"/>
                </w:tcPr>
                <w:p w14:paraId="0BA230A2">
                  <w:pPr>
                    <w:pStyle w:val="5"/>
                    <w:ind w:firstLine="0" w:firstLineChars="0"/>
                    <w:jc w:val="center"/>
                    <w:rPr>
                      <w:rFonts w:hint="eastAsia" w:eastAsia="宋体"/>
                      <w:sz w:val="18"/>
                      <w:szCs w:val="18"/>
                      <w:lang w:val="en-US" w:eastAsia="zh-CN"/>
                    </w:rPr>
                  </w:pPr>
                  <w:r>
                    <w:rPr>
                      <w:rFonts w:hint="eastAsia"/>
                      <w:sz w:val="18"/>
                      <w:szCs w:val="18"/>
                      <w:lang w:val="en-US" w:eastAsia="zh-CN"/>
                    </w:rPr>
                    <w:t>组合型</w:t>
                  </w:r>
                </w:p>
              </w:tc>
            </w:tr>
            <w:tr w14:paraId="3537BB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85" w:type="pct"/>
                  <w:tcBorders>
                    <w:tl2br w:val="nil"/>
                    <w:tr2bl w:val="nil"/>
                  </w:tcBorders>
                  <w:vAlign w:val="center"/>
                </w:tcPr>
                <w:p w14:paraId="2B673E3D">
                  <w:pPr>
                    <w:pStyle w:val="53"/>
                    <w:rPr>
                      <w:rFonts w:hint="eastAsia" w:eastAsia="宋体"/>
                      <w:sz w:val="18"/>
                      <w:szCs w:val="18"/>
                      <w:lang w:val="en-US" w:eastAsia="zh-CN"/>
                    </w:rPr>
                  </w:pPr>
                  <w:r>
                    <w:rPr>
                      <w:rFonts w:hint="eastAsia"/>
                      <w:sz w:val="18"/>
                      <w:szCs w:val="18"/>
                      <w:lang w:val="en-US" w:eastAsia="zh-CN"/>
                    </w:rPr>
                    <w:t>3</w:t>
                  </w:r>
                </w:p>
              </w:tc>
              <w:tc>
                <w:tcPr>
                  <w:tcW w:w="1519" w:type="pct"/>
                  <w:tcBorders>
                    <w:tl2br w:val="nil"/>
                    <w:tr2bl w:val="nil"/>
                  </w:tcBorders>
                  <w:vAlign w:val="center"/>
                </w:tcPr>
                <w:p w14:paraId="4E3F1706">
                  <w:pPr>
                    <w:pStyle w:val="53"/>
                    <w:rPr>
                      <w:rFonts w:hint="eastAsia" w:eastAsia="宋体"/>
                      <w:sz w:val="18"/>
                      <w:szCs w:val="18"/>
                      <w:lang w:val="en-US" w:eastAsia="zh-CN"/>
                    </w:rPr>
                  </w:pPr>
                  <w:r>
                    <w:rPr>
                      <w:rFonts w:hint="eastAsia"/>
                      <w:sz w:val="18"/>
                      <w:szCs w:val="18"/>
                      <w:lang w:val="en-US" w:eastAsia="zh-CN"/>
                    </w:rPr>
                    <w:t>气曝盘装置</w:t>
                  </w:r>
                </w:p>
              </w:tc>
              <w:tc>
                <w:tcPr>
                  <w:tcW w:w="2895" w:type="pct"/>
                  <w:tcBorders>
                    <w:tl2br w:val="nil"/>
                    <w:tr2bl w:val="nil"/>
                  </w:tcBorders>
                  <w:vAlign w:val="center"/>
                </w:tcPr>
                <w:p w14:paraId="0FDAB55B">
                  <w:pPr>
                    <w:pStyle w:val="5"/>
                    <w:ind w:firstLine="0" w:firstLineChars="0"/>
                    <w:jc w:val="center"/>
                    <w:rPr>
                      <w:rFonts w:hint="default" w:eastAsia="宋体"/>
                      <w:sz w:val="18"/>
                      <w:szCs w:val="18"/>
                      <w:lang w:val="en-US" w:eastAsia="zh-CN"/>
                    </w:rPr>
                  </w:pPr>
                  <w:r>
                    <w:rPr>
                      <w:rFonts w:hint="eastAsia"/>
                      <w:sz w:val="18"/>
                      <w:szCs w:val="18"/>
                      <w:lang w:val="en-US" w:eastAsia="zh-CN"/>
                    </w:rPr>
                    <w:t>DN15</w:t>
                  </w:r>
                </w:p>
              </w:tc>
            </w:tr>
            <w:tr w14:paraId="6BB3FC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585" w:type="pct"/>
                  <w:tcBorders>
                    <w:tl2br w:val="nil"/>
                    <w:tr2bl w:val="nil"/>
                  </w:tcBorders>
                  <w:vAlign w:val="center"/>
                </w:tcPr>
                <w:p w14:paraId="513AB406">
                  <w:pPr>
                    <w:pStyle w:val="53"/>
                    <w:rPr>
                      <w:rFonts w:hint="default"/>
                      <w:sz w:val="18"/>
                      <w:szCs w:val="18"/>
                      <w:lang w:val="en-US" w:eastAsia="zh-CN"/>
                    </w:rPr>
                  </w:pPr>
                  <w:r>
                    <w:rPr>
                      <w:rFonts w:hint="eastAsia"/>
                      <w:sz w:val="18"/>
                      <w:szCs w:val="18"/>
                      <w:lang w:val="en-US" w:eastAsia="zh-CN"/>
                    </w:rPr>
                    <w:t>4</w:t>
                  </w:r>
                </w:p>
              </w:tc>
              <w:tc>
                <w:tcPr>
                  <w:tcW w:w="1519" w:type="pct"/>
                  <w:tcBorders>
                    <w:tl2br w:val="nil"/>
                    <w:tr2bl w:val="nil"/>
                  </w:tcBorders>
                  <w:vAlign w:val="center"/>
                </w:tcPr>
                <w:p w14:paraId="37A141AF">
                  <w:pPr>
                    <w:pStyle w:val="53"/>
                    <w:rPr>
                      <w:rFonts w:hint="default"/>
                      <w:sz w:val="18"/>
                      <w:szCs w:val="18"/>
                      <w:lang w:val="en-US" w:eastAsia="zh-CN"/>
                    </w:rPr>
                  </w:pPr>
                  <w:r>
                    <w:rPr>
                      <w:rFonts w:hint="eastAsia"/>
                      <w:sz w:val="18"/>
                      <w:szCs w:val="18"/>
                      <w:lang w:val="en-US" w:eastAsia="zh-CN"/>
                    </w:rPr>
                    <w:t>中和加药装置</w:t>
                  </w:r>
                </w:p>
              </w:tc>
              <w:tc>
                <w:tcPr>
                  <w:tcW w:w="2895" w:type="pct"/>
                  <w:tcBorders>
                    <w:tl2br w:val="nil"/>
                    <w:tr2bl w:val="nil"/>
                  </w:tcBorders>
                  <w:vAlign w:val="center"/>
                </w:tcPr>
                <w:p w14:paraId="7F5F947E">
                  <w:pPr>
                    <w:pStyle w:val="5"/>
                    <w:ind w:firstLine="0" w:firstLineChars="0"/>
                    <w:jc w:val="center"/>
                    <w:rPr>
                      <w:rFonts w:hint="default"/>
                      <w:sz w:val="18"/>
                      <w:szCs w:val="18"/>
                      <w:lang w:val="en-US" w:eastAsia="zh-CN"/>
                    </w:rPr>
                  </w:pPr>
                  <w:r>
                    <w:rPr>
                      <w:rFonts w:hint="eastAsia"/>
                      <w:sz w:val="18"/>
                      <w:szCs w:val="18"/>
                      <w:lang w:val="en-US" w:eastAsia="zh-CN"/>
                    </w:rPr>
                    <w:t>N/H</w:t>
                  </w:r>
                </w:p>
              </w:tc>
            </w:tr>
            <w:tr w14:paraId="139047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585" w:type="pct"/>
                  <w:tcBorders>
                    <w:tl2br w:val="nil"/>
                    <w:tr2bl w:val="nil"/>
                  </w:tcBorders>
                  <w:vAlign w:val="center"/>
                </w:tcPr>
                <w:p w14:paraId="56CED4C3">
                  <w:pPr>
                    <w:pStyle w:val="53"/>
                    <w:rPr>
                      <w:rFonts w:hint="eastAsia" w:eastAsia="宋体"/>
                      <w:sz w:val="18"/>
                      <w:szCs w:val="18"/>
                      <w:lang w:val="en-US" w:eastAsia="zh-CN"/>
                    </w:rPr>
                  </w:pPr>
                  <w:r>
                    <w:rPr>
                      <w:rFonts w:hint="eastAsia"/>
                      <w:sz w:val="18"/>
                      <w:szCs w:val="18"/>
                      <w:lang w:val="en-US" w:eastAsia="zh-CN"/>
                    </w:rPr>
                    <w:t>5</w:t>
                  </w:r>
                </w:p>
              </w:tc>
              <w:tc>
                <w:tcPr>
                  <w:tcW w:w="1519" w:type="pct"/>
                  <w:tcBorders>
                    <w:tl2br w:val="nil"/>
                    <w:tr2bl w:val="nil"/>
                  </w:tcBorders>
                  <w:vAlign w:val="center"/>
                </w:tcPr>
                <w:p w14:paraId="27A9AB7A">
                  <w:pPr>
                    <w:pStyle w:val="53"/>
                    <w:rPr>
                      <w:rFonts w:hint="default" w:eastAsia="宋体"/>
                      <w:sz w:val="18"/>
                      <w:szCs w:val="18"/>
                      <w:lang w:val="en-US" w:eastAsia="zh-CN"/>
                    </w:rPr>
                  </w:pPr>
                  <w:r>
                    <w:rPr>
                      <w:rFonts w:hint="eastAsia"/>
                      <w:sz w:val="18"/>
                      <w:szCs w:val="18"/>
                      <w:lang w:val="en-US" w:eastAsia="zh-CN"/>
                    </w:rPr>
                    <w:t>药剂投加系统</w:t>
                  </w:r>
                </w:p>
              </w:tc>
              <w:tc>
                <w:tcPr>
                  <w:tcW w:w="2895" w:type="pct"/>
                  <w:tcBorders>
                    <w:tl2br w:val="nil"/>
                    <w:tr2bl w:val="nil"/>
                  </w:tcBorders>
                  <w:vAlign w:val="center"/>
                </w:tcPr>
                <w:p w14:paraId="75191398">
                  <w:pPr>
                    <w:pStyle w:val="5"/>
                    <w:ind w:firstLine="0" w:firstLineChars="0"/>
                    <w:jc w:val="center"/>
                    <w:rPr>
                      <w:rFonts w:hint="default" w:eastAsia="宋体"/>
                      <w:sz w:val="18"/>
                      <w:szCs w:val="18"/>
                      <w:lang w:val="en-US" w:eastAsia="zh-CN"/>
                    </w:rPr>
                  </w:pPr>
                  <w:r>
                    <w:rPr>
                      <w:rFonts w:hint="eastAsia"/>
                      <w:sz w:val="18"/>
                      <w:szCs w:val="18"/>
                      <w:lang w:val="en-US" w:eastAsia="zh-CN"/>
                    </w:rPr>
                    <w:t>Q=0-9L，N=25W，[PP，P=3Bar</w:t>
                  </w:r>
                </w:p>
              </w:tc>
            </w:tr>
            <w:tr w14:paraId="01DD12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585" w:type="pct"/>
                  <w:tcBorders>
                    <w:tl2br w:val="nil"/>
                    <w:tr2bl w:val="nil"/>
                  </w:tcBorders>
                  <w:vAlign w:val="center"/>
                </w:tcPr>
                <w:p w14:paraId="0B271739">
                  <w:pPr>
                    <w:pStyle w:val="53"/>
                    <w:rPr>
                      <w:rFonts w:hint="default"/>
                      <w:sz w:val="18"/>
                      <w:szCs w:val="18"/>
                      <w:lang w:val="en-US" w:eastAsia="zh-CN"/>
                    </w:rPr>
                  </w:pPr>
                  <w:r>
                    <w:rPr>
                      <w:rFonts w:hint="eastAsia"/>
                      <w:sz w:val="18"/>
                      <w:szCs w:val="18"/>
                      <w:lang w:val="en-US" w:eastAsia="zh-CN"/>
                    </w:rPr>
                    <w:t>6</w:t>
                  </w:r>
                </w:p>
              </w:tc>
              <w:tc>
                <w:tcPr>
                  <w:tcW w:w="1519" w:type="pct"/>
                  <w:tcBorders>
                    <w:tl2br w:val="nil"/>
                    <w:tr2bl w:val="nil"/>
                  </w:tcBorders>
                  <w:vAlign w:val="center"/>
                </w:tcPr>
                <w:p w14:paraId="717EF986">
                  <w:pPr>
                    <w:pStyle w:val="53"/>
                    <w:rPr>
                      <w:rFonts w:hint="default"/>
                      <w:sz w:val="18"/>
                      <w:szCs w:val="18"/>
                      <w:lang w:val="en-US" w:eastAsia="zh-CN"/>
                    </w:rPr>
                  </w:pPr>
                  <w:r>
                    <w:rPr>
                      <w:rFonts w:hint="eastAsia"/>
                      <w:sz w:val="18"/>
                      <w:szCs w:val="18"/>
                      <w:lang w:val="en-US" w:eastAsia="zh-CN"/>
                    </w:rPr>
                    <w:t>药剂储存系统</w:t>
                  </w:r>
                </w:p>
              </w:tc>
              <w:tc>
                <w:tcPr>
                  <w:tcW w:w="2895" w:type="pct"/>
                  <w:tcBorders>
                    <w:tl2br w:val="nil"/>
                    <w:tr2bl w:val="nil"/>
                  </w:tcBorders>
                  <w:vAlign w:val="center"/>
                </w:tcPr>
                <w:p w14:paraId="0A72E203">
                  <w:pPr>
                    <w:pStyle w:val="5"/>
                    <w:ind w:firstLine="0" w:firstLineChars="0"/>
                    <w:jc w:val="center"/>
                    <w:rPr>
                      <w:rFonts w:hint="default" w:eastAsia="宋体"/>
                      <w:sz w:val="18"/>
                      <w:szCs w:val="18"/>
                      <w:lang w:val="en-US" w:eastAsia="zh-CN"/>
                    </w:rPr>
                  </w:pPr>
                  <w:r>
                    <w:rPr>
                      <w:rFonts w:hint="eastAsia"/>
                      <w:sz w:val="18"/>
                      <w:szCs w:val="18"/>
                      <w:lang w:val="en-US" w:eastAsia="zh-CN"/>
                    </w:rPr>
                    <w:t>PE，V=40L</w:t>
                  </w:r>
                </w:p>
              </w:tc>
            </w:tr>
            <w:tr w14:paraId="45C7F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585" w:type="pct"/>
                  <w:tcBorders>
                    <w:tl2br w:val="nil"/>
                    <w:tr2bl w:val="nil"/>
                  </w:tcBorders>
                  <w:vAlign w:val="center"/>
                </w:tcPr>
                <w:p w14:paraId="3BE82816">
                  <w:pPr>
                    <w:pStyle w:val="53"/>
                    <w:rPr>
                      <w:rFonts w:hint="default"/>
                      <w:sz w:val="18"/>
                      <w:szCs w:val="18"/>
                      <w:lang w:val="en-US" w:eastAsia="zh-CN"/>
                    </w:rPr>
                  </w:pPr>
                  <w:r>
                    <w:rPr>
                      <w:rFonts w:hint="eastAsia"/>
                      <w:sz w:val="18"/>
                      <w:szCs w:val="18"/>
                      <w:lang w:val="en-US" w:eastAsia="zh-CN"/>
                    </w:rPr>
                    <w:t>7</w:t>
                  </w:r>
                </w:p>
              </w:tc>
              <w:tc>
                <w:tcPr>
                  <w:tcW w:w="1519" w:type="pct"/>
                  <w:tcBorders>
                    <w:tl2br w:val="nil"/>
                    <w:tr2bl w:val="nil"/>
                  </w:tcBorders>
                  <w:vAlign w:val="center"/>
                </w:tcPr>
                <w:p w14:paraId="19D87AE8">
                  <w:pPr>
                    <w:pStyle w:val="53"/>
                    <w:rPr>
                      <w:rFonts w:hint="default"/>
                      <w:sz w:val="18"/>
                      <w:szCs w:val="18"/>
                      <w:lang w:val="en-US" w:eastAsia="zh-CN"/>
                    </w:rPr>
                  </w:pPr>
                  <w:r>
                    <w:rPr>
                      <w:rFonts w:hint="eastAsia"/>
                      <w:sz w:val="18"/>
                      <w:szCs w:val="18"/>
                      <w:lang w:val="en-US" w:eastAsia="zh-CN"/>
                    </w:rPr>
                    <w:t>pH在线检测仪</w:t>
                  </w:r>
                </w:p>
              </w:tc>
              <w:tc>
                <w:tcPr>
                  <w:tcW w:w="2895" w:type="pct"/>
                  <w:tcBorders>
                    <w:tl2br w:val="nil"/>
                    <w:tr2bl w:val="nil"/>
                  </w:tcBorders>
                  <w:vAlign w:val="center"/>
                </w:tcPr>
                <w:p w14:paraId="7B5AC64A">
                  <w:pPr>
                    <w:pStyle w:val="5"/>
                    <w:ind w:firstLine="0" w:firstLineChars="0"/>
                    <w:jc w:val="center"/>
                    <w:rPr>
                      <w:rFonts w:hint="default" w:eastAsia="宋体"/>
                      <w:sz w:val="18"/>
                      <w:szCs w:val="18"/>
                      <w:lang w:val="en-US" w:eastAsia="zh-CN"/>
                    </w:rPr>
                  </w:pPr>
                  <w:r>
                    <w:rPr>
                      <w:rFonts w:hint="eastAsia"/>
                      <w:sz w:val="18"/>
                      <w:szCs w:val="18"/>
                      <w:lang w:val="en-US" w:eastAsia="zh-CN"/>
                    </w:rPr>
                    <w:t>0-14</w:t>
                  </w:r>
                </w:p>
              </w:tc>
            </w:tr>
            <w:tr w14:paraId="011EC3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585" w:type="pct"/>
                  <w:tcBorders>
                    <w:tl2br w:val="nil"/>
                    <w:tr2bl w:val="nil"/>
                  </w:tcBorders>
                  <w:vAlign w:val="center"/>
                </w:tcPr>
                <w:p w14:paraId="21925CD9">
                  <w:pPr>
                    <w:pStyle w:val="53"/>
                    <w:rPr>
                      <w:rFonts w:hint="default"/>
                      <w:sz w:val="18"/>
                      <w:szCs w:val="18"/>
                      <w:lang w:val="en-US" w:eastAsia="zh-CN"/>
                    </w:rPr>
                  </w:pPr>
                  <w:r>
                    <w:rPr>
                      <w:rFonts w:hint="eastAsia"/>
                      <w:sz w:val="18"/>
                      <w:szCs w:val="18"/>
                      <w:lang w:val="en-US" w:eastAsia="zh-CN"/>
                    </w:rPr>
                    <w:t>8</w:t>
                  </w:r>
                </w:p>
              </w:tc>
              <w:tc>
                <w:tcPr>
                  <w:tcW w:w="1519" w:type="pct"/>
                  <w:tcBorders>
                    <w:tl2br w:val="nil"/>
                    <w:tr2bl w:val="nil"/>
                  </w:tcBorders>
                  <w:vAlign w:val="center"/>
                </w:tcPr>
                <w:p w14:paraId="07A167F9">
                  <w:pPr>
                    <w:pStyle w:val="53"/>
                    <w:rPr>
                      <w:rFonts w:hint="default"/>
                      <w:sz w:val="18"/>
                      <w:szCs w:val="18"/>
                      <w:lang w:val="en-US" w:eastAsia="zh-CN"/>
                    </w:rPr>
                  </w:pPr>
                  <w:r>
                    <w:rPr>
                      <w:rFonts w:hint="eastAsia"/>
                      <w:sz w:val="18"/>
                      <w:szCs w:val="18"/>
                      <w:lang w:val="en-US" w:eastAsia="zh-CN"/>
                    </w:rPr>
                    <w:t>多介质过滤吸附装置</w:t>
                  </w:r>
                </w:p>
              </w:tc>
              <w:tc>
                <w:tcPr>
                  <w:tcW w:w="2895" w:type="pct"/>
                  <w:tcBorders>
                    <w:tl2br w:val="nil"/>
                    <w:tr2bl w:val="nil"/>
                  </w:tcBorders>
                  <w:vAlign w:val="center"/>
                </w:tcPr>
                <w:p w14:paraId="77CBE8EE">
                  <w:pPr>
                    <w:pStyle w:val="5"/>
                    <w:ind w:firstLine="0" w:firstLineChars="0"/>
                    <w:jc w:val="center"/>
                    <w:rPr>
                      <w:sz w:val="18"/>
                      <w:szCs w:val="18"/>
                    </w:rPr>
                  </w:pPr>
                  <w:r>
                    <w:rPr>
                      <w:rFonts w:hint="eastAsia" w:ascii="Times New Roman" w:hAnsi="Times New Roman" w:cs="Times New Roman"/>
                      <w:sz w:val="18"/>
                      <w:szCs w:val="18"/>
                      <w:lang w:val="en-US" w:eastAsia="zh-CN"/>
                    </w:rPr>
                    <w:t>2</w:t>
                  </w:r>
                  <w:r>
                    <w:rPr>
                      <w:rFonts w:hint="default" w:ascii="Times New Roman" w:hAnsi="Times New Roman" w:cs="Times New Roman"/>
                      <w:sz w:val="18"/>
                      <w:szCs w:val="18"/>
                      <w:lang w:val="en-US" w:eastAsia="zh-CN"/>
                    </w:rPr>
                    <w:t>m</w:t>
                  </w:r>
                  <w:r>
                    <w:rPr>
                      <w:rFonts w:hint="default" w:ascii="Times New Roman" w:hAnsi="Times New Roman" w:cs="Times New Roman"/>
                      <w:sz w:val="18"/>
                      <w:szCs w:val="18"/>
                      <w:vertAlign w:val="superscript"/>
                      <w:lang w:val="en-US" w:eastAsia="zh-CN"/>
                    </w:rPr>
                    <w:t>3</w:t>
                  </w:r>
                  <w:r>
                    <w:rPr>
                      <w:rFonts w:hint="default" w:ascii="Times New Roman" w:hAnsi="Times New Roman" w:cs="Times New Roman"/>
                      <w:sz w:val="18"/>
                      <w:szCs w:val="18"/>
                      <w:vertAlign w:val="baseline"/>
                      <w:lang w:val="en-US" w:eastAsia="zh-CN"/>
                    </w:rPr>
                    <w:t>/h</w:t>
                  </w:r>
                </w:p>
              </w:tc>
            </w:tr>
          </w:tbl>
          <w:p w14:paraId="2B9C5ED7">
            <w:pPr>
              <w:widowControl/>
              <w:shd w:val="clear" w:color="auto" w:fill="FFFFFF"/>
              <w:spacing w:line="360" w:lineRule="auto"/>
              <w:ind w:firstLine="454" w:firstLineChars="200"/>
              <w:jc w:val="left"/>
              <w:rPr>
                <w:b/>
                <w:bCs/>
                <w:spacing w:val="8"/>
                <w:kern w:val="0"/>
                <w:szCs w:val="21"/>
              </w:rPr>
            </w:pPr>
            <w:r>
              <w:rPr>
                <w:rFonts w:hint="eastAsia"/>
                <w:b/>
                <w:bCs/>
                <w:spacing w:val="8"/>
                <w:kern w:val="0"/>
                <w:szCs w:val="21"/>
                <w:lang w:val="en-US" w:eastAsia="zh-CN"/>
              </w:rPr>
              <w:t>（4）</w:t>
            </w:r>
            <w:r>
              <w:rPr>
                <w:b/>
                <w:bCs/>
                <w:spacing w:val="8"/>
                <w:kern w:val="0"/>
                <w:szCs w:val="21"/>
              </w:rPr>
              <w:t>废水类别、污染物及污染治理设施信息</w:t>
            </w:r>
          </w:p>
          <w:p w14:paraId="28EF2AFC">
            <w:pPr>
              <w:adjustRightInd w:val="0"/>
              <w:snapToGrid w:val="0"/>
              <w:jc w:val="center"/>
              <w:rPr>
                <w:b/>
                <w:bCs/>
                <w:spacing w:val="6"/>
                <w:szCs w:val="21"/>
                <w:shd w:val="clear" w:color="auto" w:fill="FFFFFF"/>
              </w:rPr>
            </w:pPr>
            <w:r>
              <w:rPr>
                <w:b/>
                <w:bCs/>
                <w:spacing w:val="6"/>
                <w:szCs w:val="21"/>
                <w:shd w:val="clear" w:color="auto" w:fill="FFFFFF"/>
              </w:rPr>
              <w:t>表4-1</w:t>
            </w:r>
            <w:r>
              <w:rPr>
                <w:rFonts w:hint="eastAsia"/>
                <w:b/>
                <w:bCs/>
                <w:spacing w:val="6"/>
                <w:szCs w:val="21"/>
                <w:shd w:val="clear" w:color="auto" w:fill="FFFFFF"/>
                <w:lang w:val="en-US" w:eastAsia="zh-CN"/>
              </w:rPr>
              <w:t>6</w:t>
            </w:r>
            <w:r>
              <w:rPr>
                <w:b/>
                <w:bCs/>
                <w:spacing w:val="6"/>
                <w:szCs w:val="21"/>
                <w:shd w:val="clear" w:color="auto" w:fill="FFFFFF"/>
              </w:rPr>
              <w:t xml:space="preserve"> 本项目废水污染物产生及排放情况一览表</w:t>
            </w:r>
          </w:p>
          <w:tbl>
            <w:tblPr>
              <w:tblStyle w:val="23"/>
              <w:tblW w:w="498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28" w:type="dxa"/>
                <w:bottom w:w="0" w:type="dxa"/>
                <w:right w:w="28" w:type="dxa"/>
              </w:tblCellMar>
            </w:tblPr>
            <w:tblGrid>
              <w:gridCol w:w="416"/>
              <w:gridCol w:w="598"/>
              <w:gridCol w:w="876"/>
              <w:gridCol w:w="872"/>
              <w:gridCol w:w="665"/>
              <w:gridCol w:w="865"/>
              <w:gridCol w:w="703"/>
              <w:gridCol w:w="788"/>
              <w:gridCol w:w="655"/>
              <w:gridCol w:w="732"/>
              <w:gridCol w:w="1630"/>
            </w:tblGrid>
            <w:tr w14:paraId="1745A5B8">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28" w:type="dxa"/>
                  <w:bottom w:w="0" w:type="dxa"/>
                  <w:right w:w="28" w:type="dxa"/>
                </w:tblCellMar>
              </w:tblPrEx>
              <w:trPr>
                <w:trHeight w:val="298" w:hRule="atLeast"/>
                <w:jc w:val="center"/>
              </w:trPr>
              <w:tc>
                <w:tcPr>
                  <w:tcW w:w="236" w:type="pct"/>
                  <w:vMerge w:val="restart"/>
                  <w:vAlign w:val="center"/>
                </w:tcPr>
                <w:p w14:paraId="7A50C6F5">
                  <w:pPr>
                    <w:adjustRightInd w:val="0"/>
                    <w:snapToGrid w:val="0"/>
                    <w:jc w:val="center"/>
                    <w:rPr>
                      <w:b/>
                      <w:bCs/>
                      <w:sz w:val="18"/>
                      <w:szCs w:val="18"/>
                    </w:rPr>
                  </w:pPr>
                  <w:r>
                    <w:rPr>
                      <w:b/>
                      <w:bCs/>
                      <w:sz w:val="18"/>
                      <w:szCs w:val="18"/>
                      <w:lang w:bidi="ar"/>
                    </w:rPr>
                    <w:t>序号</w:t>
                  </w:r>
                </w:p>
              </w:tc>
              <w:tc>
                <w:tcPr>
                  <w:tcW w:w="339" w:type="pct"/>
                  <w:vMerge w:val="restart"/>
                  <w:vAlign w:val="center"/>
                </w:tcPr>
                <w:p w14:paraId="07ED94CD">
                  <w:pPr>
                    <w:adjustRightInd w:val="0"/>
                    <w:snapToGrid w:val="0"/>
                    <w:jc w:val="center"/>
                    <w:rPr>
                      <w:b/>
                      <w:bCs/>
                      <w:sz w:val="18"/>
                      <w:szCs w:val="18"/>
                    </w:rPr>
                  </w:pPr>
                  <w:r>
                    <w:rPr>
                      <w:b/>
                      <w:bCs/>
                      <w:sz w:val="18"/>
                      <w:szCs w:val="18"/>
                      <w:lang w:bidi="ar"/>
                    </w:rPr>
                    <w:t>废水类别</w:t>
                  </w:r>
                </w:p>
              </w:tc>
              <w:tc>
                <w:tcPr>
                  <w:tcW w:w="497" w:type="pct"/>
                  <w:vMerge w:val="restart"/>
                  <w:vAlign w:val="center"/>
                </w:tcPr>
                <w:p w14:paraId="40723040">
                  <w:pPr>
                    <w:adjustRightInd w:val="0"/>
                    <w:snapToGrid w:val="0"/>
                    <w:jc w:val="center"/>
                    <w:rPr>
                      <w:b/>
                      <w:bCs/>
                      <w:sz w:val="18"/>
                      <w:szCs w:val="18"/>
                    </w:rPr>
                  </w:pPr>
                  <w:r>
                    <w:rPr>
                      <w:b/>
                      <w:bCs/>
                      <w:sz w:val="18"/>
                      <w:szCs w:val="18"/>
                      <w:lang w:bidi="ar"/>
                    </w:rPr>
                    <w:t>污染物种类</w:t>
                  </w:r>
                </w:p>
              </w:tc>
              <w:tc>
                <w:tcPr>
                  <w:tcW w:w="495" w:type="pct"/>
                  <w:vMerge w:val="restart"/>
                  <w:vAlign w:val="center"/>
                </w:tcPr>
                <w:p w14:paraId="77B1CE6E">
                  <w:pPr>
                    <w:adjustRightInd w:val="0"/>
                    <w:snapToGrid w:val="0"/>
                    <w:jc w:val="center"/>
                    <w:rPr>
                      <w:b/>
                      <w:bCs/>
                      <w:sz w:val="18"/>
                      <w:szCs w:val="18"/>
                      <w:lang w:bidi="ar"/>
                    </w:rPr>
                  </w:pPr>
                  <w:r>
                    <w:rPr>
                      <w:b/>
                      <w:bCs/>
                      <w:sz w:val="18"/>
                      <w:szCs w:val="18"/>
                      <w:lang w:bidi="ar"/>
                    </w:rPr>
                    <w:t>排放去向</w:t>
                  </w:r>
                </w:p>
              </w:tc>
              <w:tc>
                <w:tcPr>
                  <w:tcW w:w="377" w:type="pct"/>
                  <w:vMerge w:val="restart"/>
                  <w:vAlign w:val="center"/>
                </w:tcPr>
                <w:p w14:paraId="7B49413A">
                  <w:pPr>
                    <w:adjustRightInd w:val="0"/>
                    <w:snapToGrid w:val="0"/>
                    <w:jc w:val="center"/>
                    <w:rPr>
                      <w:b/>
                      <w:bCs/>
                      <w:sz w:val="18"/>
                      <w:szCs w:val="18"/>
                    </w:rPr>
                  </w:pPr>
                  <w:r>
                    <w:rPr>
                      <w:b/>
                      <w:bCs/>
                      <w:sz w:val="18"/>
                      <w:szCs w:val="18"/>
                      <w:lang w:bidi="ar"/>
                    </w:rPr>
                    <w:t>排放</w:t>
                  </w:r>
                </w:p>
                <w:p w14:paraId="4458443B">
                  <w:pPr>
                    <w:adjustRightInd w:val="0"/>
                    <w:snapToGrid w:val="0"/>
                    <w:jc w:val="center"/>
                    <w:rPr>
                      <w:b/>
                      <w:bCs/>
                      <w:sz w:val="18"/>
                      <w:szCs w:val="18"/>
                    </w:rPr>
                  </w:pPr>
                  <w:r>
                    <w:rPr>
                      <w:b/>
                      <w:bCs/>
                      <w:sz w:val="18"/>
                      <w:szCs w:val="18"/>
                      <w:lang w:bidi="ar"/>
                    </w:rPr>
                    <w:t>规律</w:t>
                  </w:r>
                </w:p>
              </w:tc>
              <w:tc>
                <w:tcPr>
                  <w:tcW w:w="1338" w:type="pct"/>
                  <w:gridSpan w:val="3"/>
                  <w:vAlign w:val="center"/>
                </w:tcPr>
                <w:p w14:paraId="093E7683">
                  <w:pPr>
                    <w:adjustRightInd w:val="0"/>
                    <w:snapToGrid w:val="0"/>
                    <w:jc w:val="center"/>
                    <w:rPr>
                      <w:b/>
                      <w:bCs/>
                      <w:sz w:val="18"/>
                      <w:szCs w:val="18"/>
                    </w:rPr>
                  </w:pPr>
                  <w:r>
                    <w:rPr>
                      <w:b/>
                      <w:bCs/>
                      <w:sz w:val="18"/>
                      <w:szCs w:val="18"/>
                      <w:lang w:bidi="ar"/>
                    </w:rPr>
                    <w:t>污染治理设施</w:t>
                  </w:r>
                </w:p>
              </w:tc>
              <w:tc>
                <w:tcPr>
                  <w:tcW w:w="372" w:type="pct"/>
                  <w:vMerge w:val="restart"/>
                  <w:vAlign w:val="center"/>
                </w:tcPr>
                <w:p w14:paraId="3C55225B">
                  <w:pPr>
                    <w:adjustRightInd w:val="0"/>
                    <w:snapToGrid w:val="0"/>
                    <w:jc w:val="center"/>
                    <w:rPr>
                      <w:b/>
                      <w:bCs/>
                      <w:sz w:val="18"/>
                      <w:szCs w:val="18"/>
                    </w:rPr>
                  </w:pPr>
                  <w:r>
                    <w:rPr>
                      <w:b/>
                      <w:bCs/>
                      <w:sz w:val="18"/>
                      <w:szCs w:val="18"/>
                      <w:lang w:bidi="ar"/>
                    </w:rPr>
                    <w:t>排放口编号</w:t>
                  </w:r>
                </w:p>
              </w:tc>
              <w:tc>
                <w:tcPr>
                  <w:tcW w:w="415" w:type="pct"/>
                  <w:vMerge w:val="restart"/>
                  <w:vAlign w:val="center"/>
                </w:tcPr>
                <w:p w14:paraId="2913E1B0">
                  <w:pPr>
                    <w:adjustRightInd w:val="0"/>
                    <w:snapToGrid w:val="0"/>
                    <w:jc w:val="center"/>
                    <w:rPr>
                      <w:b/>
                      <w:bCs/>
                      <w:sz w:val="18"/>
                      <w:szCs w:val="18"/>
                    </w:rPr>
                  </w:pPr>
                  <w:r>
                    <w:rPr>
                      <w:b/>
                      <w:bCs/>
                      <w:sz w:val="18"/>
                      <w:szCs w:val="18"/>
                      <w:lang w:bidi="ar"/>
                    </w:rPr>
                    <w:t>排放口设施是否符合要求</w:t>
                  </w:r>
                </w:p>
              </w:tc>
              <w:tc>
                <w:tcPr>
                  <w:tcW w:w="926" w:type="pct"/>
                  <w:vMerge w:val="restart"/>
                  <w:vAlign w:val="center"/>
                </w:tcPr>
                <w:p w14:paraId="7AC5F49A">
                  <w:pPr>
                    <w:adjustRightInd w:val="0"/>
                    <w:snapToGrid w:val="0"/>
                    <w:jc w:val="center"/>
                    <w:rPr>
                      <w:b/>
                      <w:bCs/>
                      <w:sz w:val="18"/>
                      <w:szCs w:val="18"/>
                    </w:rPr>
                  </w:pPr>
                  <w:r>
                    <w:rPr>
                      <w:b/>
                      <w:bCs/>
                      <w:sz w:val="18"/>
                      <w:szCs w:val="18"/>
                      <w:lang w:bidi="ar"/>
                    </w:rPr>
                    <w:t>排放口类型</w:t>
                  </w:r>
                </w:p>
              </w:tc>
            </w:tr>
            <w:tr w14:paraId="4A1D2F7D">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28" w:type="dxa"/>
                  <w:bottom w:w="0" w:type="dxa"/>
                  <w:right w:w="28" w:type="dxa"/>
                </w:tblCellMar>
              </w:tblPrEx>
              <w:trPr>
                <w:trHeight w:val="170" w:hRule="atLeast"/>
                <w:jc w:val="center"/>
              </w:trPr>
              <w:tc>
                <w:tcPr>
                  <w:tcW w:w="236" w:type="pct"/>
                  <w:vMerge w:val="continue"/>
                  <w:vAlign w:val="center"/>
                </w:tcPr>
                <w:p w14:paraId="65F33B5D">
                  <w:pPr>
                    <w:adjustRightInd w:val="0"/>
                    <w:snapToGrid w:val="0"/>
                    <w:jc w:val="center"/>
                    <w:rPr>
                      <w:b/>
                      <w:bCs/>
                      <w:sz w:val="18"/>
                      <w:szCs w:val="18"/>
                    </w:rPr>
                  </w:pPr>
                </w:p>
              </w:tc>
              <w:tc>
                <w:tcPr>
                  <w:tcW w:w="339" w:type="pct"/>
                  <w:vMerge w:val="continue"/>
                  <w:vAlign w:val="center"/>
                </w:tcPr>
                <w:p w14:paraId="3F394F7A">
                  <w:pPr>
                    <w:adjustRightInd w:val="0"/>
                    <w:snapToGrid w:val="0"/>
                    <w:jc w:val="center"/>
                    <w:rPr>
                      <w:b/>
                      <w:bCs/>
                      <w:sz w:val="18"/>
                      <w:szCs w:val="18"/>
                    </w:rPr>
                  </w:pPr>
                </w:p>
              </w:tc>
              <w:tc>
                <w:tcPr>
                  <w:tcW w:w="497" w:type="pct"/>
                  <w:vMerge w:val="continue"/>
                  <w:vAlign w:val="center"/>
                </w:tcPr>
                <w:p w14:paraId="14AADC5B">
                  <w:pPr>
                    <w:adjustRightInd w:val="0"/>
                    <w:snapToGrid w:val="0"/>
                    <w:jc w:val="center"/>
                    <w:rPr>
                      <w:b/>
                      <w:bCs/>
                      <w:sz w:val="18"/>
                      <w:szCs w:val="18"/>
                    </w:rPr>
                  </w:pPr>
                </w:p>
              </w:tc>
              <w:tc>
                <w:tcPr>
                  <w:tcW w:w="495" w:type="pct"/>
                  <w:vMerge w:val="continue"/>
                  <w:vAlign w:val="center"/>
                </w:tcPr>
                <w:p w14:paraId="79D44B26">
                  <w:pPr>
                    <w:adjustRightInd w:val="0"/>
                    <w:snapToGrid w:val="0"/>
                    <w:jc w:val="center"/>
                    <w:rPr>
                      <w:b/>
                      <w:bCs/>
                      <w:sz w:val="18"/>
                      <w:szCs w:val="18"/>
                    </w:rPr>
                  </w:pPr>
                </w:p>
              </w:tc>
              <w:tc>
                <w:tcPr>
                  <w:tcW w:w="377" w:type="pct"/>
                  <w:vMerge w:val="continue"/>
                  <w:vAlign w:val="center"/>
                </w:tcPr>
                <w:p w14:paraId="6053E491">
                  <w:pPr>
                    <w:adjustRightInd w:val="0"/>
                    <w:snapToGrid w:val="0"/>
                    <w:jc w:val="center"/>
                    <w:rPr>
                      <w:b/>
                      <w:bCs/>
                      <w:sz w:val="18"/>
                      <w:szCs w:val="18"/>
                    </w:rPr>
                  </w:pPr>
                </w:p>
              </w:tc>
              <w:tc>
                <w:tcPr>
                  <w:tcW w:w="491" w:type="pct"/>
                  <w:vAlign w:val="center"/>
                </w:tcPr>
                <w:p w14:paraId="0D7480F2">
                  <w:pPr>
                    <w:adjustRightInd w:val="0"/>
                    <w:snapToGrid w:val="0"/>
                    <w:jc w:val="center"/>
                    <w:rPr>
                      <w:b/>
                      <w:bCs/>
                      <w:sz w:val="18"/>
                      <w:szCs w:val="18"/>
                    </w:rPr>
                  </w:pPr>
                  <w:r>
                    <w:rPr>
                      <w:b/>
                      <w:bCs/>
                      <w:sz w:val="18"/>
                      <w:szCs w:val="18"/>
                      <w:lang w:bidi="ar"/>
                    </w:rPr>
                    <w:t>污染治理设施编号</w:t>
                  </w:r>
                </w:p>
              </w:tc>
              <w:tc>
                <w:tcPr>
                  <w:tcW w:w="399" w:type="pct"/>
                  <w:vAlign w:val="center"/>
                </w:tcPr>
                <w:p w14:paraId="49837777">
                  <w:pPr>
                    <w:adjustRightInd w:val="0"/>
                    <w:snapToGrid w:val="0"/>
                    <w:jc w:val="center"/>
                    <w:rPr>
                      <w:b/>
                      <w:bCs/>
                      <w:sz w:val="18"/>
                      <w:szCs w:val="18"/>
                    </w:rPr>
                  </w:pPr>
                  <w:r>
                    <w:rPr>
                      <w:b/>
                      <w:bCs/>
                      <w:sz w:val="18"/>
                      <w:szCs w:val="18"/>
                      <w:lang w:bidi="ar"/>
                    </w:rPr>
                    <w:t>污染治理设施名称</w:t>
                  </w:r>
                </w:p>
              </w:tc>
              <w:tc>
                <w:tcPr>
                  <w:tcW w:w="447" w:type="pct"/>
                  <w:vAlign w:val="center"/>
                </w:tcPr>
                <w:p w14:paraId="538AE8DF">
                  <w:pPr>
                    <w:adjustRightInd w:val="0"/>
                    <w:snapToGrid w:val="0"/>
                    <w:jc w:val="center"/>
                    <w:rPr>
                      <w:b/>
                      <w:bCs/>
                      <w:sz w:val="18"/>
                      <w:szCs w:val="18"/>
                    </w:rPr>
                  </w:pPr>
                  <w:r>
                    <w:rPr>
                      <w:b/>
                      <w:bCs/>
                      <w:sz w:val="18"/>
                      <w:szCs w:val="18"/>
                      <w:lang w:bidi="ar"/>
                    </w:rPr>
                    <w:t>污染治理设施工艺</w:t>
                  </w:r>
                </w:p>
              </w:tc>
              <w:tc>
                <w:tcPr>
                  <w:tcW w:w="372" w:type="pct"/>
                  <w:vMerge w:val="continue"/>
                  <w:vAlign w:val="center"/>
                </w:tcPr>
                <w:p w14:paraId="13148848">
                  <w:pPr>
                    <w:adjustRightInd w:val="0"/>
                    <w:snapToGrid w:val="0"/>
                    <w:jc w:val="center"/>
                    <w:rPr>
                      <w:sz w:val="18"/>
                      <w:szCs w:val="18"/>
                    </w:rPr>
                  </w:pPr>
                </w:p>
              </w:tc>
              <w:tc>
                <w:tcPr>
                  <w:tcW w:w="415" w:type="pct"/>
                  <w:vMerge w:val="continue"/>
                  <w:vAlign w:val="center"/>
                </w:tcPr>
                <w:p w14:paraId="15BD00C2">
                  <w:pPr>
                    <w:adjustRightInd w:val="0"/>
                    <w:snapToGrid w:val="0"/>
                    <w:jc w:val="center"/>
                    <w:rPr>
                      <w:sz w:val="18"/>
                      <w:szCs w:val="18"/>
                    </w:rPr>
                  </w:pPr>
                </w:p>
              </w:tc>
              <w:tc>
                <w:tcPr>
                  <w:tcW w:w="926" w:type="pct"/>
                  <w:vMerge w:val="continue"/>
                  <w:vAlign w:val="center"/>
                </w:tcPr>
                <w:p w14:paraId="0ED2DAB6">
                  <w:pPr>
                    <w:adjustRightInd w:val="0"/>
                    <w:snapToGrid w:val="0"/>
                    <w:jc w:val="center"/>
                    <w:rPr>
                      <w:sz w:val="18"/>
                      <w:szCs w:val="18"/>
                    </w:rPr>
                  </w:pPr>
                </w:p>
              </w:tc>
            </w:tr>
            <w:tr w14:paraId="298D90F2">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28" w:type="dxa"/>
                  <w:bottom w:w="0" w:type="dxa"/>
                  <w:right w:w="28" w:type="dxa"/>
                </w:tblCellMar>
              </w:tblPrEx>
              <w:trPr>
                <w:trHeight w:val="581" w:hRule="atLeast"/>
                <w:jc w:val="center"/>
              </w:trPr>
              <w:tc>
                <w:tcPr>
                  <w:tcW w:w="236" w:type="pct"/>
                  <w:vAlign w:val="center"/>
                </w:tcPr>
                <w:p w14:paraId="5CB3B12A">
                  <w:pPr>
                    <w:pStyle w:val="5"/>
                    <w:ind w:firstLine="0" w:firstLineChars="0"/>
                    <w:jc w:val="center"/>
                    <w:rPr>
                      <w:sz w:val="18"/>
                      <w:szCs w:val="18"/>
                    </w:rPr>
                  </w:pPr>
                  <w:r>
                    <w:rPr>
                      <w:sz w:val="18"/>
                      <w:szCs w:val="18"/>
                    </w:rPr>
                    <w:t>1</w:t>
                  </w:r>
                </w:p>
              </w:tc>
              <w:tc>
                <w:tcPr>
                  <w:tcW w:w="339" w:type="pct"/>
                  <w:vAlign w:val="center"/>
                </w:tcPr>
                <w:p w14:paraId="74A08187">
                  <w:pPr>
                    <w:pStyle w:val="5"/>
                    <w:ind w:firstLine="0" w:firstLineChars="0"/>
                    <w:jc w:val="center"/>
                    <w:rPr>
                      <w:rFonts w:hint="default" w:eastAsia="宋体"/>
                      <w:sz w:val="18"/>
                      <w:szCs w:val="18"/>
                      <w:lang w:val="en-US" w:eastAsia="zh-CN"/>
                    </w:rPr>
                  </w:pPr>
                  <w:r>
                    <w:rPr>
                      <w:sz w:val="18"/>
                      <w:szCs w:val="18"/>
                    </w:rPr>
                    <w:t>生活污水</w:t>
                  </w:r>
                </w:p>
              </w:tc>
              <w:tc>
                <w:tcPr>
                  <w:tcW w:w="497" w:type="pct"/>
                  <w:vAlign w:val="center"/>
                </w:tcPr>
                <w:p w14:paraId="4C96201D">
                  <w:pPr>
                    <w:pStyle w:val="5"/>
                    <w:ind w:firstLine="0" w:firstLineChars="0"/>
                    <w:jc w:val="center"/>
                    <w:rPr>
                      <w:sz w:val="18"/>
                      <w:szCs w:val="18"/>
                    </w:rPr>
                  </w:pPr>
                  <w:r>
                    <w:rPr>
                      <w:sz w:val="18"/>
                      <w:szCs w:val="18"/>
                    </w:rPr>
                    <w:t>COD、SS、氨氮、总磷、总氮</w:t>
                  </w:r>
                </w:p>
              </w:tc>
              <w:tc>
                <w:tcPr>
                  <w:tcW w:w="495" w:type="pct"/>
                  <w:vMerge w:val="restart"/>
                  <w:vAlign w:val="center"/>
                </w:tcPr>
                <w:p w14:paraId="365ACCFB">
                  <w:pPr>
                    <w:widowControl/>
                    <w:adjustRightInd w:val="0"/>
                    <w:snapToGrid w:val="0"/>
                    <w:jc w:val="center"/>
                    <w:rPr>
                      <w:sz w:val="18"/>
                      <w:szCs w:val="18"/>
                      <w:lang w:bidi="ar"/>
                    </w:rPr>
                  </w:pPr>
                  <w:r>
                    <w:rPr>
                      <w:rFonts w:hint="eastAsia"/>
                      <w:sz w:val="18"/>
                      <w:szCs w:val="18"/>
                    </w:rPr>
                    <w:t>海安李堡滇池水务有限公司</w:t>
                  </w:r>
                </w:p>
              </w:tc>
              <w:tc>
                <w:tcPr>
                  <w:tcW w:w="377" w:type="pct"/>
                  <w:vMerge w:val="restart"/>
                  <w:vAlign w:val="center"/>
                </w:tcPr>
                <w:p w14:paraId="547687DB">
                  <w:pPr>
                    <w:widowControl/>
                    <w:adjustRightInd w:val="0"/>
                    <w:snapToGrid w:val="0"/>
                    <w:jc w:val="center"/>
                    <w:rPr>
                      <w:sz w:val="18"/>
                      <w:szCs w:val="18"/>
                    </w:rPr>
                  </w:pPr>
                  <w:r>
                    <w:rPr>
                      <w:sz w:val="18"/>
                      <w:szCs w:val="18"/>
                      <w:lang w:bidi="ar"/>
                    </w:rPr>
                    <w:t>连续排放流量不稳定</w:t>
                  </w:r>
                </w:p>
              </w:tc>
              <w:tc>
                <w:tcPr>
                  <w:tcW w:w="491" w:type="pct"/>
                  <w:vAlign w:val="center"/>
                </w:tcPr>
                <w:p w14:paraId="6246D21F">
                  <w:pPr>
                    <w:adjustRightInd w:val="0"/>
                    <w:snapToGrid w:val="0"/>
                    <w:jc w:val="center"/>
                    <w:rPr>
                      <w:sz w:val="18"/>
                      <w:szCs w:val="18"/>
                    </w:rPr>
                  </w:pPr>
                  <w:r>
                    <w:rPr>
                      <w:sz w:val="18"/>
                      <w:szCs w:val="18"/>
                    </w:rPr>
                    <w:t>TW001</w:t>
                  </w:r>
                </w:p>
              </w:tc>
              <w:tc>
                <w:tcPr>
                  <w:tcW w:w="399" w:type="pct"/>
                  <w:vAlign w:val="center"/>
                </w:tcPr>
                <w:p w14:paraId="51F7C8E0">
                  <w:pPr>
                    <w:adjustRightInd w:val="0"/>
                    <w:snapToGrid w:val="0"/>
                    <w:jc w:val="center"/>
                    <w:rPr>
                      <w:sz w:val="18"/>
                      <w:szCs w:val="18"/>
                    </w:rPr>
                  </w:pPr>
                  <w:r>
                    <w:rPr>
                      <w:sz w:val="18"/>
                      <w:szCs w:val="18"/>
                      <w:lang w:bidi="ar"/>
                    </w:rPr>
                    <w:t>化粪池</w:t>
                  </w:r>
                </w:p>
              </w:tc>
              <w:tc>
                <w:tcPr>
                  <w:tcW w:w="447" w:type="pct"/>
                  <w:vAlign w:val="center"/>
                </w:tcPr>
                <w:p w14:paraId="29E21C82">
                  <w:pPr>
                    <w:adjustRightInd w:val="0"/>
                    <w:snapToGrid w:val="0"/>
                    <w:jc w:val="center"/>
                    <w:rPr>
                      <w:sz w:val="18"/>
                      <w:szCs w:val="18"/>
                    </w:rPr>
                  </w:pPr>
                  <w:r>
                    <w:rPr>
                      <w:sz w:val="18"/>
                      <w:szCs w:val="18"/>
                      <w:lang w:bidi="ar"/>
                    </w:rPr>
                    <w:t>/</w:t>
                  </w:r>
                </w:p>
              </w:tc>
              <w:tc>
                <w:tcPr>
                  <w:tcW w:w="372" w:type="pct"/>
                  <w:vMerge w:val="restart"/>
                  <w:vAlign w:val="center"/>
                </w:tcPr>
                <w:p w14:paraId="626C669D">
                  <w:pPr>
                    <w:widowControl/>
                    <w:adjustRightInd w:val="0"/>
                    <w:snapToGrid w:val="0"/>
                    <w:jc w:val="center"/>
                    <w:rPr>
                      <w:sz w:val="18"/>
                      <w:szCs w:val="18"/>
                    </w:rPr>
                  </w:pPr>
                  <w:r>
                    <w:rPr>
                      <w:sz w:val="18"/>
                      <w:szCs w:val="18"/>
                      <w:lang w:bidi="ar"/>
                    </w:rPr>
                    <w:t>DW001</w:t>
                  </w:r>
                </w:p>
              </w:tc>
              <w:tc>
                <w:tcPr>
                  <w:tcW w:w="415" w:type="pct"/>
                  <w:vMerge w:val="restart"/>
                  <w:vAlign w:val="center"/>
                </w:tcPr>
                <w:p w14:paraId="73A9887F">
                  <w:pPr>
                    <w:widowControl/>
                    <w:adjustRightInd w:val="0"/>
                    <w:snapToGrid w:val="0"/>
                    <w:jc w:val="center"/>
                    <w:rPr>
                      <w:sz w:val="18"/>
                      <w:szCs w:val="18"/>
                    </w:rPr>
                  </w:pPr>
                  <w:r>
                    <w:rPr>
                      <w:sz w:val="18"/>
                      <w:szCs w:val="18"/>
                      <w:lang w:bidi="ar"/>
                    </w:rPr>
                    <w:t>是</w:t>
                  </w:r>
                </w:p>
              </w:tc>
              <w:tc>
                <w:tcPr>
                  <w:tcW w:w="926" w:type="pct"/>
                  <w:vMerge w:val="restart"/>
                  <w:vAlign w:val="center"/>
                </w:tcPr>
                <w:p w14:paraId="49E66CD1">
                  <w:pPr>
                    <w:widowControl/>
                    <w:adjustRightInd w:val="0"/>
                    <w:snapToGrid w:val="0"/>
                    <w:jc w:val="left"/>
                    <w:rPr>
                      <w:sz w:val="18"/>
                      <w:szCs w:val="18"/>
                      <w:lang w:bidi="ar"/>
                    </w:rPr>
                  </w:pPr>
                  <w:r>
                    <w:rPr>
                      <w:sz w:val="18"/>
                      <w:szCs w:val="18"/>
                      <w:lang w:bidi="ar"/>
                    </w:rPr>
                    <w:t>√企业总排口</w:t>
                  </w:r>
                </w:p>
                <w:p w14:paraId="27E9715B">
                  <w:pPr>
                    <w:widowControl/>
                    <w:adjustRightInd w:val="0"/>
                    <w:snapToGrid w:val="0"/>
                    <w:jc w:val="left"/>
                    <w:rPr>
                      <w:sz w:val="18"/>
                      <w:szCs w:val="18"/>
                      <w:lang w:bidi="ar"/>
                    </w:rPr>
                  </w:pPr>
                  <w:r>
                    <w:rPr>
                      <w:sz w:val="18"/>
                      <w:szCs w:val="18"/>
                      <w:lang w:bidi="ar"/>
                    </w:rPr>
                    <w:t>□雨水排放口</w:t>
                  </w:r>
                </w:p>
                <w:p w14:paraId="41AE8B52">
                  <w:pPr>
                    <w:widowControl/>
                    <w:adjustRightInd w:val="0"/>
                    <w:snapToGrid w:val="0"/>
                    <w:jc w:val="left"/>
                    <w:rPr>
                      <w:sz w:val="18"/>
                      <w:szCs w:val="18"/>
                      <w:lang w:bidi="ar"/>
                    </w:rPr>
                  </w:pPr>
                  <w:r>
                    <w:rPr>
                      <w:sz w:val="18"/>
                      <w:szCs w:val="18"/>
                      <w:lang w:bidi="ar"/>
                    </w:rPr>
                    <w:t>□清静下水排放口</w:t>
                  </w:r>
                </w:p>
                <w:p w14:paraId="6023ABC5">
                  <w:pPr>
                    <w:widowControl/>
                    <w:adjustRightInd w:val="0"/>
                    <w:snapToGrid w:val="0"/>
                    <w:jc w:val="left"/>
                    <w:rPr>
                      <w:sz w:val="18"/>
                      <w:szCs w:val="18"/>
                      <w:lang w:bidi="ar"/>
                    </w:rPr>
                  </w:pPr>
                  <w:r>
                    <w:rPr>
                      <w:sz w:val="18"/>
                      <w:szCs w:val="18"/>
                      <w:lang w:bidi="ar"/>
                    </w:rPr>
                    <w:t>□温排水排放口</w:t>
                  </w:r>
                </w:p>
                <w:p w14:paraId="53817C62">
                  <w:pPr>
                    <w:widowControl/>
                    <w:adjustRightInd w:val="0"/>
                    <w:snapToGrid w:val="0"/>
                    <w:jc w:val="left"/>
                    <w:rPr>
                      <w:sz w:val="18"/>
                      <w:szCs w:val="18"/>
                    </w:rPr>
                  </w:pPr>
                  <w:r>
                    <w:rPr>
                      <w:sz w:val="18"/>
                      <w:szCs w:val="18"/>
                      <w:lang w:bidi="ar"/>
                    </w:rPr>
                    <w:t>□车间或车间处理设施排放口</w:t>
                  </w:r>
                </w:p>
              </w:tc>
            </w:tr>
            <w:tr w14:paraId="5F500152">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28" w:type="dxa"/>
                  <w:bottom w:w="0" w:type="dxa"/>
                  <w:right w:w="28" w:type="dxa"/>
                </w:tblCellMar>
              </w:tblPrEx>
              <w:trPr>
                <w:trHeight w:val="859" w:hRule="atLeast"/>
                <w:jc w:val="center"/>
              </w:trPr>
              <w:tc>
                <w:tcPr>
                  <w:tcW w:w="236" w:type="pct"/>
                  <w:vAlign w:val="center"/>
                </w:tcPr>
                <w:p w14:paraId="7C23D17C">
                  <w:pPr>
                    <w:pStyle w:val="5"/>
                    <w:ind w:firstLine="0" w:firstLineChars="0"/>
                    <w:jc w:val="center"/>
                    <w:rPr>
                      <w:rFonts w:hint="eastAsia" w:eastAsia="宋体"/>
                      <w:sz w:val="18"/>
                      <w:szCs w:val="18"/>
                      <w:lang w:val="en-US" w:eastAsia="zh-CN"/>
                    </w:rPr>
                  </w:pPr>
                  <w:r>
                    <w:rPr>
                      <w:rFonts w:hint="eastAsia"/>
                      <w:sz w:val="18"/>
                      <w:szCs w:val="18"/>
                      <w:lang w:val="en-US" w:eastAsia="zh-CN"/>
                    </w:rPr>
                    <w:t>2</w:t>
                  </w:r>
                </w:p>
              </w:tc>
              <w:tc>
                <w:tcPr>
                  <w:tcW w:w="339" w:type="pct"/>
                  <w:vAlign w:val="center"/>
                </w:tcPr>
                <w:p w14:paraId="42CACE15">
                  <w:pPr>
                    <w:pStyle w:val="5"/>
                    <w:ind w:firstLine="0" w:firstLineChars="0"/>
                    <w:jc w:val="center"/>
                    <w:rPr>
                      <w:sz w:val="18"/>
                      <w:szCs w:val="18"/>
                    </w:rPr>
                  </w:pPr>
                  <w:r>
                    <w:rPr>
                      <w:rFonts w:hint="eastAsia"/>
                      <w:sz w:val="18"/>
                      <w:szCs w:val="18"/>
                      <w:lang w:val="en-US" w:eastAsia="zh-CN"/>
                    </w:rPr>
                    <w:t>后道清洗废水</w:t>
                  </w:r>
                </w:p>
              </w:tc>
              <w:tc>
                <w:tcPr>
                  <w:tcW w:w="497" w:type="pct"/>
                  <w:vAlign w:val="center"/>
                </w:tcPr>
                <w:p w14:paraId="4283BE4E">
                  <w:pPr>
                    <w:pStyle w:val="5"/>
                    <w:ind w:firstLine="0" w:firstLineChars="0"/>
                    <w:jc w:val="center"/>
                    <w:rPr>
                      <w:sz w:val="18"/>
                      <w:szCs w:val="18"/>
                    </w:rPr>
                  </w:pPr>
                  <w:r>
                    <w:rPr>
                      <w:sz w:val="18"/>
                      <w:szCs w:val="18"/>
                    </w:rPr>
                    <w:t>COD、SS、氨氮、总磷、总氮</w:t>
                  </w:r>
                </w:p>
              </w:tc>
              <w:tc>
                <w:tcPr>
                  <w:tcW w:w="495" w:type="pct"/>
                  <w:vMerge w:val="continue"/>
                  <w:vAlign w:val="center"/>
                </w:tcPr>
                <w:p w14:paraId="4B0D4010">
                  <w:pPr>
                    <w:widowControl/>
                    <w:adjustRightInd w:val="0"/>
                    <w:snapToGrid w:val="0"/>
                    <w:jc w:val="center"/>
                    <w:rPr>
                      <w:rFonts w:hint="eastAsia"/>
                      <w:sz w:val="18"/>
                      <w:szCs w:val="18"/>
                    </w:rPr>
                  </w:pPr>
                </w:p>
              </w:tc>
              <w:tc>
                <w:tcPr>
                  <w:tcW w:w="377" w:type="pct"/>
                  <w:vMerge w:val="continue"/>
                  <w:vAlign w:val="center"/>
                </w:tcPr>
                <w:p w14:paraId="3720564A">
                  <w:pPr>
                    <w:widowControl/>
                    <w:adjustRightInd w:val="0"/>
                    <w:snapToGrid w:val="0"/>
                    <w:jc w:val="center"/>
                    <w:rPr>
                      <w:sz w:val="18"/>
                      <w:szCs w:val="18"/>
                      <w:lang w:bidi="ar"/>
                    </w:rPr>
                  </w:pPr>
                </w:p>
              </w:tc>
              <w:tc>
                <w:tcPr>
                  <w:tcW w:w="491" w:type="pct"/>
                  <w:vAlign w:val="center"/>
                </w:tcPr>
                <w:p w14:paraId="7300FD22">
                  <w:pPr>
                    <w:adjustRightInd w:val="0"/>
                    <w:snapToGrid w:val="0"/>
                    <w:jc w:val="center"/>
                    <w:rPr>
                      <w:rFonts w:hint="default" w:eastAsia="宋体"/>
                      <w:sz w:val="18"/>
                      <w:szCs w:val="18"/>
                      <w:lang w:val="en-US" w:eastAsia="zh-CN"/>
                    </w:rPr>
                  </w:pPr>
                  <w:r>
                    <w:rPr>
                      <w:rFonts w:hint="eastAsia"/>
                      <w:sz w:val="18"/>
                      <w:szCs w:val="18"/>
                      <w:lang w:val="en-US" w:eastAsia="zh-CN"/>
                    </w:rPr>
                    <w:t>TW002</w:t>
                  </w:r>
                </w:p>
              </w:tc>
              <w:tc>
                <w:tcPr>
                  <w:tcW w:w="399" w:type="pct"/>
                  <w:vAlign w:val="center"/>
                </w:tcPr>
                <w:p w14:paraId="225DF2AC">
                  <w:pPr>
                    <w:adjustRightInd w:val="0"/>
                    <w:snapToGrid w:val="0"/>
                    <w:jc w:val="center"/>
                    <w:rPr>
                      <w:rFonts w:hint="default" w:eastAsia="宋体"/>
                      <w:sz w:val="18"/>
                      <w:szCs w:val="18"/>
                      <w:lang w:val="en-US" w:eastAsia="zh-CN" w:bidi="ar"/>
                    </w:rPr>
                  </w:pPr>
                  <w:r>
                    <w:rPr>
                      <w:rFonts w:hint="eastAsia"/>
                      <w:sz w:val="18"/>
                      <w:szCs w:val="18"/>
                      <w:lang w:val="en-US" w:eastAsia="zh-CN" w:bidi="ar"/>
                    </w:rPr>
                    <w:t>厂区污水处理设施</w:t>
                  </w:r>
                </w:p>
              </w:tc>
              <w:tc>
                <w:tcPr>
                  <w:tcW w:w="447" w:type="pct"/>
                  <w:vAlign w:val="center"/>
                </w:tcPr>
                <w:p w14:paraId="7B2CCC47">
                  <w:pPr>
                    <w:adjustRightInd w:val="0"/>
                    <w:snapToGrid w:val="0"/>
                    <w:jc w:val="center"/>
                    <w:rPr>
                      <w:rFonts w:hint="default" w:eastAsia="宋体"/>
                      <w:sz w:val="18"/>
                      <w:szCs w:val="18"/>
                      <w:lang w:val="en-US" w:eastAsia="zh-CN" w:bidi="ar"/>
                    </w:rPr>
                  </w:pPr>
                  <w:r>
                    <w:rPr>
                      <w:rFonts w:hint="eastAsia"/>
                      <w:sz w:val="18"/>
                      <w:szCs w:val="18"/>
                      <w:lang w:val="en-US" w:eastAsia="zh-CN" w:bidi="ar"/>
                    </w:rPr>
                    <w:t>酸碱中和+多介质过滤吸附</w:t>
                  </w:r>
                </w:p>
              </w:tc>
              <w:tc>
                <w:tcPr>
                  <w:tcW w:w="372" w:type="pct"/>
                  <w:vMerge w:val="continue"/>
                  <w:vAlign w:val="center"/>
                </w:tcPr>
                <w:p w14:paraId="36A81A09">
                  <w:pPr>
                    <w:widowControl/>
                    <w:adjustRightInd w:val="0"/>
                    <w:snapToGrid w:val="0"/>
                    <w:jc w:val="center"/>
                    <w:rPr>
                      <w:sz w:val="18"/>
                      <w:szCs w:val="18"/>
                      <w:lang w:bidi="ar"/>
                    </w:rPr>
                  </w:pPr>
                </w:p>
              </w:tc>
              <w:tc>
                <w:tcPr>
                  <w:tcW w:w="415" w:type="pct"/>
                  <w:vMerge w:val="continue"/>
                  <w:vAlign w:val="center"/>
                </w:tcPr>
                <w:p w14:paraId="1FC44602">
                  <w:pPr>
                    <w:widowControl/>
                    <w:adjustRightInd w:val="0"/>
                    <w:snapToGrid w:val="0"/>
                    <w:jc w:val="center"/>
                    <w:rPr>
                      <w:sz w:val="18"/>
                      <w:szCs w:val="18"/>
                      <w:lang w:bidi="ar"/>
                    </w:rPr>
                  </w:pPr>
                </w:p>
              </w:tc>
              <w:tc>
                <w:tcPr>
                  <w:tcW w:w="926" w:type="pct"/>
                  <w:vMerge w:val="continue"/>
                  <w:vAlign w:val="center"/>
                </w:tcPr>
                <w:p w14:paraId="3731BFB1">
                  <w:pPr>
                    <w:widowControl/>
                    <w:adjustRightInd w:val="0"/>
                    <w:snapToGrid w:val="0"/>
                    <w:jc w:val="left"/>
                    <w:rPr>
                      <w:sz w:val="18"/>
                      <w:szCs w:val="18"/>
                      <w:lang w:bidi="ar"/>
                    </w:rPr>
                  </w:pPr>
                </w:p>
              </w:tc>
            </w:tr>
          </w:tbl>
          <w:p w14:paraId="14AFE07F">
            <w:pPr>
              <w:adjustRightInd w:val="0"/>
              <w:snapToGrid w:val="0"/>
              <w:spacing w:before="120"/>
              <w:jc w:val="center"/>
              <w:rPr>
                <w:b/>
                <w:bCs/>
                <w:spacing w:val="6"/>
                <w:szCs w:val="21"/>
                <w:shd w:val="clear" w:color="auto" w:fill="FFFFFF"/>
              </w:rPr>
            </w:pPr>
          </w:p>
          <w:p w14:paraId="14E43F5B">
            <w:pPr>
              <w:adjustRightInd w:val="0"/>
              <w:snapToGrid w:val="0"/>
              <w:spacing w:before="120"/>
              <w:jc w:val="center"/>
              <w:rPr>
                <w:b/>
                <w:bCs/>
                <w:spacing w:val="6"/>
                <w:szCs w:val="21"/>
                <w:shd w:val="clear" w:color="auto" w:fill="FFFFFF"/>
              </w:rPr>
            </w:pPr>
          </w:p>
          <w:p w14:paraId="36FE697C">
            <w:pPr>
              <w:adjustRightInd w:val="0"/>
              <w:snapToGrid w:val="0"/>
              <w:spacing w:before="120"/>
              <w:jc w:val="center"/>
              <w:rPr>
                <w:b/>
                <w:bCs/>
                <w:spacing w:val="6"/>
                <w:szCs w:val="21"/>
                <w:shd w:val="clear" w:color="auto" w:fill="FFFFFF"/>
              </w:rPr>
            </w:pPr>
            <w:r>
              <w:rPr>
                <w:b/>
                <w:bCs/>
                <w:spacing w:val="6"/>
                <w:szCs w:val="21"/>
                <w:shd w:val="clear" w:color="auto" w:fill="FFFFFF"/>
              </w:rPr>
              <w:t>表4-1</w:t>
            </w:r>
            <w:r>
              <w:rPr>
                <w:rFonts w:hint="eastAsia"/>
                <w:b/>
                <w:bCs/>
                <w:spacing w:val="6"/>
                <w:szCs w:val="21"/>
                <w:shd w:val="clear" w:color="auto" w:fill="FFFFFF"/>
                <w:lang w:val="en-US" w:eastAsia="zh-CN"/>
              </w:rPr>
              <w:t>7</w:t>
            </w:r>
            <w:r>
              <w:rPr>
                <w:b/>
                <w:bCs/>
                <w:spacing w:val="6"/>
                <w:szCs w:val="21"/>
                <w:shd w:val="clear" w:color="auto" w:fill="FFFFFF"/>
              </w:rPr>
              <w:t xml:space="preserve"> 废水间接排放口基本情况表</w:t>
            </w:r>
          </w:p>
          <w:tbl>
            <w:tblPr>
              <w:tblStyle w:val="23"/>
              <w:tblW w:w="499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415"/>
              <w:gridCol w:w="701"/>
              <w:gridCol w:w="909"/>
              <w:gridCol w:w="848"/>
              <w:gridCol w:w="915"/>
              <w:gridCol w:w="725"/>
              <w:gridCol w:w="825"/>
              <w:gridCol w:w="671"/>
              <w:gridCol w:w="783"/>
              <w:gridCol w:w="943"/>
              <w:gridCol w:w="1065"/>
            </w:tblGrid>
            <w:tr w14:paraId="3C8B05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34" w:hRule="atLeast"/>
                <w:jc w:val="center"/>
              </w:trPr>
              <w:tc>
                <w:tcPr>
                  <w:tcW w:w="235" w:type="pct"/>
                  <w:vMerge w:val="restart"/>
                  <w:vAlign w:val="center"/>
                </w:tcPr>
                <w:p w14:paraId="59217E28">
                  <w:pPr>
                    <w:adjustRightInd w:val="0"/>
                    <w:snapToGrid w:val="0"/>
                    <w:jc w:val="center"/>
                    <w:rPr>
                      <w:b/>
                      <w:bCs/>
                      <w:sz w:val="18"/>
                      <w:szCs w:val="18"/>
                    </w:rPr>
                  </w:pPr>
                  <w:r>
                    <w:rPr>
                      <w:b/>
                      <w:bCs/>
                      <w:sz w:val="18"/>
                      <w:szCs w:val="18"/>
                      <w:lang w:bidi="ar"/>
                    </w:rPr>
                    <w:t>序号</w:t>
                  </w:r>
                </w:p>
              </w:tc>
              <w:tc>
                <w:tcPr>
                  <w:tcW w:w="398" w:type="pct"/>
                  <w:vMerge w:val="restart"/>
                  <w:vAlign w:val="center"/>
                </w:tcPr>
                <w:p w14:paraId="74F1A2A3">
                  <w:pPr>
                    <w:adjustRightInd w:val="0"/>
                    <w:snapToGrid w:val="0"/>
                    <w:jc w:val="center"/>
                    <w:rPr>
                      <w:b/>
                      <w:bCs/>
                      <w:sz w:val="18"/>
                      <w:szCs w:val="18"/>
                    </w:rPr>
                  </w:pPr>
                  <w:r>
                    <w:rPr>
                      <w:b/>
                      <w:bCs/>
                      <w:sz w:val="18"/>
                      <w:szCs w:val="18"/>
                      <w:lang w:bidi="ar"/>
                    </w:rPr>
                    <w:t>排放口编号</w:t>
                  </w:r>
                </w:p>
              </w:tc>
              <w:tc>
                <w:tcPr>
                  <w:tcW w:w="997" w:type="pct"/>
                  <w:gridSpan w:val="2"/>
                  <w:vAlign w:val="center"/>
                </w:tcPr>
                <w:p w14:paraId="74F94CCF">
                  <w:pPr>
                    <w:adjustRightInd w:val="0"/>
                    <w:snapToGrid w:val="0"/>
                    <w:jc w:val="center"/>
                    <w:rPr>
                      <w:b/>
                      <w:bCs/>
                      <w:sz w:val="18"/>
                      <w:szCs w:val="18"/>
                    </w:rPr>
                  </w:pPr>
                  <w:r>
                    <w:rPr>
                      <w:b/>
                      <w:bCs/>
                      <w:sz w:val="18"/>
                      <w:szCs w:val="18"/>
                      <w:lang w:bidi="ar"/>
                    </w:rPr>
                    <w:t>排放口地理坐标</w:t>
                  </w:r>
                  <w:r>
                    <w:rPr>
                      <w:b/>
                      <w:bCs/>
                      <w:sz w:val="18"/>
                      <w:szCs w:val="18"/>
                    </w:rPr>
                    <w:t>（</w:t>
                  </w:r>
                  <w:r>
                    <w:rPr>
                      <w:b/>
                      <w:sz w:val="18"/>
                      <w:szCs w:val="18"/>
                      <w:vertAlign w:val="superscript"/>
                    </w:rPr>
                    <w:t>o</w:t>
                  </w:r>
                  <w:r>
                    <w:rPr>
                      <w:b/>
                      <w:bCs/>
                      <w:sz w:val="18"/>
                      <w:szCs w:val="18"/>
                    </w:rPr>
                    <w:t>）</w:t>
                  </w:r>
                </w:p>
              </w:tc>
              <w:tc>
                <w:tcPr>
                  <w:tcW w:w="519" w:type="pct"/>
                  <w:vMerge w:val="restart"/>
                  <w:vAlign w:val="center"/>
                </w:tcPr>
                <w:p w14:paraId="1B049C4F">
                  <w:pPr>
                    <w:adjustRightInd w:val="0"/>
                    <w:snapToGrid w:val="0"/>
                    <w:jc w:val="center"/>
                    <w:rPr>
                      <w:b/>
                      <w:bCs/>
                      <w:sz w:val="18"/>
                      <w:szCs w:val="18"/>
                    </w:rPr>
                  </w:pPr>
                  <w:r>
                    <w:rPr>
                      <w:b/>
                      <w:bCs/>
                      <w:sz w:val="18"/>
                      <w:szCs w:val="18"/>
                      <w:lang w:bidi="ar"/>
                    </w:rPr>
                    <w:t>废水排放量（万t/a）</w:t>
                  </w:r>
                </w:p>
              </w:tc>
              <w:tc>
                <w:tcPr>
                  <w:tcW w:w="412" w:type="pct"/>
                  <w:vMerge w:val="restart"/>
                  <w:vAlign w:val="center"/>
                </w:tcPr>
                <w:p w14:paraId="1AED46F6">
                  <w:pPr>
                    <w:adjustRightInd w:val="0"/>
                    <w:snapToGrid w:val="0"/>
                    <w:jc w:val="center"/>
                    <w:rPr>
                      <w:b/>
                      <w:bCs/>
                      <w:sz w:val="18"/>
                      <w:szCs w:val="18"/>
                      <w:lang w:bidi="ar"/>
                    </w:rPr>
                  </w:pPr>
                  <w:r>
                    <w:rPr>
                      <w:b/>
                      <w:bCs/>
                      <w:sz w:val="18"/>
                      <w:szCs w:val="18"/>
                      <w:lang w:bidi="ar"/>
                    </w:rPr>
                    <w:t>排放</w:t>
                  </w:r>
                </w:p>
                <w:p w14:paraId="1BC8110E">
                  <w:pPr>
                    <w:adjustRightInd w:val="0"/>
                    <w:snapToGrid w:val="0"/>
                    <w:jc w:val="center"/>
                    <w:rPr>
                      <w:b/>
                      <w:bCs/>
                      <w:sz w:val="18"/>
                      <w:szCs w:val="18"/>
                    </w:rPr>
                  </w:pPr>
                  <w:r>
                    <w:rPr>
                      <w:b/>
                      <w:bCs/>
                      <w:sz w:val="18"/>
                      <w:szCs w:val="18"/>
                      <w:lang w:bidi="ar"/>
                    </w:rPr>
                    <w:t>去向</w:t>
                  </w:r>
                </w:p>
              </w:tc>
              <w:tc>
                <w:tcPr>
                  <w:tcW w:w="469" w:type="pct"/>
                  <w:vMerge w:val="restart"/>
                  <w:vAlign w:val="center"/>
                </w:tcPr>
                <w:p w14:paraId="6542F6B6">
                  <w:pPr>
                    <w:adjustRightInd w:val="0"/>
                    <w:snapToGrid w:val="0"/>
                    <w:jc w:val="center"/>
                    <w:rPr>
                      <w:b/>
                      <w:bCs/>
                      <w:sz w:val="18"/>
                      <w:szCs w:val="18"/>
                      <w:lang w:bidi="ar"/>
                    </w:rPr>
                  </w:pPr>
                  <w:r>
                    <w:rPr>
                      <w:b/>
                      <w:bCs/>
                      <w:sz w:val="18"/>
                      <w:szCs w:val="18"/>
                      <w:lang w:bidi="ar"/>
                    </w:rPr>
                    <w:t>排放</w:t>
                  </w:r>
                </w:p>
                <w:p w14:paraId="54FF9FE6">
                  <w:pPr>
                    <w:adjustRightInd w:val="0"/>
                    <w:snapToGrid w:val="0"/>
                    <w:jc w:val="center"/>
                    <w:rPr>
                      <w:b/>
                      <w:bCs/>
                      <w:sz w:val="18"/>
                      <w:szCs w:val="18"/>
                    </w:rPr>
                  </w:pPr>
                  <w:r>
                    <w:rPr>
                      <w:b/>
                      <w:bCs/>
                      <w:sz w:val="18"/>
                      <w:szCs w:val="18"/>
                      <w:lang w:bidi="ar"/>
                    </w:rPr>
                    <w:t>规律</w:t>
                  </w:r>
                </w:p>
              </w:tc>
              <w:tc>
                <w:tcPr>
                  <w:tcW w:w="381" w:type="pct"/>
                  <w:vMerge w:val="restart"/>
                  <w:vAlign w:val="center"/>
                </w:tcPr>
                <w:p w14:paraId="6DA61717">
                  <w:pPr>
                    <w:adjustRightInd w:val="0"/>
                    <w:snapToGrid w:val="0"/>
                    <w:jc w:val="center"/>
                    <w:rPr>
                      <w:b/>
                      <w:bCs/>
                      <w:sz w:val="18"/>
                      <w:szCs w:val="18"/>
                    </w:rPr>
                  </w:pPr>
                  <w:r>
                    <w:rPr>
                      <w:b/>
                      <w:bCs/>
                      <w:sz w:val="18"/>
                      <w:szCs w:val="18"/>
                      <w:lang w:bidi="ar"/>
                    </w:rPr>
                    <w:t>间歇排放时段</w:t>
                  </w:r>
                </w:p>
              </w:tc>
              <w:tc>
                <w:tcPr>
                  <w:tcW w:w="1584" w:type="pct"/>
                  <w:gridSpan w:val="3"/>
                  <w:vAlign w:val="center"/>
                </w:tcPr>
                <w:p w14:paraId="17D0B3B6">
                  <w:pPr>
                    <w:adjustRightInd w:val="0"/>
                    <w:snapToGrid w:val="0"/>
                    <w:jc w:val="center"/>
                    <w:rPr>
                      <w:b/>
                      <w:bCs/>
                      <w:sz w:val="18"/>
                      <w:szCs w:val="18"/>
                    </w:rPr>
                  </w:pPr>
                  <w:r>
                    <w:rPr>
                      <w:b/>
                      <w:bCs/>
                      <w:sz w:val="18"/>
                      <w:szCs w:val="18"/>
                      <w:lang w:bidi="ar"/>
                    </w:rPr>
                    <w:t>收纳污水处理厂信息</w:t>
                  </w:r>
                </w:p>
              </w:tc>
            </w:tr>
            <w:tr w14:paraId="188A50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35" w:type="pct"/>
                  <w:vMerge w:val="continue"/>
                  <w:vAlign w:val="center"/>
                </w:tcPr>
                <w:p w14:paraId="3C5A909D">
                  <w:pPr>
                    <w:adjustRightInd w:val="0"/>
                    <w:snapToGrid w:val="0"/>
                    <w:rPr>
                      <w:b/>
                      <w:bCs/>
                      <w:sz w:val="18"/>
                      <w:szCs w:val="18"/>
                    </w:rPr>
                  </w:pPr>
                </w:p>
              </w:tc>
              <w:tc>
                <w:tcPr>
                  <w:tcW w:w="398" w:type="pct"/>
                  <w:vMerge w:val="continue"/>
                  <w:vAlign w:val="center"/>
                </w:tcPr>
                <w:p w14:paraId="796AB538">
                  <w:pPr>
                    <w:adjustRightInd w:val="0"/>
                    <w:snapToGrid w:val="0"/>
                    <w:rPr>
                      <w:b/>
                      <w:bCs/>
                      <w:sz w:val="18"/>
                      <w:szCs w:val="18"/>
                    </w:rPr>
                  </w:pPr>
                </w:p>
              </w:tc>
              <w:tc>
                <w:tcPr>
                  <w:tcW w:w="515" w:type="pct"/>
                  <w:vAlign w:val="center"/>
                </w:tcPr>
                <w:p w14:paraId="0DB70B8D">
                  <w:pPr>
                    <w:adjustRightInd w:val="0"/>
                    <w:snapToGrid w:val="0"/>
                    <w:jc w:val="center"/>
                    <w:rPr>
                      <w:b/>
                      <w:bCs/>
                      <w:sz w:val="18"/>
                      <w:szCs w:val="18"/>
                    </w:rPr>
                  </w:pPr>
                  <w:r>
                    <w:rPr>
                      <w:b/>
                      <w:bCs/>
                      <w:sz w:val="18"/>
                      <w:szCs w:val="18"/>
                      <w:lang w:bidi="ar"/>
                    </w:rPr>
                    <w:t>经度</w:t>
                  </w:r>
                </w:p>
              </w:tc>
              <w:tc>
                <w:tcPr>
                  <w:tcW w:w="481" w:type="pct"/>
                  <w:vAlign w:val="center"/>
                </w:tcPr>
                <w:p w14:paraId="4242CA68">
                  <w:pPr>
                    <w:adjustRightInd w:val="0"/>
                    <w:snapToGrid w:val="0"/>
                    <w:jc w:val="center"/>
                    <w:rPr>
                      <w:b/>
                      <w:bCs/>
                      <w:sz w:val="18"/>
                      <w:szCs w:val="18"/>
                    </w:rPr>
                  </w:pPr>
                  <w:r>
                    <w:rPr>
                      <w:b/>
                      <w:bCs/>
                      <w:sz w:val="18"/>
                      <w:szCs w:val="18"/>
                      <w:lang w:bidi="ar"/>
                    </w:rPr>
                    <w:t>纬度</w:t>
                  </w:r>
                </w:p>
              </w:tc>
              <w:tc>
                <w:tcPr>
                  <w:tcW w:w="519" w:type="pct"/>
                  <w:vMerge w:val="continue"/>
                  <w:vAlign w:val="center"/>
                </w:tcPr>
                <w:p w14:paraId="175BDBBD">
                  <w:pPr>
                    <w:adjustRightInd w:val="0"/>
                    <w:snapToGrid w:val="0"/>
                    <w:rPr>
                      <w:b/>
                      <w:bCs/>
                      <w:sz w:val="18"/>
                      <w:szCs w:val="18"/>
                    </w:rPr>
                  </w:pPr>
                </w:p>
              </w:tc>
              <w:tc>
                <w:tcPr>
                  <w:tcW w:w="412" w:type="pct"/>
                  <w:vMerge w:val="continue"/>
                  <w:vAlign w:val="center"/>
                </w:tcPr>
                <w:p w14:paraId="3A09A0FA">
                  <w:pPr>
                    <w:adjustRightInd w:val="0"/>
                    <w:snapToGrid w:val="0"/>
                    <w:rPr>
                      <w:b/>
                      <w:bCs/>
                      <w:sz w:val="18"/>
                      <w:szCs w:val="18"/>
                    </w:rPr>
                  </w:pPr>
                </w:p>
              </w:tc>
              <w:tc>
                <w:tcPr>
                  <w:tcW w:w="469" w:type="pct"/>
                  <w:vMerge w:val="continue"/>
                  <w:vAlign w:val="center"/>
                </w:tcPr>
                <w:p w14:paraId="1E715CF5">
                  <w:pPr>
                    <w:adjustRightInd w:val="0"/>
                    <w:snapToGrid w:val="0"/>
                    <w:jc w:val="center"/>
                    <w:rPr>
                      <w:b/>
                      <w:bCs/>
                      <w:sz w:val="18"/>
                      <w:szCs w:val="18"/>
                    </w:rPr>
                  </w:pPr>
                </w:p>
              </w:tc>
              <w:tc>
                <w:tcPr>
                  <w:tcW w:w="381" w:type="pct"/>
                  <w:vMerge w:val="continue"/>
                  <w:vAlign w:val="center"/>
                </w:tcPr>
                <w:p w14:paraId="7E07D713">
                  <w:pPr>
                    <w:adjustRightInd w:val="0"/>
                    <w:snapToGrid w:val="0"/>
                    <w:jc w:val="center"/>
                    <w:rPr>
                      <w:b/>
                      <w:bCs/>
                      <w:sz w:val="18"/>
                      <w:szCs w:val="18"/>
                    </w:rPr>
                  </w:pPr>
                </w:p>
              </w:tc>
              <w:tc>
                <w:tcPr>
                  <w:tcW w:w="445" w:type="pct"/>
                  <w:vAlign w:val="center"/>
                </w:tcPr>
                <w:p w14:paraId="0DD2FD53">
                  <w:pPr>
                    <w:adjustRightInd w:val="0"/>
                    <w:snapToGrid w:val="0"/>
                    <w:jc w:val="center"/>
                    <w:rPr>
                      <w:b/>
                      <w:bCs/>
                      <w:sz w:val="18"/>
                      <w:szCs w:val="18"/>
                    </w:rPr>
                  </w:pPr>
                  <w:r>
                    <w:rPr>
                      <w:b/>
                      <w:bCs/>
                      <w:sz w:val="18"/>
                      <w:szCs w:val="18"/>
                      <w:lang w:bidi="ar"/>
                    </w:rPr>
                    <w:t>名称</w:t>
                  </w:r>
                </w:p>
              </w:tc>
              <w:tc>
                <w:tcPr>
                  <w:tcW w:w="535" w:type="pct"/>
                  <w:vAlign w:val="center"/>
                </w:tcPr>
                <w:p w14:paraId="724D11B8">
                  <w:pPr>
                    <w:adjustRightInd w:val="0"/>
                    <w:snapToGrid w:val="0"/>
                    <w:jc w:val="center"/>
                    <w:rPr>
                      <w:b/>
                      <w:bCs/>
                      <w:sz w:val="18"/>
                      <w:szCs w:val="18"/>
                      <w:lang w:bidi="ar"/>
                    </w:rPr>
                  </w:pPr>
                  <w:r>
                    <w:rPr>
                      <w:b/>
                      <w:bCs/>
                      <w:sz w:val="18"/>
                      <w:szCs w:val="18"/>
                      <w:lang w:bidi="ar"/>
                    </w:rPr>
                    <w:t>污染物</w:t>
                  </w:r>
                </w:p>
                <w:p w14:paraId="11ADC55E">
                  <w:pPr>
                    <w:adjustRightInd w:val="0"/>
                    <w:snapToGrid w:val="0"/>
                    <w:jc w:val="center"/>
                    <w:rPr>
                      <w:b/>
                      <w:bCs/>
                      <w:sz w:val="18"/>
                      <w:szCs w:val="18"/>
                    </w:rPr>
                  </w:pPr>
                  <w:r>
                    <w:rPr>
                      <w:b/>
                      <w:bCs/>
                      <w:sz w:val="18"/>
                      <w:szCs w:val="18"/>
                      <w:lang w:bidi="ar"/>
                    </w:rPr>
                    <w:t>种类</w:t>
                  </w:r>
                </w:p>
              </w:tc>
              <w:tc>
                <w:tcPr>
                  <w:tcW w:w="603" w:type="pct"/>
                  <w:vAlign w:val="center"/>
                </w:tcPr>
                <w:p w14:paraId="52797500">
                  <w:pPr>
                    <w:adjustRightInd w:val="0"/>
                    <w:snapToGrid w:val="0"/>
                    <w:jc w:val="center"/>
                    <w:rPr>
                      <w:b/>
                      <w:bCs/>
                      <w:sz w:val="18"/>
                      <w:szCs w:val="18"/>
                    </w:rPr>
                  </w:pPr>
                  <w:r>
                    <w:rPr>
                      <w:b/>
                      <w:bCs/>
                      <w:sz w:val="18"/>
                      <w:szCs w:val="18"/>
                      <w:lang w:bidi="ar"/>
                    </w:rPr>
                    <w:t>污水厂接管浓度限值（mg/L）</w:t>
                  </w:r>
                </w:p>
              </w:tc>
            </w:tr>
            <w:tr w14:paraId="15C98B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35" w:type="pct"/>
                  <w:vMerge w:val="restart"/>
                  <w:vAlign w:val="center"/>
                </w:tcPr>
                <w:p w14:paraId="0D366E04">
                  <w:pPr>
                    <w:adjustRightInd w:val="0"/>
                    <w:snapToGrid w:val="0"/>
                    <w:jc w:val="center"/>
                    <w:rPr>
                      <w:sz w:val="18"/>
                      <w:szCs w:val="18"/>
                    </w:rPr>
                  </w:pPr>
                  <w:r>
                    <w:rPr>
                      <w:sz w:val="18"/>
                      <w:szCs w:val="18"/>
                      <w:lang w:bidi="ar"/>
                    </w:rPr>
                    <w:t>1</w:t>
                  </w:r>
                </w:p>
              </w:tc>
              <w:tc>
                <w:tcPr>
                  <w:tcW w:w="398" w:type="pct"/>
                  <w:vMerge w:val="restart"/>
                  <w:vAlign w:val="center"/>
                </w:tcPr>
                <w:p w14:paraId="7C274818">
                  <w:pPr>
                    <w:adjustRightInd w:val="0"/>
                    <w:snapToGrid w:val="0"/>
                    <w:jc w:val="center"/>
                    <w:rPr>
                      <w:sz w:val="18"/>
                      <w:szCs w:val="18"/>
                    </w:rPr>
                  </w:pPr>
                  <w:r>
                    <w:rPr>
                      <w:sz w:val="18"/>
                      <w:szCs w:val="18"/>
                    </w:rPr>
                    <w:t>DW001</w:t>
                  </w:r>
                </w:p>
              </w:tc>
              <w:tc>
                <w:tcPr>
                  <w:tcW w:w="515" w:type="pct"/>
                  <w:vMerge w:val="restart"/>
                  <w:vAlign w:val="center"/>
                </w:tcPr>
                <w:p w14:paraId="0A05CD37">
                  <w:pPr>
                    <w:adjustRightInd w:val="0"/>
                    <w:snapToGrid w:val="0"/>
                    <w:jc w:val="center"/>
                    <w:rPr>
                      <w:sz w:val="18"/>
                      <w:szCs w:val="18"/>
                    </w:rPr>
                  </w:pPr>
                  <w:r>
                    <w:rPr>
                      <w:rFonts w:hint="eastAsia"/>
                      <w:sz w:val="18"/>
                      <w:szCs w:val="18"/>
                    </w:rPr>
                    <w:t>120.688849</w:t>
                  </w:r>
                </w:p>
              </w:tc>
              <w:tc>
                <w:tcPr>
                  <w:tcW w:w="481" w:type="pct"/>
                  <w:vMerge w:val="restart"/>
                  <w:vAlign w:val="center"/>
                </w:tcPr>
                <w:p w14:paraId="1B9E5A46">
                  <w:pPr>
                    <w:adjustRightInd w:val="0"/>
                    <w:snapToGrid w:val="0"/>
                    <w:jc w:val="center"/>
                    <w:rPr>
                      <w:sz w:val="18"/>
                      <w:szCs w:val="18"/>
                    </w:rPr>
                  </w:pPr>
                  <w:r>
                    <w:rPr>
                      <w:rFonts w:hint="eastAsia"/>
                      <w:sz w:val="18"/>
                      <w:szCs w:val="18"/>
                    </w:rPr>
                    <w:t>32.544224</w:t>
                  </w:r>
                </w:p>
              </w:tc>
              <w:tc>
                <w:tcPr>
                  <w:tcW w:w="519" w:type="pct"/>
                  <w:vMerge w:val="restart"/>
                  <w:vAlign w:val="center"/>
                </w:tcPr>
                <w:p w14:paraId="24F9F81D">
                  <w:pPr>
                    <w:adjustRightInd w:val="0"/>
                    <w:snapToGrid w:val="0"/>
                    <w:jc w:val="center"/>
                    <w:rPr>
                      <w:sz w:val="18"/>
                      <w:szCs w:val="18"/>
                    </w:rPr>
                  </w:pPr>
                  <w:r>
                    <w:rPr>
                      <w:rFonts w:hint="eastAsia"/>
                      <w:sz w:val="18"/>
                      <w:szCs w:val="18"/>
                    </w:rPr>
                    <w:t>0.01</w:t>
                  </w:r>
                </w:p>
              </w:tc>
              <w:tc>
                <w:tcPr>
                  <w:tcW w:w="412" w:type="pct"/>
                  <w:vMerge w:val="restart"/>
                  <w:vAlign w:val="center"/>
                </w:tcPr>
                <w:p w14:paraId="24B02B5B">
                  <w:pPr>
                    <w:adjustRightInd w:val="0"/>
                    <w:snapToGrid w:val="0"/>
                    <w:jc w:val="center"/>
                    <w:rPr>
                      <w:sz w:val="18"/>
                      <w:szCs w:val="18"/>
                    </w:rPr>
                  </w:pPr>
                  <w:r>
                    <w:rPr>
                      <w:rFonts w:hint="eastAsia"/>
                      <w:sz w:val="18"/>
                      <w:szCs w:val="18"/>
                    </w:rPr>
                    <w:t>海安李堡滇池水务有限公司</w:t>
                  </w:r>
                </w:p>
              </w:tc>
              <w:tc>
                <w:tcPr>
                  <w:tcW w:w="469" w:type="pct"/>
                  <w:vMerge w:val="restart"/>
                  <w:vAlign w:val="center"/>
                </w:tcPr>
                <w:p w14:paraId="157C0C17">
                  <w:pPr>
                    <w:adjustRightInd w:val="0"/>
                    <w:snapToGrid w:val="0"/>
                    <w:jc w:val="center"/>
                    <w:rPr>
                      <w:sz w:val="18"/>
                      <w:szCs w:val="18"/>
                    </w:rPr>
                  </w:pPr>
                  <w:r>
                    <w:rPr>
                      <w:sz w:val="18"/>
                      <w:szCs w:val="18"/>
                    </w:rPr>
                    <w:t>间断排放，排放期间流量不稳定，但不属于冲击型</w:t>
                  </w:r>
                </w:p>
              </w:tc>
              <w:tc>
                <w:tcPr>
                  <w:tcW w:w="381" w:type="pct"/>
                  <w:vMerge w:val="restart"/>
                  <w:vAlign w:val="center"/>
                </w:tcPr>
                <w:p w14:paraId="52E89383">
                  <w:pPr>
                    <w:adjustRightInd w:val="0"/>
                    <w:snapToGrid w:val="0"/>
                    <w:jc w:val="center"/>
                    <w:rPr>
                      <w:sz w:val="18"/>
                      <w:szCs w:val="18"/>
                    </w:rPr>
                  </w:pPr>
                  <w:r>
                    <w:rPr>
                      <w:sz w:val="18"/>
                      <w:szCs w:val="18"/>
                      <w:lang w:bidi="ar"/>
                    </w:rPr>
                    <w:t>/</w:t>
                  </w:r>
                </w:p>
              </w:tc>
              <w:tc>
                <w:tcPr>
                  <w:tcW w:w="445" w:type="pct"/>
                  <w:vMerge w:val="restart"/>
                  <w:vAlign w:val="center"/>
                </w:tcPr>
                <w:p w14:paraId="3F6FFB88">
                  <w:pPr>
                    <w:adjustRightInd w:val="0"/>
                    <w:snapToGrid w:val="0"/>
                    <w:jc w:val="center"/>
                    <w:rPr>
                      <w:sz w:val="18"/>
                      <w:szCs w:val="18"/>
                    </w:rPr>
                  </w:pPr>
                  <w:r>
                    <w:rPr>
                      <w:rFonts w:hint="eastAsia"/>
                      <w:kern w:val="0"/>
                      <w:sz w:val="18"/>
                      <w:szCs w:val="18"/>
                    </w:rPr>
                    <w:t>海安李堡滇池水务有限公司</w:t>
                  </w:r>
                </w:p>
              </w:tc>
              <w:tc>
                <w:tcPr>
                  <w:tcW w:w="535" w:type="pct"/>
                  <w:vAlign w:val="center"/>
                </w:tcPr>
                <w:p w14:paraId="46115C4F">
                  <w:pPr>
                    <w:adjustRightInd w:val="0"/>
                    <w:snapToGrid w:val="0"/>
                    <w:jc w:val="center"/>
                    <w:rPr>
                      <w:sz w:val="18"/>
                      <w:szCs w:val="18"/>
                    </w:rPr>
                  </w:pPr>
                  <w:r>
                    <w:rPr>
                      <w:sz w:val="18"/>
                      <w:szCs w:val="18"/>
                    </w:rPr>
                    <w:t>pH（无量纲）</w:t>
                  </w:r>
                </w:p>
              </w:tc>
              <w:tc>
                <w:tcPr>
                  <w:tcW w:w="603" w:type="pct"/>
                  <w:vAlign w:val="center"/>
                </w:tcPr>
                <w:p w14:paraId="230F1C9E">
                  <w:pPr>
                    <w:adjustRightInd w:val="0"/>
                    <w:snapToGrid w:val="0"/>
                    <w:jc w:val="center"/>
                    <w:rPr>
                      <w:sz w:val="18"/>
                      <w:szCs w:val="18"/>
                    </w:rPr>
                  </w:pPr>
                  <w:r>
                    <w:rPr>
                      <w:sz w:val="18"/>
                      <w:szCs w:val="18"/>
                    </w:rPr>
                    <w:t>6~9</w:t>
                  </w:r>
                </w:p>
              </w:tc>
            </w:tr>
            <w:tr w14:paraId="47C621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09" w:hRule="atLeast"/>
                <w:jc w:val="center"/>
              </w:trPr>
              <w:tc>
                <w:tcPr>
                  <w:tcW w:w="235" w:type="pct"/>
                  <w:vMerge w:val="continue"/>
                  <w:vAlign w:val="center"/>
                </w:tcPr>
                <w:p w14:paraId="7000411D">
                  <w:pPr>
                    <w:adjustRightInd w:val="0"/>
                    <w:snapToGrid w:val="0"/>
                    <w:rPr>
                      <w:sz w:val="18"/>
                      <w:szCs w:val="18"/>
                    </w:rPr>
                  </w:pPr>
                </w:p>
              </w:tc>
              <w:tc>
                <w:tcPr>
                  <w:tcW w:w="398" w:type="pct"/>
                  <w:vMerge w:val="continue"/>
                  <w:vAlign w:val="center"/>
                </w:tcPr>
                <w:p w14:paraId="54CEEA7F">
                  <w:pPr>
                    <w:adjustRightInd w:val="0"/>
                    <w:snapToGrid w:val="0"/>
                    <w:rPr>
                      <w:sz w:val="18"/>
                      <w:szCs w:val="18"/>
                    </w:rPr>
                  </w:pPr>
                </w:p>
              </w:tc>
              <w:tc>
                <w:tcPr>
                  <w:tcW w:w="515" w:type="pct"/>
                  <w:vMerge w:val="continue"/>
                  <w:vAlign w:val="center"/>
                </w:tcPr>
                <w:p w14:paraId="2106F8CF">
                  <w:pPr>
                    <w:adjustRightInd w:val="0"/>
                    <w:snapToGrid w:val="0"/>
                    <w:rPr>
                      <w:sz w:val="18"/>
                      <w:szCs w:val="18"/>
                    </w:rPr>
                  </w:pPr>
                </w:p>
              </w:tc>
              <w:tc>
                <w:tcPr>
                  <w:tcW w:w="481" w:type="pct"/>
                  <w:vMerge w:val="continue"/>
                  <w:vAlign w:val="center"/>
                </w:tcPr>
                <w:p w14:paraId="2383DB8B">
                  <w:pPr>
                    <w:adjustRightInd w:val="0"/>
                    <w:snapToGrid w:val="0"/>
                    <w:rPr>
                      <w:sz w:val="18"/>
                      <w:szCs w:val="18"/>
                    </w:rPr>
                  </w:pPr>
                </w:p>
              </w:tc>
              <w:tc>
                <w:tcPr>
                  <w:tcW w:w="519" w:type="pct"/>
                  <w:vMerge w:val="continue"/>
                  <w:vAlign w:val="center"/>
                </w:tcPr>
                <w:p w14:paraId="148A1BC5">
                  <w:pPr>
                    <w:adjustRightInd w:val="0"/>
                    <w:snapToGrid w:val="0"/>
                    <w:rPr>
                      <w:sz w:val="18"/>
                      <w:szCs w:val="18"/>
                    </w:rPr>
                  </w:pPr>
                </w:p>
              </w:tc>
              <w:tc>
                <w:tcPr>
                  <w:tcW w:w="412" w:type="pct"/>
                  <w:vMerge w:val="continue"/>
                  <w:vAlign w:val="center"/>
                </w:tcPr>
                <w:p w14:paraId="115817DB">
                  <w:pPr>
                    <w:adjustRightInd w:val="0"/>
                    <w:snapToGrid w:val="0"/>
                    <w:rPr>
                      <w:sz w:val="18"/>
                      <w:szCs w:val="18"/>
                    </w:rPr>
                  </w:pPr>
                </w:p>
              </w:tc>
              <w:tc>
                <w:tcPr>
                  <w:tcW w:w="469" w:type="pct"/>
                  <w:vMerge w:val="continue"/>
                  <w:vAlign w:val="center"/>
                </w:tcPr>
                <w:p w14:paraId="7B97E460">
                  <w:pPr>
                    <w:adjustRightInd w:val="0"/>
                    <w:snapToGrid w:val="0"/>
                    <w:rPr>
                      <w:sz w:val="18"/>
                      <w:szCs w:val="18"/>
                    </w:rPr>
                  </w:pPr>
                </w:p>
              </w:tc>
              <w:tc>
                <w:tcPr>
                  <w:tcW w:w="381" w:type="pct"/>
                  <w:vMerge w:val="continue"/>
                  <w:vAlign w:val="center"/>
                </w:tcPr>
                <w:p w14:paraId="0D214372">
                  <w:pPr>
                    <w:adjustRightInd w:val="0"/>
                    <w:snapToGrid w:val="0"/>
                    <w:rPr>
                      <w:sz w:val="18"/>
                      <w:szCs w:val="18"/>
                    </w:rPr>
                  </w:pPr>
                </w:p>
              </w:tc>
              <w:tc>
                <w:tcPr>
                  <w:tcW w:w="445" w:type="pct"/>
                  <w:vMerge w:val="continue"/>
                  <w:vAlign w:val="center"/>
                </w:tcPr>
                <w:p w14:paraId="50251699">
                  <w:pPr>
                    <w:adjustRightInd w:val="0"/>
                    <w:snapToGrid w:val="0"/>
                    <w:rPr>
                      <w:sz w:val="18"/>
                      <w:szCs w:val="18"/>
                    </w:rPr>
                  </w:pPr>
                </w:p>
              </w:tc>
              <w:tc>
                <w:tcPr>
                  <w:tcW w:w="535" w:type="pct"/>
                  <w:vAlign w:val="center"/>
                </w:tcPr>
                <w:p w14:paraId="39E0CF89">
                  <w:pPr>
                    <w:adjustRightInd w:val="0"/>
                    <w:snapToGrid w:val="0"/>
                    <w:jc w:val="center"/>
                    <w:rPr>
                      <w:sz w:val="18"/>
                      <w:szCs w:val="18"/>
                    </w:rPr>
                  </w:pPr>
                  <w:r>
                    <w:rPr>
                      <w:kern w:val="0"/>
                      <w:sz w:val="18"/>
                      <w:szCs w:val="18"/>
                    </w:rPr>
                    <w:t>COD</w:t>
                  </w:r>
                </w:p>
              </w:tc>
              <w:tc>
                <w:tcPr>
                  <w:tcW w:w="603" w:type="pct"/>
                  <w:vAlign w:val="center"/>
                </w:tcPr>
                <w:p w14:paraId="0086A074">
                  <w:pPr>
                    <w:adjustRightInd w:val="0"/>
                    <w:snapToGrid w:val="0"/>
                    <w:jc w:val="center"/>
                    <w:rPr>
                      <w:sz w:val="18"/>
                      <w:szCs w:val="18"/>
                    </w:rPr>
                  </w:pPr>
                  <w:r>
                    <w:rPr>
                      <w:rFonts w:hint="eastAsia"/>
                      <w:sz w:val="18"/>
                      <w:szCs w:val="18"/>
                    </w:rPr>
                    <w:t>500</w:t>
                  </w:r>
                </w:p>
              </w:tc>
            </w:tr>
            <w:tr w14:paraId="031D11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56" w:hRule="atLeast"/>
                <w:jc w:val="center"/>
              </w:trPr>
              <w:tc>
                <w:tcPr>
                  <w:tcW w:w="235" w:type="pct"/>
                  <w:vMerge w:val="continue"/>
                  <w:vAlign w:val="center"/>
                </w:tcPr>
                <w:p w14:paraId="170FC216">
                  <w:pPr>
                    <w:adjustRightInd w:val="0"/>
                    <w:snapToGrid w:val="0"/>
                    <w:rPr>
                      <w:sz w:val="18"/>
                      <w:szCs w:val="18"/>
                    </w:rPr>
                  </w:pPr>
                </w:p>
              </w:tc>
              <w:tc>
                <w:tcPr>
                  <w:tcW w:w="398" w:type="pct"/>
                  <w:vMerge w:val="continue"/>
                  <w:vAlign w:val="center"/>
                </w:tcPr>
                <w:p w14:paraId="52958E26">
                  <w:pPr>
                    <w:adjustRightInd w:val="0"/>
                    <w:snapToGrid w:val="0"/>
                    <w:rPr>
                      <w:sz w:val="18"/>
                      <w:szCs w:val="18"/>
                    </w:rPr>
                  </w:pPr>
                </w:p>
              </w:tc>
              <w:tc>
                <w:tcPr>
                  <w:tcW w:w="515" w:type="pct"/>
                  <w:vMerge w:val="continue"/>
                  <w:vAlign w:val="center"/>
                </w:tcPr>
                <w:p w14:paraId="4E7B1E92">
                  <w:pPr>
                    <w:adjustRightInd w:val="0"/>
                    <w:snapToGrid w:val="0"/>
                    <w:rPr>
                      <w:sz w:val="18"/>
                      <w:szCs w:val="18"/>
                    </w:rPr>
                  </w:pPr>
                </w:p>
              </w:tc>
              <w:tc>
                <w:tcPr>
                  <w:tcW w:w="481" w:type="pct"/>
                  <w:vMerge w:val="continue"/>
                  <w:vAlign w:val="center"/>
                </w:tcPr>
                <w:p w14:paraId="6450ADEA">
                  <w:pPr>
                    <w:adjustRightInd w:val="0"/>
                    <w:snapToGrid w:val="0"/>
                    <w:rPr>
                      <w:sz w:val="18"/>
                      <w:szCs w:val="18"/>
                    </w:rPr>
                  </w:pPr>
                </w:p>
              </w:tc>
              <w:tc>
                <w:tcPr>
                  <w:tcW w:w="519" w:type="pct"/>
                  <w:vMerge w:val="continue"/>
                  <w:vAlign w:val="center"/>
                </w:tcPr>
                <w:p w14:paraId="062CD2E9">
                  <w:pPr>
                    <w:adjustRightInd w:val="0"/>
                    <w:snapToGrid w:val="0"/>
                    <w:rPr>
                      <w:sz w:val="18"/>
                      <w:szCs w:val="18"/>
                    </w:rPr>
                  </w:pPr>
                </w:p>
              </w:tc>
              <w:tc>
                <w:tcPr>
                  <w:tcW w:w="412" w:type="pct"/>
                  <w:vMerge w:val="continue"/>
                  <w:vAlign w:val="center"/>
                </w:tcPr>
                <w:p w14:paraId="00A3F383">
                  <w:pPr>
                    <w:adjustRightInd w:val="0"/>
                    <w:snapToGrid w:val="0"/>
                    <w:rPr>
                      <w:sz w:val="18"/>
                      <w:szCs w:val="18"/>
                    </w:rPr>
                  </w:pPr>
                </w:p>
              </w:tc>
              <w:tc>
                <w:tcPr>
                  <w:tcW w:w="469" w:type="pct"/>
                  <w:vMerge w:val="continue"/>
                  <w:vAlign w:val="center"/>
                </w:tcPr>
                <w:p w14:paraId="2CC1AB47">
                  <w:pPr>
                    <w:adjustRightInd w:val="0"/>
                    <w:snapToGrid w:val="0"/>
                    <w:rPr>
                      <w:sz w:val="18"/>
                      <w:szCs w:val="18"/>
                    </w:rPr>
                  </w:pPr>
                </w:p>
              </w:tc>
              <w:tc>
                <w:tcPr>
                  <w:tcW w:w="381" w:type="pct"/>
                  <w:vMerge w:val="continue"/>
                  <w:vAlign w:val="center"/>
                </w:tcPr>
                <w:p w14:paraId="1CD48F99">
                  <w:pPr>
                    <w:adjustRightInd w:val="0"/>
                    <w:snapToGrid w:val="0"/>
                    <w:rPr>
                      <w:sz w:val="18"/>
                      <w:szCs w:val="18"/>
                    </w:rPr>
                  </w:pPr>
                </w:p>
              </w:tc>
              <w:tc>
                <w:tcPr>
                  <w:tcW w:w="445" w:type="pct"/>
                  <w:vMerge w:val="continue"/>
                  <w:vAlign w:val="center"/>
                </w:tcPr>
                <w:p w14:paraId="2195A688">
                  <w:pPr>
                    <w:adjustRightInd w:val="0"/>
                    <w:snapToGrid w:val="0"/>
                    <w:rPr>
                      <w:sz w:val="18"/>
                      <w:szCs w:val="18"/>
                    </w:rPr>
                  </w:pPr>
                </w:p>
              </w:tc>
              <w:tc>
                <w:tcPr>
                  <w:tcW w:w="535" w:type="pct"/>
                  <w:vAlign w:val="center"/>
                </w:tcPr>
                <w:p w14:paraId="0522653F">
                  <w:pPr>
                    <w:adjustRightInd w:val="0"/>
                    <w:snapToGrid w:val="0"/>
                    <w:jc w:val="center"/>
                    <w:rPr>
                      <w:sz w:val="18"/>
                      <w:szCs w:val="18"/>
                    </w:rPr>
                  </w:pPr>
                  <w:r>
                    <w:rPr>
                      <w:kern w:val="0"/>
                      <w:sz w:val="18"/>
                      <w:szCs w:val="18"/>
                    </w:rPr>
                    <w:t>SS</w:t>
                  </w:r>
                </w:p>
              </w:tc>
              <w:tc>
                <w:tcPr>
                  <w:tcW w:w="603" w:type="pct"/>
                  <w:vAlign w:val="center"/>
                </w:tcPr>
                <w:p w14:paraId="1392D5B4">
                  <w:pPr>
                    <w:adjustRightInd w:val="0"/>
                    <w:snapToGrid w:val="0"/>
                    <w:jc w:val="center"/>
                    <w:rPr>
                      <w:sz w:val="18"/>
                      <w:szCs w:val="18"/>
                    </w:rPr>
                  </w:pPr>
                  <w:r>
                    <w:rPr>
                      <w:rFonts w:hint="eastAsia"/>
                      <w:sz w:val="18"/>
                      <w:szCs w:val="18"/>
                    </w:rPr>
                    <w:t>400</w:t>
                  </w:r>
                </w:p>
              </w:tc>
            </w:tr>
            <w:tr w14:paraId="64F3A2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35" w:type="pct"/>
                  <w:vMerge w:val="continue"/>
                  <w:vAlign w:val="center"/>
                </w:tcPr>
                <w:p w14:paraId="0D439868">
                  <w:pPr>
                    <w:adjustRightInd w:val="0"/>
                    <w:snapToGrid w:val="0"/>
                    <w:rPr>
                      <w:sz w:val="18"/>
                      <w:szCs w:val="18"/>
                    </w:rPr>
                  </w:pPr>
                </w:p>
              </w:tc>
              <w:tc>
                <w:tcPr>
                  <w:tcW w:w="398" w:type="pct"/>
                  <w:vMerge w:val="continue"/>
                  <w:vAlign w:val="center"/>
                </w:tcPr>
                <w:p w14:paraId="753A7754">
                  <w:pPr>
                    <w:adjustRightInd w:val="0"/>
                    <w:snapToGrid w:val="0"/>
                    <w:rPr>
                      <w:sz w:val="18"/>
                      <w:szCs w:val="18"/>
                    </w:rPr>
                  </w:pPr>
                </w:p>
              </w:tc>
              <w:tc>
                <w:tcPr>
                  <w:tcW w:w="515" w:type="pct"/>
                  <w:vMerge w:val="continue"/>
                  <w:vAlign w:val="center"/>
                </w:tcPr>
                <w:p w14:paraId="5F00CAC7">
                  <w:pPr>
                    <w:adjustRightInd w:val="0"/>
                    <w:snapToGrid w:val="0"/>
                    <w:rPr>
                      <w:sz w:val="18"/>
                      <w:szCs w:val="18"/>
                    </w:rPr>
                  </w:pPr>
                </w:p>
              </w:tc>
              <w:tc>
                <w:tcPr>
                  <w:tcW w:w="481" w:type="pct"/>
                  <w:vMerge w:val="continue"/>
                  <w:vAlign w:val="center"/>
                </w:tcPr>
                <w:p w14:paraId="3C701194">
                  <w:pPr>
                    <w:adjustRightInd w:val="0"/>
                    <w:snapToGrid w:val="0"/>
                    <w:rPr>
                      <w:sz w:val="18"/>
                      <w:szCs w:val="18"/>
                    </w:rPr>
                  </w:pPr>
                </w:p>
              </w:tc>
              <w:tc>
                <w:tcPr>
                  <w:tcW w:w="519" w:type="pct"/>
                  <w:vMerge w:val="continue"/>
                  <w:vAlign w:val="center"/>
                </w:tcPr>
                <w:p w14:paraId="325F3A13">
                  <w:pPr>
                    <w:adjustRightInd w:val="0"/>
                    <w:snapToGrid w:val="0"/>
                    <w:rPr>
                      <w:sz w:val="18"/>
                      <w:szCs w:val="18"/>
                    </w:rPr>
                  </w:pPr>
                </w:p>
              </w:tc>
              <w:tc>
                <w:tcPr>
                  <w:tcW w:w="412" w:type="pct"/>
                  <w:vMerge w:val="continue"/>
                  <w:vAlign w:val="center"/>
                </w:tcPr>
                <w:p w14:paraId="0A43C68B">
                  <w:pPr>
                    <w:adjustRightInd w:val="0"/>
                    <w:snapToGrid w:val="0"/>
                    <w:rPr>
                      <w:sz w:val="18"/>
                      <w:szCs w:val="18"/>
                    </w:rPr>
                  </w:pPr>
                </w:p>
              </w:tc>
              <w:tc>
                <w:tcPr>
                  <w:tcW w:w="469" w:type="pct"/>
                  <w:vMerge w:val="continue"/>
                  <w:vAlign w:val="center"/>
                </w:tcPr>
                <w:p w14:paraId="65247B97">
                  <w:pPr>
                    <w:adjustRightInd w:val="0"/>
                    <w:snapToGrid w:val="0"/>
                    <w:rPr>
                      <w:sz w:val="18"/>
                      <w:szCs w:val="18"/>
                    </w:rPr>
                  </w:pPr>
                </w:p>
              </w:tc>
              <w:tc>
                <w:tcPr>
                  <w:tcW w:w="381" w:type="pct"/>
                  <w:vMerge w:val="continue"/>
                  <w:vAlign w:val="center"/>
                </w:tcPr>
                <w:p w14:paraId="43A6396E">
                  <w:pPr>
                    <w:adjustRightInd w:val="0"/>
                    <w:snapToGrid w:val="0"/>
                    <w:rPr>
                      <w:sz w:val="18"/>
                      <w:szCs w:val="18"/>
                    </w:rPr>
                  </w:pPr>
                </w:p>
              </w:tc>
              <w:tc>
                <w:tcPr>
                  <w:tcW w:w="445" w:type="pct"/>
                  <w:vMerge w:val="continue"/>
                  <w:vAlign w:val="center"/>
                </w:tcPr>
                <w:p w14:paraId="5AF6082D">
                  <w:pPr>
                    <w:adjustRightInd w:val="0"/>
                    <w:snapToGrid w:val="0"/>
                    <w:rPr>
                      <w:sz w:val="18"/>
                      <w:szCs w:val="18"/>
                    </w:rPr>
                  </w:pPr>
                </w:p>
              </w:tc>
              <w:tc>
                <w:tcPr>
                  <w:tcW w:w="535" w:type="pct"/>
                  <w:vAlign w:val="center"/>
                </w:tcPr>
                <w:p w14:paraId="2BA490AC">
                  <w:pPr>
                    <w:adjustRightInd w:val="0"/>
                    <w:snapToGrid w:val="0"/>
                    <w:jc w:val="center"/>
                    <w:rPr>
                      <w:sz w:val="18"/>
                      <w:szCs w:val="18"/>
                    </w:rPr>
                  </w:pPr>
                  <w:r>
                    <w:rPr>
                      <w:kern w:val="0"/>
                      <w:sz w:val="18"/>
                      <w:szCs w:val="18"/>
                    </w:rPr>
                    <w:t>NH</w:t>
                  </w:r>
                  <w:r>
                    <w:rPr>
                      <w:kern w:val="0"/>
                      <w:sz w:val="18"/>
                      <w:szCs w:val="18"/>
                      <w:vertAlign w:val="subscript"/>
                    </w:rPr>
                    <w:t>3</w:t>
                  </w:r>
                  <w:r>
                    <w:rPr>
                      <w:kern w:val="0"/>
                      <w:sz w:val="18"/>
                      <w:szCs w:val="18"/>
                    </w:rPr>
                    <w:t>-N</w:t>
                  </w:r>
                </w:p>
              </w:tc>
              <w:tc>
                <w:tcPr>
                  <w:tcW w:w="603" w:type="pct"/>
                  <w:vAlign w:val="center"/>
                </w:tcPr>
                <w:p w14:paraId="634EE6A8">
                  <w:pPr>
                    <w:adjustRightInd w:val="0"/>
                    <w:snapToGrid w:val="0"/>
                    <w:jc w:val="center"/>
                    <w:rPr>
                      <w:sz w:val="18"/>
                      <w:szCs w:val="18"/>
                    </w:rPr>
                  </w:pPr>
                  <w:r>
                    <w:rPr>
                      <w:sz w:val="18"/>
                      <w:szCs w:val="18"/>
                    </w:rPr>
                    <w:t>45</w:t>
                  </w:r>
                </w:p>
              </w:tc>
            </w:tr>
            <w:tr w14:paraId="6C1EB7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41" w:hRule="atLeast"/>
                <w:jc w:val="center"/>
              </w:trPr>
              <w:tc>
                <w:tcPr>
                  <w:tcW w:w="235" w:type="pct"/>
                  <w:vMerge w:val="continue"/>
                  <w:vAlign w:val="center"/>
                </w:tcPr>
                <w:p w14:paraId="71AE2925">
                  <w:pPr>
                    <w:adjustRightInd w:val="0"/>
                    <w:snapToGrid w:val="0"/>
                    <w:rPr>
                      <w:sz w:val="18"/>
                      <w:szCs w:val="18"/>
                    </w:rPr>
                  </w:pPr>
                </w:p>
              </w:tc>
              <w:tc>
                <w:tcPr>
                  <w:tcW w:w="398" w:type="pct"/>
                  <w:vMerge w:val="continue"/>
                  <w:vAlign w:val="center"/>
                </w:tcPr>
                <w:p w14:paraId="416D5B11">
                  <w:pPr>
                    <w:adjustRightInd w:val="0"/>
                    <w:snapToGrid w:val="0"/>
                    <w:rPr>
                      <w:sz w:val="18"/>
                      <w:szCs w:val="18"/>
                    </w:rPr>
                  </w:pPr>
                </w:p>
              </w:tc>
              <w:tc>
                <w:tcPr>
                  <w:tcW w:w="515" w:type="pct"/>
                  <w:vMerge w:val="continue"/>
                  <w:vAlign w:val="center"/>
                </w:tcPr>
                <w:p w14:paraId="1B4B60F0">
                  <w:pPr>
                    <w:adjustRightInd w:val="0"/>
                    <w:snapToGrid w:val="0"/>
                    <w:rPr>
                      <w:sz w:val="18"/>
                      <w:szCs w:val="18"/>
                    </w:rPr>
                  </w:pPr>
                </w:p>
              </w:tc>
              <w:tc>
                <w:tcPr>
                  <w:tcW w:w="481" w:type="pct"/>
                  <w:vMerge w:val="continue"/>
                  <w:vAlign w:val="center"/>
                </w:tcPr>
                <w:p w14:paraId="35D28EC9">
                  <w:pPr>
                    <w:adjustRightInd w:val="0"/>
                    <w:snapToGrid w:val="0"/>
                    <w:rPr>
                      <w:sz w:val="18"/>
                      <w:szCs w:val="18"/>
                    </w:rPr>
                  </w:pPr>
                </w:p>
              </w:tc>
              <w:tc>
                <w:tcPr>
                  <w:tcW w:w="519" w:type="pct"/>
                  <w:vMerge w:val="continue"/>
                  <w:vAlign w:val="center"/>
                </w:tcPr>
                <w:p w14:paraId="69BC8651">
                  <w:pPr>
                    <w:adjustRightInd w:val="0"/>
                    <w:snapToGrid w:val="0"/>
                    <w:rPr>
                      <w:sz w:val="18"/>
                      <w:szCs w:val="18"/>
                    </w:rPr>
                  </w:pPr>
                </w:p>
              </w:tc>
              <w:tc>
                <w:tcPr>
                  <w:tcW w:w="412" w:type="pct"/>
                  <w:vMerge w:val="continue"/>
                  <w:vAlign w:val="center"/>
                </w:tcPr>
                <w:p w14:paraId="0079AE57">
                  <w:pPr>
                    <w:adjustRightInd w:val="0"/>
                    <w:snapToGrid w:val="0"/>
                    <w:rPr>
                      <w:sz w:val="18"/>
                      <w:szCs w:val="18"/>
                    </w:rPr>
                  </w:pPr>
                </w:p>
              </w:tc>
              <w:tc>
                <w:tcPr>
                  <w:tcW w:w="469" w:type="pct"/>
                  <w:vMerge w:val="continue"/>
                  <w:vAlign w:val="center"/>
                </w:tcPr>
                <w:p w14:paraId="5721FC12">
                  <w:pPr>
                    <w:adjustRightInd w:val="0"/>
                    <w:snapToGrid w:val="0"/>
                    <w:rPr>
                      <w:sz w:val="18"/>
                      <w:szCs w:val="18"/>
                    </w:rPr>
                  </w:pPr>
                </w:p>
              </w:tc>
              <w:tc>
                <w:tcPr>
                  <w:tcW w:w="381" w:type="pct"/>
                  <w:vMerge w:val="continue"/>
                  <w:vAlign w:val="center"/>
                </w:tcPr>
                <w:p w14:paraId="4DD02EC8">
                  <w:pPr>
                    <w:adjustRightInd w:val="0"/>
                    <w:snapToGrid w:val="0"/>
                    <w:rPr>
                      <w:sz w:val="18"/>
                      <w:szCs w:val="18"/>
                    </w:rPr>
                  </w:pPr>
                </w:p>
              </w:tc>
              <w:tc>
                <w:tcPr>
                  <w:tcW w:w="445" w:type="pct"/>
                  <w:vMerge w:val="continue"/>
                  <w:vAlign w:val="center"/>
                </w:tcPr>
                <w:p w14:paraId="469F97B5">
                  <w:pPr>
                    <w:adjustRightInd w:val="0"/>
                    <w:snapToGrid w:val="0"/>
                    <w:rPr>
                      <w:sz w:val="18"/>
                      <w:szCs w:val="18"/>
                    </w:rPr>
                  </w:pPr>
                </w:p>
              </w:tc>
              <w:tc>
                <w:tcPr>
                  <w:tcW w:w="535" w:type="pct"/>
                  <w:vAlign w:val="center"/>
                </w:tcPr>
                <w:p w14:paraId="738BC78D">
                  <w:pPr>
                    <w:adjustRightInd w:val="0"/>
                    <w:snapToGrid w:val="0"/>
                    <w:jc w:val="center"/>
                    <w:rPr>
                      <w:sz w:val="18"/>
                      <w:szCs w:val="18"/>
                      <w:lang w:bidi="ar"/>
                    </w:rPr>
                  </w:pPr>
                  <w:r>
                    <w:rPr>
                      <w:kern w:val="0"/>
                      <w:sz w:val="18"/>
                      <w:szCs w:val="18"/>
                    </w:rPr>
                    <w:t>TP</w:t>
                  </w:r>
                </w:p>
              </w:tc>
              <w:tc>
                <w:tcPr>
                  <w:tcW w:w="603" w:type="pct"/>
                  <w:vAlign w:val="center"/>
                </w:tcPr>
                <w:p w14:paraId="54737364">
                  <w:pPr>
                    <w:adjustRightInd w:val="0"/>
                    <w:snapToGrid w:val="0"/>
                    <w:jc w:val="center"/>
                    <w:rPr>
                      <w:sz w:val="18"/>
                      <w:szCs w:val="18"/>
                      <w:lang w:bidi="ar"/>
                    </w:rPr>
                  </w:pPr>
                  <w:r>
                    <w:rPr>
                      <w:sz w:val="18"/>
                      <w:szCs w:val="18"/>
                      <w:lang w:bidi="ar"/>
                    </w:rPr>
                    <w:t>5</w:t>
                  </w:r>
                </w:p>
              </w:tc>
            </w:tr>
            <w:tr w14:paraId="7DCD49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35" w:type="pct"/>
                  <w:vMerge w:val="continue"/>
                  <w:vAlign w:val="center"/>
                </w:tcPr>
                <w:p w14:paraId="71689F49">
                  <w:pPr>
                    <w:adjustRightInd w:val="0"/>
                    <w:snapToGrid w:val="0"/>
                    <w:rPr>
                      <w:sz w:val="18"/>
                      <w:szCs w:val="18"/>
                    </w:rPr>
                  </w:pPr>
                </w:p>
              </w:tc>
              <w:tc>
                <w:tcPr>
                  <w:tcW w:w="398" w:type="pct"/>
                  <w:vMerge w:val="continue"/>
                  <w:vAlign w:val="center"/>
                </w:tcPr>
                <w:p w14:paraId="55B3A4BC">
                  <w:pPr>
                    <w:adjustRightInd w:val="0"/>
                    <w:snapToGrid w:val="0"/>
                    <w:rPr>
                      <w:sz w:val="18"/>
                      <w:szCs w:val="18"/>
                    </w:rPr>
                  </w:pPr>
                </w:p>
              </w:tc>
              <w:tc>
                <w:tcPr>
                  <w:tcW w:w="515" w:type="pct"/>
                  <w:vMerge w:val="continue"/>
                  <w:vAlign w:val="center"/>
                </w:tcPr>
                <w:p w14:paraId="67C3ABD1">
                  <w:pPr>
                    <w:adjustRightInd w:val="0"/>
                    <w:snapToGrid w:val="0"/>
                    <w:rPr>
                      <w:sz w:val="18"/>
                      <w:szCs w:val="18"/>
                    </w:rPr>
                  </w:pPr>
                </w:p>
              </w:tc>
              <w:tc>
                <w:tcPr>
                  <w:tcW w:w="481" w:type="pct"/>
                  <w:vMerge w:val="continue"/>
                  <w:vAlign w:val="center"/>
                </w:tcPr>
                <w:p w14:paraId="58A363DD">
                  <w:pPr>
                    <w:adjustRightInd w:val="0"/>
                    <w:snapToGrid w:val="0"/>
                    <w:rPr>
                      <w:sz w:val="18"/>
                      <w:szCs w:val="18"/>
                    </w:rPr>
                  </w:pPr>
                </w:p>
              </w:tc>
              <w:tc>
                <w:tcPr>
                  <w:tcW w:w="519" w:type="pct"/>
                  <w:vMerge w:val="continue"/>
                  <w:vAlign w:val="center"/>
                </w:tcPr>
                <w:p w14:paraId="0F3B078E">
                  <w:pPr>
                    <w:adjustRightInd w:val="0"/>
                    <w:snapToGrid w:val="0"/>
                    <w:rPr>
                      <w:sz w:val="18"/>
                      <w:szCs w:val="18"/>
                    </w:rPr>
                  </w:pPr>
                </w:p>
              </w:tc>
              <w:tc>
                <w:tcPr>
                  <w:tcW w:w="412" w:type="pct"/>
                  <w:vMerge w:val="continue"/>
                  <w:vAlign w:val="center"/>
                </w:tcPr>
                <w:p w14:paraId="669D8622">
                  <w:pPr>
                    <w:adjustRightInd w:val="0"/>
                    <w:snapToGrid w:val="0"/>
                    <w:rPr>
                      <w:sz w:val="18"/>
                      <w:szCs w:val="18"/>
                    </w:rPr>
                  </w:pPr>
                </w:p>
              </w:tc>
              <w:tc>
                <w:tcPr>
                  <w:tcW w:w="469" w:type="pct"/>
                  <w:vMerge w:val="continue"/>
                  <w:vAlign w:val="center"/>
                </w:tcPr>
                <w:p w14:paraId="442FC55B">
                  <w:pPr>
                    <w:adjustRightInd w:val="0"/>
                    <w:snapToGrid w:val="0"/>
                    <w:rPr>
                      <w:sz w:val="18"/>
                      <w:szCs w:val="18"/>
                    </w:rPr>
                  </w:pPr>
                </w:p>
              </w:tc>
              <w:tc>
                <w:tcPr>
                  <w:tcW w:w="381" w:type="pct"/>
                  <w:vMerge w:val="continue"/>
                  <w:vAlign w:val="center"/>
                </w:tcPr>
                <w:p w14:paraId="77B30953">
                  <w:pPr>
                    <w:adjustRightInd w:val="0"/>
                    <w:snapToGrid w:val="0"/>
                    <w:rPr>
                      <w:sz w:val="18"/>
                      <w:szCs w:val="18"/>
                    </w:rPr>
                  </w:pPr>
                </w:p>
              </w:tc>
              <w:tc>
                <w:tcPr>
                  <w:tcW w:w="445" w:type="pct"/>
                  <w:vMerge w:val="continue"/>
                  <w:vAlign w:val="center"/>
                </w:tcPr>
                <w:p w14:paraId="2A79AA1E">
                  <w:pPr>
                    <w:adjustRightInd w:val="0"/>
                    <w:snapToGrid w:val="0"/>
                    <w:rPr>
                      <w:sz w:val="18"/>
                      <w:szCs w:val="18"/>
                    </w:rPr>
                  </w:pPr>
                </w:p>
              </w:tc>
              <w:tc>
                <w:tcPr>
                  <w:tcW w:w="535" w:type="pct"/>
                  <w:vAlign w:val="center"/>
                </w:tcPr>
                <w:p w14:paraId="18800935">
                  <w:pPr>
                    <w:adjustRightInd w:val="0"/>
                    <w:snapToGrid w:val="0"/>
                    <w:jc w:val="center"/>
                    <w:rPr>
                      <w:sz w:val="18"/>
                      <w:szCs w:val="18"/>
                    </w:rPr>
                  </w:pPr>
                  <w:r>
                    <w:rPr>
                      <w:kern w:val="0"/>
                      <w:sz w:val="18"/>
                      <w:szCs w:val="18"/>
                    </w:rPr>
                    <w:t>TN</w:t>
                  </w:r>
                </w:p>
              </w:tc>
              <w:tc>
                <w:tcPr>
                  <w:tcW w:w="603" w:type="pct"/>
                  <w:vAlign w:val="center"/>
                </w:tcPr>
                <w:p w14:paraId="02EDF499">
                  <w:pPr>
                    <w:adjustRightInd w:val="0"/>
                    <w:snapToGrid w:val="0"/>
                    <w:jc w:val="center"/>
                    <w:rPr>
                      <w:sz w:val="18"/>
                      <w:szCs w:val="18"/>
                    </w:rPr>
                  </w:pPr>
                  <w:r>
                    <w:rPr>
                      <w:rFonts w:hint="eastAsia"/>
                      <w:sz w:val="18"/>
                      <w:szCs w:val="18"/>
                    </w:rPr>
                    <w:t>70</w:t>
                  </w:r>
                </w:p>
              </w:tc>
            </w:tr>
          </w:tbl>
          <w:p w14:paraId="479719D9">
            <w:pPr>
              <w:widowControl/>
              <w:shd w:val="clear" w:color="auto" w:fill="FFFFFF"/>
              <w:spacing w:line="360" w:lineRule="auto"/>
              <w:ind w:firstLine="454" w:firstLineChars="200"/>
              <w:rPr>
                <w:b/>
                <w:bCs/>
                <w:spacing w:val="8"/>
                <w:kern w:val="0"/>
                <w:szCs w:val="21"/>
              </w:rPr>
            </w:pPr>
            <w:r>
              <w:rPr>
                <w:b/>
                <w:bCs/>
                <w:spacing w:val="8"/>
                <w:kern w:val="0"/>
                <w:szCs w:val="21"/>
              </w:rPr>
              <w:t>（</w:t>
            </w:r>
            <w:r>
              <w:rPr>
                <w:rFonts w:hint="eastAsia"/>
                <w:b/>
                <w:bCs/>
                <w:spacing w:val="8"/>
                <w:kern w:val="0"/>
                <w:szCs w:val="21"/>
                <w:lang w:val="en-US" w:eastAsia="zh-CN"/>
              </w:rPr>
              <w:t>5</w:t>
            </w:r>
            <w:r>
              <w:rPr>
                <w:b/>
                <w:bCs/>
                <w:spacing w:val="8"/>
                <w:kern w:val="0"/>
                <w:szCs w:val="21"/>
              </w:rPr>
              <w:t>）水污染源监测计划</w:t>
            </w:r>
          </w:p>
          <w:p w14:paraId="0AC768BC">
            <w:pPr>
              <w:widowControl/>
              <w:shd w:val="clear" w:color="auto" w:fill="FFFFFF"/>
              <w:spacing w:line="360" w:lineRule="auto"/>
              <w:ind w:firstLine="452" w:firstLineChars="200"/>
              <w:rPr>
                <w:spacing w:val="8"/>
                <w:kern w:val="0"/>
                <w:szCs w:val="21"/>
              </w:rPr>
            </w:pPr>
            <w:r>
              <w:rPr>
                <w:rFonts w:hint="eastAsia"/>
                <w:spacing w:val="8"/>
                <w:kern w:val="0"/>
                <w:szCs w:val="21"/>
              </w:rPr>
              <w:t>根据《排污单位自行监测技术指南 总则》（HJ819-2017）的要求，本项目投产后的日常监测计划见表：</w:t>
            </w:r>
          </w:p>
          <w:p w14:paraId="518A32E6">
            <w:pPr>
              <w:adjustRightInd w:val="0"/>
              <w:snapToGrid w:val="0"/>
              <w:jc w:val="center"/>
              <w:rPr>
                <w:b/>
                <w:bCs/>
                <w:kern w:val="0"/>
                <w:szCs w:val="21"/>
              </w:rPr>
            </w:pPr>
            <w:r>
              <w:rPr>
                <w:b/>
                <w:bCs/>
                <w:kern w:val="0"/>
                <w:szCs w:val="21"/>
              </w:rPr>
              <w:t>表4-</w:t>
            </w:r>
            <w:r>
              <w:rPr>
                <w:rFonts w:hint="eastAsia"/>
                <w:b/>
                <w:bCs/>
                <w:kern w:val="0"/>
                <w:szCs w:val="21"/>
              </w:rPr>
              <w:t>1</w:t>
            </w:r>
            <w:r>
              <w:rPr>
                <w:rFonts w:hint="eastAsia"/>
                <w:b/>
                <w:bCs/>
                <w:kern w:val="0"/>
                <w:szCs w:val="21"/>
                <w:lang w:val="en-US" w:eastAsia="zh-CN"/>
              </w:rPr>
              <w:t xml:space="preserve">8 </w:t>
            </w:r>
            <w:r>
              <w:rPr>
                <w:rFonts w:hint="eastAsia"/>
                <w:b/>
                <w:bCs/>
                <w:kern w:val="0"/>
                <w:szCs w:val="21"/>
              </w:rPr>
              <w:t>水</w:t>
            </w:r>
            <w:r>
              <w:rPr>
                <w:b/>
                <w:bCs/>
                <w:kern w:val="0"/>
                <w:szCs w:val="21"/>
              </w:rPr>
              <w:t>污染源监测计划</w:t>
            </w:r>
          </w:p>
          <w:tbl>
            <w:tblPr>
              <w:tblStyle w:val="23"/>
              <w:tblW w:w="492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188"/>
              <w:gridCol w:w="1956"/>
              <w:gridCol w:w="1141"/>
              <w:gridCol w:w="3741"/>
            </w:tblGrid>
            <w:tr w14:paraId="63E4AE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83" w:type="pct"/>
                  <w:tcBorders>
                    <w:tl2br w:val="nil"/>
                    <w:tr2bl w:val="nil"/>
                  </w:tcBorders>
                  <w:vAlign w:val="center"/>
                </w:tcPr>
                <w:p w14:paraId="3DCF7D7E">
                  <w:pPr>
                    <w:pStyle w:val="109"/>
                    <w:adjustRightInd w:val="0"/>
                    <w:snapToGrid w:val="0"/>
                    <w:ind w:firstLine="0" w:firstLineChars="0"/>
                    <w:jc w:val="center"/>
                    <w:rPr>
                      <w:rFonts w:eastAsia="宋体" w:cs="Times New Roman"/>
                      <w:b/>
                      <w:bCs/>
                      <w:sz w:val="18"/>
                      <w:szCs w:val="18"/>
                    </w:rPr>
                  </w:pPr>
                  <w:r>
                    <w:rPr>
                      <w:rFonts w:eastAsia="宋体" w:cs="Times New Roman"/>
                      <w:b/>
                      <w:bCs/>
                      <w:sz w:val="18"/>
                      <w:szCs w:val="18"/>
                    </w:rPr>
                    <w:t>类别</w:t>
                  </w:r>
                </w:p>
              </w:tc>
              <w:tc>
                <w:tcPr>
                  <w:tcW w:w="683" w:type="pct"/>
                  <w:tcBorders>
                    <w:tl2br w:val="nil"/>
                    <w:tr2bl w:val="nil"/>
                  </w:tcBorders>
                  <w:vAlign w:val="center"/>
                </w:tcPr>
                <w:p w14:paraId="5C0E1FBE">
                  <w:pPr>
                    <w:pStyle w:val="109"/>
                    <w:adjustRightInd w:val="0"/>
                    <w:snapToGrid w:val="0"/>
                    <w:ind w:firstLine="0" w:firstLineChars="0"/>
                    <w:jc w:val="center"/>
                    <w:rPr>
                      <w:rFonts w:eastAsia="宋体" w:cs="Times New Roman"/>
                      <w:b/>
                      <w:bCs/>
                      <w:sz w:val="18"/>
                      <w:szCs w:val="18"/>
                    </w:rPr>
                  </w:pPr>
                  <w:r>
                    <w:rPr>
                      <w:rFonts w:eastAsia="宋体" w:cs="Times New Roman"/>
                      <w:b/>
                      <w:bCs/>
                      <w:sz w:val="18"/>
                      <w:szCs w:val="18"/>
                    </w:rPr>
                    <w:t>监测位置</w:t>
                  </w:r>
                </w:p>
              </w:tc>
              <w:tc>
                <w:tcPr>
                  <w:tcW w:w="1125" w:type="pct"/>
                  <w:tcBorders>
                    <w:tl2br w:val="nil"/>
                    <w:tr2bl w:val="nil"/>
                  </w:tcBorders>
                  <w:vAlign w:val="center"/>
                </w:tcPr>
                <w:p w14:paraId="24E4951D">
                  <w:pPr>
                    <w:pStyle w:val="109"/>
                    <w:adjustRightInd w:val="0"/>
                    <w:snapToGrid w:val="0"/>
                    <w:ind w:firstLine="0" w:firstLineChars="0"/>
                    <w:jc w:val="center"/>
                    <w:rPr>
                      <w:rFonts w:eastAsia="宋体" w:cs="Times New Roman"/>
                      <w:b/>
                      <w:bCs/>
                      <w:sz w:val="18"/>
                      <w:szCs w:val="18"/>
                    </w:rPr>
                  </w:pPr>
                  <w:r>
                    <w:rPr>
                      <w:rFonts w:eastAsia="宋体" w:cs="Times New Roman"/>
                      <w:b/>
                      <w:bCs/>
                      <w:sz w:val="18"/>
                      <w:szCs w:val="18"/>
                    </w:rPr>
                    <w:t>监测项目</w:t>
                  </w:r>
                </w:p>
              </w:tc>
              <w:tc>
                <w:tcPr>
                  <w:tcW w:w="656" w:type="pct"/>
                  <w:tcBorders>
                    <w:tl2br w:val="nil"/>
                    <w:tr2bl w:val="nil"/>
                  </w:tcBorders>
                  <w:vAlign w:val="center"/>
                </w:tcPr>
                <w:p w14:paraId="7039523F">
                  <w:pPr>
                    <w:pStyle w:val="109"/>
                    <w:adjustRightInd w:val="0"/>
                    <w:snapToGrid w:val="0"/>
                    <w:ind w:firstLine="0" w:firstLineChars="0"/>
                    <w:jc w:val="center"/>
                    <w:rPr>
                      <w:rFonts w:eastAsia="宋体" w:cs="Times New Roman"/>
                      <w:b/>
                      <w:bCs/>
                      <w:sz w:val="18"/>
                      <w:szCs w:val="18"/>
                    </w:rPr>
                  </w:pPr>
                  <w:r>
                    <w:rPr>
                      <w:rFonts w:eastAsia="宋体" w:cs="Times New Roman"/>
                      <w:b/>
                      <w:bCs/>
                      <w:sz w:val="18"/>
                      <w:szCs w:val="18"/>
                    </w:rPr>
                    <w:t>监测频次</w:t>
                  </w:r>
                </w:p>
              </w:tc>
              <w:tc>
                <w:tcPr>
                  <w:tcW w:w="2151" w:type="pct"/>
                  <w:tcBorders>
                    <w:tl2br w:val="nil"/>
                    <w:tr2bl w:val="nil"/>
                  </w:tcBorders>
                  <w:vAlign w:val="center"/>
                </w:tcPr>
                <w:p w14:paraId="62153D7C">
                  <w:pPr>
                    <w:pStyle w:val="109"/>
                    <w:adjustRightInd w:val="0"/>
                    <w:snapToGrid w:val="0"/>
                    <w:ind w:firstLine="0" w:firstLineChars="0"/>
                    <w:jc w:val="center"/>
                    <w:rPr>
                      <w:rFonts w:eastAsia="宋体" w:cs="Times New Roman"/>
                      <w:b/>
                      <w:bCs/>
                      <w:sz w:val="18"/>
                      <w:szCs w:val="18"/>
                    </w:rPr>
                  </w:pPr>
                  <w:r>
                    <w:rPr>
                      <w:rFonts w:eastAsia="宋体" w:cs="Times New Roman"/>
                      <w:b/>
                      <w:bCs/>
                      <w:sz w:val="18"/>
                      <w:szCs w:val="18"/>
                    </w:rPr>
                    <w:t>执行排放标准</w:t>
                  </w:r>
                </w:p>
              </w:tc>
            </w:tr>
            <w:tr w14:paraId="0A747C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383" w:type="pct"/>
                  <w:tcBorders>
                    <w:tl2br w:val="nil"/>
                    <w:tr2bl w:val="nil"/>
                  </w:tcBorders>
                  <w:vAlign w:val="center"/>
                </w:tcPr>
                <w:p w14:paraId="5719094E">
                  <w:pPr>
                    <w:pStyle w:val="53"/>
                    <w:rPr>
                      <w:sz w:val="18"/>
                      <w:szCs w:val="18"/>
                    </w:rPr>
                  </w:pPr>
                  <w:r>
                    <w:rPr>
                      <w:sz w:val="18"/>
                      <w:szCs w:val="18"/>
                    </w:rPr>
                    <w:t>废</w:t>
                  </w:r>
                  <w:r>
                    <w:rPr>
                      <w:rFonts w:hint="eastAsia"/>
                      <w:sz w:val="18"/>
                      <w:szCs w:val="18"/>
                    </w:rPr>
                    <w:t>水</w:t>
                  </w:r>
                </w:p>
              </w:tc>
              <w:tc>
                <w:tcPr>
                  <w:tcW w:w="683" w:type="pct"/>
                  <w:tcBorders>
                    <w:tl2br w:val="nil"/>
                    <w:tr2bl w:val="nil"/>
                  </w:tcBorders>
                  <w:vAlign w:val="center"/>
                </w:tcPr>
                <w:p w14:paraId="7686CB6D">
                  <w:pPr>
                    <w:pStyle w:val="53"/>
                    <w:rPr>
                      <w:sz w:val="18"/>
                      <w:szCs w:val="18"/>
                    </w:rPr>
                  </w:pPr>
                  <w:r>
                    <w:rPr>
                      <w:rFonts w:hint="eastAsia"/>
                      <w:sz w:val="18"/>
                      <w:szCs w:val="18"/>
                    </w:rPr>
                    <w:t>DW001</w:t>
                  </w:r>
                </w:p>
              </w:tc>
              <w:tc>
                <w:tcPr>
                  <w:tcW w:w="1125" w:type="pct"/>
                  <w:tcBorders>
                    <w:tl2br w:val="nil"/>
                    <w:tr2bl w:val="nil"/>
                  </w:tcBorders>
                  <w:vAlign w:val="center"/>
                </w:tcPr>
                <w:p w14:paraId="2C37097D">
                  <w:pPr>
                    <w:pStyle w:val="5"/>
                    <w:ind w:firstLine="0" w:firstLineChars="0"/>
                    <w:jc w:val="center"/>
                    <w:rPr>
                      <w:sz w:val="18"/>
                      <w:szCs w:val="18"/>
                    </w:rPr>
                  </w:pPr>
                  <w:r>
                    <w:rPr>
                      <w:rFonts w:hint="eastAsia"/>
                      <w:sz w:val="18"/>
                      <w:szCs w:val="18"/>
                    </w:rPr>
                    <w:t>流量、pH值、</w:t>
                  </w:r>
                  <w:r>
                    <w:rPr>
                      <w:sz w:val="18"/>
                      <w:szCs w:val="18"/>
                    </w:rPr>
                    <w:t>COD、SS、氨氮、总氮、</w:t>
                  </w:r>
                  <w:r>
                    <w:rPr>
                      <w:rFonts w:hint="eastAsia"/>
                      <w:sz w:val="18"/>
                      <w:szCs w:val="18"/>
                    </w:rPr>
                    <w:t>五日生化需氧量、总磷</w:t>
                  </w:r>
                </w:p>
              </w:tc>
              <w:tc>
                <w:tcPr>
                  <w:tcW w:w="656" w:type="pct"/>
                  <w:tcBorders>
                    <w:tl2br w:val="nil"/>
                    <w:tr2bl w:val="nil"/>
                  </w:tcBorders>
                  <w:vAlign w:val="center"/>
                </w:tcPr>
                <w:p w14:paraId="5673C1AC">
                  <w:pPr>
                    <w:pStyle w:val="109"/>
                    <w:adjustRightInd w:val="0"/>
                    <w:snapToGrid w:val="0"/>
                    <w:ind w:firstLine="0" w:firstLineChars="0"/>
                    <w:jc w:val="center"/>
                    <w:rPr>
                      <w:rFonts w:eastAsia="宋体" w:cs="Times New Roman"/>
                      <w:sz w:val="18"/>
                      <w:szCs w:val="18"/>
                    </w:rPr>
                  </w:pPr>
                  <w:r>
                    <w:rPr>
                      <w:rFonts w:hint="eastAsia" w:eastAsia="宋体" w:cs="Times New Roman"/>
                      <w:sz w:val="18"/>
                      <w:szCs w:val="18"/>
                    </w:rPr>
                    <w:t>一年</w:t>
                  </w:r>
                  <w:r>
                    <w:rPr>
                      <w:rFonts w:eastAsia="宋体" w:cs="Times New Roman"/>
                      <w:sz w:val="18"/>
                      <w:szCs w:val="18"/>
                    </w:rPr>
                    <w:t>一次</w:t>
                  </w:r>
                </w:p>
              </w:tc>
              <w:tc>
                <w:tcPr>
                  <w:tcW w:w="2151" w:type="pct"/>
                  <w:tcBorders>
                    <w:tl2br w:val="nil"/>
                    <w:tr2bl w:val="nil"/>
                  </w:tcBorders>
                  <w:vAlign w:val="center"/>
                </w:tcPr>
                <w:p w14:paraId="31D9C558">
                  <w:pPr>
                    <w:pStyle w:val="109"/>
                    <w:adjustRightInd w:val="0"/>
                    <w:snapToGrid w:val="0"/>
                    <w:ind w:firstLine="0" w:firstLineChars="0"/>
                    <w:jc w:val="center"/>
                    <w:rPr>
                      <w:rFonts w:eastAsia="宋体" w:cs="Times New Roman"/>
                      <w:sz w:val="18"/>
                      <w:szCs w:val="18"/>
                    </w:rPr>
                  </w:pPr>
                  <w:r>
                    <w:rPr>
                      <w:rFonts w:eastAsia="宋体" w:cs="Times New Roman"/>
                      <w:sz w:val="18"/>
                      <w:szCs w:val="18"/>
                    </w:rPr>
                    <w:t>《污水综合排放标准》(GB8978-1996</w:t>
                  </w:r>
                  <w:r>
                    <w:rPr>
                      <w:rFonts w:hint="eastAsia" w:eastAsia="宋体" w:cs="Times New Roman"/>
                      <w:sz w:val="18"/>
                      <w:szCs w:val="18"/>
                    </w:rPr>
                    <w:t>）</w:t>
                  </w:r>
                  <w:r>
                    <w:rPr>
                      <w:rFonts w:eastAsia="宋体" w:cs="Times New Roman"/>
                      <w:sz w:val="18"/>
                      <w:szCs w:val="18"/>
                    </w:rPr>
                    <w:t>表4中三级标准及《污水排入城镇下水道水质标准》(GB/T31962-2015</w:t>
                  </w:r>
                  <w:r>
                    <w:rPr>
                      <w:rFonts w:hint="eastAsia" w:eastAsia="宋体" w:cs="Times New Roman"/>
                      <w:sz w:val="18"/>
                      <w:szCs w:val="18"/>
                    </w:rPr>
                    <w:t>）</w:t>
                  </w:r>
                  <w:r>
                    <w:rPr>
                      <w:rFonts w:eastAsia="宋体" w:cs="Times New Roman"/>
                      <w:sz w:val="18"/>
                      <w:szCs w:val="18"/>
                    </w:rPr>
                    <w:t>表1中</w:t>
                  </w:r>
                  <w:r>
                    <w:rPr>
                      <w:rFonts w:hint="eastAsia" w:eastAsia="宋体" w:cs="Times New Roman"/>
                      <w:sz w:val="18"/>
                      <w:szCs w:val="18"/>
                    </w:rPr>
                    <w:t>B</w:t>
                  </w:r>
                  <w:r>
                    <w:rPr>
                      <w:rFonts w:eastAsia="宋体" w:cs="Times New Roman"/>
                      <w:sz w:val="18"/>
                      <w:szCs w:val="18"/>
                    </w:rPr>
                    <w:t>等级标准，也应符合</w:t>
                  </w:r>
                  <w:r>
                    <w:rPr>
                      <w:rFonts w:hint="eastAsia" w:eastAsia="宋体" w:cs="Times New Roman"/>
                      <w:sz w:val="18"/>
                      <w:szCs w:val="18"/>
                    </w:rPr>
                    <w:t>海安李堡滇池水务有限公司</w:t>
                  </w:r>
                  <w:r>
                    <w:rPr>
                      <w:rFonts w:eastAsia="宋体" w:cs="Times New Roman"/>
                      <w:sz w:val="18"/>
                      <w:szCs w:val="18"/>
                    </w:rPr>
                    <w:t>设计接管水质要求</w:t>
                  </w:r>
                </w:p>
              </w:tc>
            </w:tr>
            <w:tr w14:paraId="764698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83" w:type="pct"/>
                  <w:tcBorders>
                    <w:tl2br w:val="nil"/>
                    <w:tr2bl w:val="nil"/>
                  </w:tcBorders>
                  <w:vAlign w:val="center"/>
                </w:tcPr>
                <w:p w14:paraId="31EBBC58">
                  <w:pPr>
                    <w:pStyle w:val="53"/>
                    <w:rPr>
                      <w:sz w:val="18"/>
                      <w:szCs w:val="18"/>
                    </w:rPr>
                  </w:pPr>
                  <w:r>
                    <w:rPr>
                      <w:rFonts w:hint="eastAsia"/>
                      <w:sz w:val="18"/>
                      <w:szCs w:val="18"/>
                    </w:rPr>
                    <w:t>雨水</w:t>
                  </w:r>
                </w:p>
              </w:tc>
              <w:tc>
                <w:tcPr>
                  <w:tcW w:w="683" w:type="pct"/>
                  <w:tcBorders>
                    <w:tl2br w:val="nil"/>
                    <w:tr2bl w:val="nil"/>
                  </w:tcBorders>
                  <w:vAlign w:val="center"/>
                </w:tcPr>
                <w:p w14:paraId="3BA54BEB">
                  <w:pPr>
                    <w:pStyle w:val="53"/>
                    <w:rPr>
                      <w:sz w:val="18"/>
                      <w:szCs w:val="18"/>
                    </w:rPr>
                  </w:pPr>
                  <w:r>
                    <w:rPr>
                      <w:rFonts w:hint="eastAsia"/>
                      <w:sz w:val="18"/>
                      <w:szCs w:val="18"/>
                    </w:rPr>
                    <w:t>YS001</w:t>
                  </w:r>
                </w:p>
              </w:tc>
              <w:tc>
                <w:tcPr>
                  <w:tcW w:w="1125" w:type="pct"/>
                  <w:tcBorders>
                    <w:tl2br w:val="nil"/>
                    <w:tr2bl w:val="nil"/>
                  </w:tcBorders>
                  <w:vAlign w:val="center"/>
                </w:tcPr>
                <w:p w14:paraId="4F5E48F1">
                  <w:pPr>
                    <w:pStyle w:val="5"/>
                    <w:ind w:firstLine="0" w:firstLineChars="0"/>
                    <w:jc w:val="center"/>
                    <w:rPr>
                      <w:sz w:val="18"/>
                      <w:szCs w:val="18"/>
                    </w:rPr>
                  </w:pPr>
                  <w:r>
                    <w:rPr>
                      <w:sz w:val="18"/>
                      <w:szCs w:val="18"/>
                    </w:rPr>
                    <w:t>COD、SS</w:t>
                  </w:r>
                </w:p>
              </w:tc>
              <w:tc>
                <w:tcPr>
                  <w:tcW w:w="656" w:type="pct"/>
                  <w:tcBorders>
                    <w:tl2br w:val="nil"/>
                    <w:tr2bl w:val="nil"/>
                  </w:tcBorders>
                  <w:vAlign w:val="center"/>
                </w:tcPr>
                <w:p w14:paraId="6F2125D5">
                  <w:pPr>
                    <w:pStyle w:val="109"/>
                    <w:adjustRightInd w:val="0"/>
                    <w:snapToGrid w:val="0"/>
                    <w:ind w:firstLine="0" w:firstLineChars="0"/>
                    <w:jc w:val="center"/>
                    <w:rPr>
                      <w:rFonts w:eastAsia="宋体" w:cs="Times New Roman"/>
                      <w:sz w:val="18"/>
                      <w:szCs w:val="18"/>
                    </w:rPr>
                  </w:pPr>
                  <w:r>
                    <w:rPr>
                      <w:rFonts w:hint="eastAsia" w:eastAsia="宋体" w:cs="Times New Roman"/>
                      <w:sz w:val="18"/>
                      <w:szCs w:val="18"/>
                    </w:rPr>
                    <w:t>一年</w:t>
                  </w:r>
                  <w:r>
                    <w:rPr>
                      <w:rFonts w:eastAsia="宋体" w:cs="Times New Roman"/>
                      <w:sz w:val="18"/>
                      <w:szCs w:val="18"/>
                    </w:rPr>
                    <w:t>一次</w:t>
                  </w:r>
                </w:p>
              </w:tc>
              <w:tc>
                <w:tcPr>
                  <w:tcW w:w="2151" w:type="pct"/>
                  <w:tcBorders>
                    <w:tl2br w:val="nil"/>
                    <w:tr2bl w:val="nil"/>
                  </w:tcBorders>
                  <w:vAlign w:val="center"/>
                </w:tcPr>
                <w:p w14:paraId="65B545E0">
                  <w:pPr>
                    <w:pStyle w:val="109"/>
                    <w:adjustRightInd w:val="0"/>
                    <w:snapToGrid w:val="0"/>
                    <w:ind w:firstLine="0" w:firstLineChars="0"/>
                    <w:jc w:val="center"/>
                    <w:rPr>
                      <w:rFonts w:eastAsia="宋体" w:cs="Times New Roman"/>
                      <w:sz w:val="18"/>
                      <w:szCs w:val="18"/>
                    </w:rPr>
                  </w:pPr>
                  <w:r>
                    <w:rPr>
                      <w:rFonts w:eastAsia="宋体" w:cs="Times New Roman"/>
                      <w:sz w:val="18"/>
                      <w:szCs w:val="18"/>
                    </w:rPr>
                    <w:t>《地表水环境质量标准》（GB3838-2002）</w:t>
                  </w:r>
                  <w:r>
                    <w:rPr>
                      <w:rFonts w:hint="eastAsia" w:ascii="宋体" w:hAnsi="宋体" w:eastAsia="宋体"/>
                      <w:sz w:val="18"/>
                      <w:szCs w:val="18"/>
                    </w:rPr>
                    <w:t>Ⅲ</w:t>
                  </w:r>
                  <w:r>
                    <w:rPr>
                      <w:rFonts w:eastAsia="宋体" w:cs="Times New Roman"/>
                      <w:sz w:val="18"/>
                      <w:szCs w:val="18"/>
                    </w:rPr>
                    <w:t>类标准</w:t>
                  </w:r>
                </w:p>
              </w:tc>
            </w:tr>
          </w:tbl>
          <w:p w14:paraId="0D67E9FF">
            <w:pPr>
              <w:widowControl/>
              <w:shd w:val="clear" w:color="auto" w:fill="FFFFFF"/>
              <w:spacing w:line="360" w:lineRule="auto"/>
              <w:ind w:firstLine="454" w:firstLineChars="200"/>
              <w:rPr>
                <w:b/>
                <w:bCs/>
                <w:spacing w:val="8"/>
                <w:kern w:val="0"/>
                <w:szCs w:val="21"/>
              </w:rPr>
            </w:pPr>
            <w:r>
              <w:rPr>
                <w:b/>
                <w:bCs/>
                <w:spacing w:val="8"/>
                <w:kern w:val="0"/>
                <w:szCs w:val="21"/>
              </w:rPr>
              <w:t>（5）依托污水处理厂可行性分析</w:t>
            </w:r>
          </w:p>
          <w:p w14:paraId="66888538">
            <w:pPr>
              <w:adjustRightInd w:val="0"/>
              <w:snapToGrid w:val="0"/>
              <w:spacing w:line="360" w:lineRule="auto"/>
              <w:ind w:firstLine="480"/>
              <w:rPr>
                <w:rFonts w:hint="eastAsia"/>
                <w:spacing w:val="8"/>
                <w:kern w:val="0"/>
                <w:szCs w:val="21"/>
              </w:rPr>
            </w:pPr>
            <w:r>
              <w:rPr>
                <w:rFonts w:hint="eastAsia"/>
                <w:spacing w:val="8"/>
                <w:kern w:val="0"/>
                <w:szCs w:val="21"/>
              </w:rPr>
              <w:t>海安李堡滇池水务有限公司位于海安市李堡镇杨庄村9组，服务范围为李堡镇区建成区，主要接纳服务范围内各企业排放污水和生活污水，建设规模为5000m</w:t>
            </w:r>
            <w:r>
              <w:rPr>
                <w:rFonts w:hint="eastAsia"/>
                <w:spacing w:val="8"/>
                <w:kern w:val="0"/>
                <w:szCs w:val="21"/>
                <w:vertAlign w:val="superscript"/>
              </w:rPr>
              <w:t>3</w:t>
            </w:r>
            <w:r>
              <w:rPr>
                <w:rFonts w:hint="eastAsia"/>
                <w:spacing w:val="8"/>
                <w:kern w:val="0"/>
                <w:szCs w:val="21"/>
              </w:rPr>
              <w:t>/d。</w:t>
            </w:r>
            <w:r>
              <w:rPr>
                <w:spacing w:val="8"/>
                <w:kern w:val="0"/>
                <w:szCs w:val="21"/>
              </w:rPr>
              <w:t>2019年，海安李堡滇池水务有限公司进行了提标改造</w:t>
            </w:r>
            <w:r>
              <w:rPr>
                <w:rFonts w:hint="eastAsia"/>
                <w:spacing w:val="8"/>
                <w:kern w:val="0"/>
                <w:szCs w:val="21"/>
              </w:rPr>
              <w:t>，</w:t>
            </w:r>
            <w:r>
              <w:rPr>
                <w:spacing w:val="8"/>
                <w:kern w:val="0"/>
                <w:szCs w:val="21"/>
              </w:rPr>
              <w:t>并于2020年12月通过自主验收</w:t>
            </w:r>
            <w:r>
              <w:rPr>
                <w:rFonts w:hint="eastAsia"/>
                <w:spacing w:val="8"/>
                <w:kern w:val="0"/>
                <w:szCs w:val="21"/>
              </w:rPr>
              <w:t>。污水处理厂出水水质执行《城镇污水处理厂污染物排放标准》（GB18918-2002）中的一级A标准，达标尾水排入北凌河。污水处理厂的处理工艺如下：</w:t>
            </w:r>
          </w:p>
          <w:p w14:paraId="1E6BAE48">
            <w:pPr>
              <w:pStyle w:val="18"/>
              <w:widowControl w:val="0"/>
              <w:adjustRightInd w:val="0"/>
              <w:snapToGrid w:val="0"/>
              <w:spacing w:before="0" w:beforeAutospacing="0" w:after="0" w:afterAutospacing="0"/>
              <w:jc w:val="center"/>
              <w:rPr>
                <w:rFonts w:ascii="Times New Roman" w:hAnsi="Times New Roman" w:cs="宋体"/>
                <w:szCs w:val="32"/>
                <w:lang w:bidi="ar"/>
              </w:rPr>
            </w:pPr>
            <w:r>
              <w:rPr>
                <w:rFonts w:eastAsia="仿宋_GB2312"/>
                <w:sz w:val="36"/>
                <w:szCs w:val="36"/>
              </w:rPr>
              <w:drawing>
                <wp:inline distT="0" distB="0" distL="0" distR="0">
                  <wp:extent cx="4318635" cy="3090545"/>
                  <wp:effectExtent l="0" t="0" r="5715" b="1460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318635" cy="3090545"/>
                          </a:xfrm>
                          <a:prstGeom prst="rect">
                            <a:avLst/>
                          </a:prstGeom>
                          <a:noFill/>
                          <a:ln>
                            <a:noFill/>
                          </a:ln>
                        </pic:spPr>
                      </pic:pic>
                    </a:graphicData>
                  </a:graphic>
                </wp:inline>
              </w:drawing>
            </w:r>
          </w:p>
          <w:p w14:paraId="2409BA14">
            <w:pPr>
              <w:adjustRightInd w:val="0"/>
              <w:snapToGrid w:val="0"/>
              <w:spacing w:line="360" w:lineRule="auto"/>
              <w:ind w:firstLine="480"/>
              <w:jc w:val="center"/>
              <w:rPr>
                <w:b/>
                <w:bCs/>
                <w:szCs w:val="21"/>
              </w:rPr>
            </w:pPr>
            <w:r>
              <w:rPr>
                <w:rFonts w:hint="eastAsia"/>
                <w:b/>
                <w:bCs/>
                <w:szCs w:val="21"/>
              </w:rPr>
              <w:t>图4-</w:t>
            </w:r>
            <w:r>
              <w:rPr>
                <w:rFonts w:hint="eastAsia"/>
                <w:b/>
                <w:bCs/>
                <w:szCs w:val="21"/>
                <w:lang w:val="en-US" w:eastAsia="zh-CN"/>
              </w:rPr>
              <w:t>4</w:t>
            </w:r>
            <w:r>
              <w:rPr>
                <w:rFonts w:hint="eastAsia"/>
                <w:b/>
                <w:bCs/>
                <w:szCs w:val="21"/>
              </w:rPr>
              <w:t xml:space="preserve"> 海安李堡滇池水务有限公司污水处理工艺示意图</w:t>
            </w:r>
          </w:p>
          <w:p w14:paraId="24345467">
            <w:pPr>
              <w:pStyle w:val="4"/>
              <w:adjustRightInd w:val="0"/>
              <w:snapToGrid w:val="0"/>
              <w:spacing w:before="0" w:after="0" w:line="360" w:lineRule="auto"/>
              <w:ind w:firstLine="420" w:firstLineChars="200"/>
              <w:rPr>
                <w:b w:val="0"/>
                <w:bCs w:val="0"/>
                <w:sz w:val="21"/>
                <w:szCs w:val="21"/>
              </w:rPr>
            </w:pPr>
            <w:r>
              <w:rPr>
                <w:rFonts w:hint="eastAsia"/>
                <w:b w:val="0"/>
                <w:bCs w:val="0"/>
                <w:sz w:val="21"/>
                <w:szCs w:val="21"/>
              </w:rPr>
              <w:t>水量：海安李堡滇池水务有限公司自正式投入运行以来，污水处理设备运行良好，设计处理能力为5000t/d，目前尚有余量1400t/d。本项目排水量0.4</w:t>
            </w:r>
            <w:r>
              <w:rPr>
                <w:rFonts w:hint="eastAsia"/>
                <w:b w:val="0"/>
                <w:bCs w:val="0"/>
                <w:sz w:val="21"/>
                <w:szCs w:val="21"/>
                <w:lang w:val="en-US" w:eastAsia="zh-CN"/>
              </w:rPr>
              <w:t>2</w:t>
            </w:r>
            <w:r>
              <w:rPr>
                <w:rFonts w:hint="eastAsia"/>
                <w:b w:val="0"/>
                <w:bCs w:val="0"/>
                <w:sz w:val="21"/>
                <w:szCs w:val="21"/>
              </w:rPr>
              <w:t>t/d（10</w:t>
            </w:r>
            <w:r>
              <w:rPr>
                <w:rFonts w:hint="eastAsia"/>
                <w:b w:val="0"/>
                <w:bCs w:val="0"/>
                <w:sz w:val="21"/>
                <w:szCs w:val="21"/>
                <w:lang w:val="en-US" w:eastAsia="zh-CN"/>
              </w:rPr>
              <w:t>6</w:t>
            </w:r>
            <w:r>
              <w:rPr>
                <w:rFonts w:hint="eastAsia"/>
                <w:b w:val="0"/>
                <w:bCs w:val="0"/>
                <w:sz w:val="21"/>
                <w:szCs w:val="21"/>
              </w:rPr>
              <w:t>t/a），仅为海安李堡滇池水务有限公司剩余日处理能力的0.03%，在其接管量范围内。因此从废水接管水量来说，污水接管至海安李堡滇池水务有限公司是可行的。</w:t>
            </w:r>
          </w:p>
          <w:p w14:paraId="0696C3AC">
            <w:pPr>
              <w:pStyle w:val="4"/>
              <w:adjustRightInd w:val="0"/>
              <w:snapToGrid w:val="0"/>
              <w:spacing w:before="0" w:after="0" w:line="360" w:lineRule="auto"/>
              <w:ind w:firstLine="420" w:firstLineChars="200"/>
              <w:rPr>
                <w:b w:val="0"/>
                <w:bCs w:val="0"/>
                <w:sz w:val="21"/>
                <w:szCs w:val="21"/>
              </w:rPr>
            </w:pPr>
            <w:r>
              <w:rPr>
                <w:rFonts w:hint="eastAsia"/>
                <w:b w:val="0"/>
                <w:bCs w:val="0"/>
                <w:sz w:val="21"/>
                <w:szCs w:val="21"/>
              </w:rPr>
              <w:t>水质：项目废水水质简单，经预处理后能够达到该污水处理厂接管标准，目前污水管网已铺设到位，厂内废水经预处理后通过污水管网接入海安李堡滇池水务有限公司处理，不会对污水处理厂的正常运行产生冲击负荷，不影响其水质稳定达标排放。因此，废水接管水质是可行的。</w:t>
            </w:r>
          </w:p>
          <w:p w14:paraId="60DD3F33">
            <w:pPr>
              <w:pStyle w:val="4"/>
              <w:adjustRightInd w:val="0"/>
              <w:snapToGrid w:val="0"/>
              <w:spacing w:before="0" w:after="0" w:line="360" w:lineRule="auto"/>
              <w:ind w:firstLine="420" w:firstLineChars="200"/>
              <w:rPr>
                <w:b w:val="0"/>
                <w:bCs w:val="0"/>
                <w:sz w:val="21"/>
                <w:szCs w:val="21"/>
              </w:rPr>
            </w:pPr>
            <w:r>
              <w:rPr>
                <w:rFonts w:hint="eastAsia"/>
                <w:b w:val="0"/>
                <w:bCs w:val="0"/>
                <w:sz w:val="21"/>
                <w:szCs w:val="21"/>
              </w:rPr>
              <w:t>管网和污水处理厂建设进度：目前，海安李堡滇池水务有限公司处理已正式投入运营，建设项目区域污水管网铺设工程已铺设到位，可以实现污水接管。</w:t>
            </w:r>
          </w:p>
          <w:p w14:paraId="22CE7DB1">
            <w:pPr>
              <w:pStyle w:val="4"/>
              <w:adjustRightInd w:val="0"/>
              <w:snapToGrid w:val="0"/>
              <w:spacing w:before="0" w:after="0" w:line="360" w:lineRule="auto"/>
              <w:ind w:firstLine="420" w:firstLineChars="200"/>
              <w:rPr>
                <w:b w:val="0"/>
                <w:bCs w:val="0"/>
                <w:sz w:val="21"/>
                <w:szCs w:val="21"/>
              </w:rPr>
            </w:pPr>
            <w:r>
              <w:rPr>
                <w:rFonts w:hint="eastAsia"/>
                <w:b w:val="0"/>
                <w:bCs w:val="0"/>
                <w:sz w:val="21"/>
                <w:szCs w:val="21"/>
              </w:rPr>
              <w:t>综上所述，从水质水量、接管标准及建设进度等方面综合考虑，项目废水接管至海安李堡滇池水务有限公司处理是可行的。因此，项目对地表水环境的影响较小。</w:t>
            </w:r>
          </w:p>
          <w:p w14:paraId="66B8B3EF">
            <w:pPr>
              <w:widowControl/>
              <w:shd w:val="clear" w:color="auto" w:fill="FFFFFF"/>
              <w:spacing w:line="360" w:lineRule="auto"/>
              <w:ind w:firstLine="454" w:firstLineChars="200"/>
              <w:jc w:val="left"/>
              <w:rPr>
                <w:b/>
                <w:bCs/>
                <w:spacing w:val="8"/>
                <w:kern w:val="0"/>
                <w:szCs w:val="21"/>
              </w:rPr>
            </w:pPr>
            <w:r>
              <w:rPr>
                <w:rFonts w:hint="eastAsia"/>
                <w:b/>
                <w:bCs/>
                <w:spacing w:val="8"/>
                <w:kern w:val="0"/>
                <w:szCs w:val="21"/>
              </w:rPr>
              <w:t>（</w:t>
            </w:r>
            <w:r>
              <w:rPr>
                <w:b/>
                <w:bCs/>
                <w:spacing w:val="8"/>
                <w:kern w:val="0"/>
                <w:szCs w:val="21"/>
              </w:rPr>
              <w:t>6</w:t>
            </w:r>
            <w:r>
              <w:rPr>
                <w:rFonts w:hint="eastAsia"/>
                <w:b/>
                <w:bCs/>
                <w:spacing w:val="8"/>
                <w:kern w:val="0"/>
                <w:szCs w:val="21"/>
              </w:rPr>
              <w:t>）</w:t>
            </w:r>
            <w:r>
              <w:rPr>
                <w:b/>
                <w:bCs/>
                <w:spacing w:val="8"/>
                <w:kern w:val="0"/>
                <w:szCs w:val="21"/>
              </w:rPr>
              <w:t>雨水排放环境管理要求</w:t>
            </w:r>
          </w:p>
          <w:p w14:paraId="56DBC059">
            <w:pPr>
              <w:widowControl/>
              <w:shd w:val="clear" w:color="auto" w:fill="FFFFFF"/>
              <w:spacing w:line="360" w:lineRule="auto"/>
              <w:ind w:firstLine="452" w:firstLineChars="200"/>
              <w:jc w:val="left"/>
              <w:rPr>
                <w:spacing w:val="8"/>
                <w:kern w:val="0"/>
                <w:szCs w:val="21"/>
              </w:rPr>
            </w:pPr>
            <w:r>
              <w:rPr>
                <w:spacing w:val="8"/>
                <w:kern w:val="0"/>
                <w:szCs w:val="21"/>
              </w:rPr>
              <w:t>为保证雨水排放水质满足相应标准要求，</w:t>
            </w:r>
            <w:r>
              <w:rPr>
                <w:rFonts w:hint="eastAsia"/>
                <w:spacing w:val="8"/>
                <w:kern w:val="0"/>
                <w:szCs w:val="21"/>
              </w:rPr>
              <w:t>项目运行</w:t>
            </w:r>
            <w:r>
              <w:rPr>
                <w:spacing w:val="8"/>
                <w:kern w:val="0"/>
                <w:szCs w:val="21"/>
              </w:rPr>
              <w:t>应注意：</w:t>
            </w:r>
          </w:p>
          <w:p w14:paraId="51BCFEC8">
            <w:pPr>
              <w:widowControl/>
              <w:shd w:val="clear" w:color="auto" w:fill="FFFFFF"/>
              <w:spacing w:line="360" w:lineRule="auto"/>
              <w:ind w:firstLine="452" w:firstLineChars="200"/>
              <w:jc w:val="left"/>
              <w:rPr>
                <w:spacing w:val="8"/>
                <w:kern w:val="0"/>
                <w:szCs w:val="21"/>
              </w:rPr>
            </w:pPr>
            <w:r>
              <w:rPr>
                <w:rFonts w:hint="eastAsia"/>
                <w:spacing w:val="8"/>
                <w:kern w:val="0"/>
                <w:szCs w:val="21"/>
              </w:rPr>
              <w:t>①</w:t>
            </w:r>
            <w:r>
              <w:rPr>
                <w:spacing w:val="8"/>
                <w:kern w:val="0"/>
                <w:szCs w:val="21"/>
              </w:rPr>
              <w:t>严格按照法律法规、环评批复等要求来收集和排放雨水。</w:t>
            </w:r>
          </w:p>
          <w:p w14:paraId="18CFEBAA">
            <w:pPr>
              <w:widowControl/>
              <w:shd w:val="clear" w:color="auto" w:fill="FFFFFF"/>
              <w:spacing w:line="360" w:lineRule="auto"/>
              <w:ind w:firstLine="452" w:firstLineChars="200"/>
              <w:jc w:val="left"/>
              <w:rPr>
                <w:spacing w:val="8"/>
                <w:kern w:val="0"/>
                <w:szCs w:val="21"/>
              </w:rPr>
            </w:pPr>
            <w:r>
              <w:rPr>
                <w:rFonts w:hint="eastAsia"/>
                <w:spacing w:val="8"/>
                <w:kern w:val="0"/>
                <w:szCs w:val="21"/>
              </w:rPr>
              <w:t>②</w:t>
            </w:r>
            <w:r>
              <w:rPr>
                <w:spacing w:val="8"/>
                <w:kern w:val="0"/>
                <w:szCs w:val="21"/>
              </w:rPr>
              <w:t>雨水明沟1米范围内不得放置任何东西，包括包装桶等。清扫厂内道路时不得把杂物清扫到雨水沟内。</w:t>
            </w:r>
            <w:r>
              <w:rPr>
                <w:rFonts w:hint="eastAsia"/>
                <w:spacing w:val="8"/>
                <w:kern w:val="0"/>
                <w:szCs w:val="21"/>
              </w:rPr>
              <w:t>实验室</w:t>
            </w:r>
            <w:r>
              <w:rPr>
                <w:spacing w:val="8"/>
                <w:kern w:val="0"/>
                <w:szCs w:val="21"/>
              </w:rPr>
              <w:t>内清理出的杂物等不得倾倒在雨水沟内。</w:t>
            </w:r>
          </w:p>
          <w:p w14:paraId="7B90A4CF">
            <w:pPr>
              <w:widowControl/>
              <w:shd w:val="clear" w:color="auto" w:fill="FFFFFF"/>
              <w:spacing w:line="360" w:lineRule="auto"/>
              <w:ind w:firstLine="452" w:firstLineChars="200"/>
              <w:jc w:val="left"/>
              <w:rPr>
                <w:spacing w:val="8"/>
                <w:kern w:val="0"/>
                <w:szCs w:val="21"/>
              </w:rPr>
            </w:pPr>
            <w:r>
              <w:rPr>
                <w:rFonts w:hint="eastAsia"/>
                <w:spacing w:val="8"/>
                <w:kern w:val="0"/>
                <w:szCs w:val="21"/>
              </w:rPr>
              <w:t>③</w:t>
            </w:r>
            <w:r>
              <w:rPr>
                <w:spacing w:val="8"/>
                <w:kern w:val="0"/>
                <w:szCs w:val="21"/>
              </w:rPr>
              <w:t>定期巡检雨水沟，并留存巡检记录。定期清理雨水沟内杂物，并留存清理记录</w:t>
            </w:r>
            <w:r>
              <w:rPr>
                <w:rFonts w:hint="eastAsia"/>
                <w:spacing w:val="8"/>
                <w:kern w:val="0"/>
                <w:szCs w:val="21"/>
              </w:rPr>
              <w:t>。</w:t>
            </w:r>
          </w:p>
          <w:p w14:paraId="770F810C">
            <w:pPr>
              <w:widowControl/>
              <w:shd w:val="clear" w:color="auto" w:fill="FFFFFF"/>
              <w:spacing w:line="360" w:lineRule="auto"/>
              <w:ind w:firstLine="454" w:firstLineChars="200"/>
              <w:jc w:val="left"/>
              <w:rPr>
                <w:b/>
                <w:bCs/>
                <w:spacing w:val="8"/>
                <w:kern w:val="0"/>
                <w:szCs w:val="21"/>
              </w:rPr>
            </w:pPr>
            <w:r>
              <w:rPr>
                <w:b/>
                <w:bCs/>
                <w:spacing w:val="8"/>
                <w:kern w:val="0"/>
                <w:szCs w:val="21"/>
              </w:rPr>
              <w:t>（7）地表水环境影响评价结论</w:t>
            </w:r>
          </w:p>
          <w:p w14:paraId="28D6A046">
            <w:pPr>
              <w:widowControl/>
              <w:shd w:val="clear" w:color="auto" w:fill="FFFFFF"/>
              <w:spacing w:line="360" w:lineRule="auto"/>
              <w:ind w:firstLine="452" w:firstLineChars="200"/>
              <w:jc w:val="left"/>
              <w:rPr>
                <w:spacing w:val="8"/>
                <w:kern w:val="0"/>
                <w:szCs w:val="21"/>
              </w:rPr>
            </w:pPr>
            <w:r>
              <w:rPr>
                <w:spacing w:val="8"/>
                <w:kern w:val="0"/>
                <w:szCs w:val="21"/>
              </w:rPr>
              <w:t>本项目营运期外排废水主要为员工生活污水</w:t>
            </w:r>
            <w:r>
              <w:rPr>
                <w:rFonts w:hint="eastAsia"/>
                <w:spacing w:val="8"/>
                <w:kern w:val="0"/>
                <w:szCs w:val="21"/>
                <w:lang w:val="en-US" w:eastAsia="zh-CN"/>
              </w:rPr>
              <w:t>和后道清洗废水</w:t>
            </w:r>
            <w:r>
              <w:rPr>
                <w:spacing w:val="8"/>
                <w:kern w:val="0"/>
                <w:szCs w:val="21"/>
              </w:rPr>
              <w:t>，经化粪池处理后的生活污水</w:t>
            </w:r>
            <w:r>
              <w:rPr>
                <w:rFonts w:hint="eastAsia"/>
                <w:spacing w:val="8"/>
                <w:kern w:val="0"/>
                <w:szCs w:val="21"/>
                <w:lang w:val="en-US" w:eastAsia="zh-CN"/>
              </w:rPr>
              <w:t>和经厂区污水处理设施处理后的后道清洗废水</w:t>
            </w:r>
            <w:r>
              <w:rPr>
                <w:spacing w:val="8"/>
                <w:kern w:val="0"/>
                <w:szCs w:val="21"/>
              </w:rPr>
              <w:t>水质达《污水综合排放标准》（GB8978-1996）表4三级标准、《污水排入城镇下水道水质标准》（GB/T31962-2015）表1中</w:t>
            </w:r>
            <w:r>
              <w:rPr>
                <w:rFonts w:hint="eastAsia"/>
                <w:spacing w:val="8"/>
                <w:kern w:val="0"/>
                <w:szCs w:val="21"/>
              </w:rPr>
              <w:t>B</w:t>
            </w:r>
            <w:r>
              <w:rPr>
                <w:spacing w:val="8"/>
                <w:kern w:val="0"/>
                <w:szCs w:val="21"/>
              </w:rPr>
              <w:t>等级标准后，通过市政污水管网接管至</w:t>
            </w:r>
            <w:r>
              <w:rPr>
                <w:rFonts w:hint="eastAsia"/>
              </w:rPr>
              <w:t>海安李堡滇池水务有限公司</w:t>
            </w:r>
            <w:r>
              <w:rPr>
                <w:spacing w:val="8"/>
                <w:kern w:val="0"/>
                <w:szCs w:val="21"/>
              </w:rPr>
              <w:t>处理，尾水排入</w:t>
            </w:r>
            <w:r>
              <w:rPr>
                <w:rFonts w:hint="eastAsia"/>
                <w:spacing w:val="8"/>
                <w:kern w:val="0"/>
                <w:szCs w:val="21"/>
              </w:rPr>
              <w:t>北凌河</w:t>
            </w:r>
            <w:r>
              <w:rPr>
                <w:spacing w:val="8"/>
                <w:kern w:val="0"/>
                <w:szCs w:val="21"/>
              </w:rPr>
              <w:t>，项目废水经预处理后满足</w:t>
            </w:r>
            <w:r>
              <w:rPr>
                <w:rFonts w:hint="eastAsia"/>
              </w:rPr>
              <w:t>海安李堡滇池水务有限公司</w:t>
            </w:r>
            <w:r>
              <w:rPr>
                <w:spacing w:val="8"/>
                <w:kern w:val="0"/>
                <w:szCs w:val="21"/>
              </w:rPr>
              <w:t>接管标准的要求，从水质水量、接管标准及建设进度等方面综合考虑，项目废水接管至</w:t>
            </w:r>
            <w:r>
              <w:rPr>
                <w:rFonts w:hint="eastAsia"/>
              </w:rPr>
              <w:t>海安李堡滇池水务有限公司</w:t>
            </w:r>
            <w:r>
              <w:rPr>
                <w:spacing w:val="8"/>
                <w:kern w:val="0"/>
                <w:szCs w:val="21"/>
              </w:rPr>
              <w:t>处理是可行的。因此，项目对地表水环境的影响可以接受。</w:t>
            </w:r>
          </w:p>
          <w:p w14:paraId="4CCF5B18">
            <w:pPr>
              <w:widowControl/>
              <w:shd w:val="clear" w:color="auto" w:fill="FFFFFF"/>
              <w:spacing w:line="360" w:lineRule="auto"/>
              <w:ind w:firstLine="454" w:firstLineChars="200"/>
              <w:jc w:val="left"/>
              <w:rPr>
                <w:b/>
                <w:bCs/>
                <w:spacing w:val="8"/>
                <w:kern w:val="0"/>
                <w:szCs w:val="21"/>
              </w:rPr>
            </w:pPr>
            <w:r>
              <w:rPr>
                <w:b/>
                <w:bCs/>
                <w:spacing w:val="8"/>
                <w:kern w:val="0"/>
                <w:szCs w:val="21"/>
              </w:rPr>
              <w:t>3.噪声</w:t>
            </w:r>
          </w:p>
          <w:p w14:paraId="49E6945D">
            <w:pPr>
              <w:widowControl/>
              <w:shd w:val="clear" w:color="auto" w:fill="FFFFFF"/>
              <w:spacing w:line="360" w:lineRule="auto"/>
              <w:ind w:firstLine="454" w:firstLineChars="200"/>
              <w:jc w:val="left"/>
              <w:rPr>
                <w:b/>
                <w:bCs/>
                <w:spacing w:val="8"/>
                <w:kern w:val="0"/>
                <w:szCs w:val="21"/>
              </w:rPr>
            </w:pPr>
            <w:r>
              <w:rPr>
                <w:b/>
                <w:bCs/>
                <w:spacing w:val="8"/>
                <w:kern w:val="0"/>
                <w:szCs w:val="21"/>
              </w:rPr>
              <w:t>（1）噪声源及降噪情况</w:t>
            </w:r>
          </w:p>
          <w:p w14:paraId="2DD69C29">
            <w:pPr>
              <w:widowControl/>
              <w:shd w:val="clear" w:color="auto" w:fill="FFFFFF"/>
              <w:spacing w:line="360" w:lineRule="auto"/>
              <w:ind w:firstLine="452" w:firstLineChars="200"/>
              <w:jc w:val="left"/>
              <w:rPr>
                <w:spacing w:val="8"/>
                <w:kern w:val="0"/>
                <w:szCs w:val="21"/>
              </w:rPr>
            </w:pPr>
            <w:r>
              <w:rPr>
                <w:spacing w:val="8"/>
                <w:kern w:val="0"/>
                <w:szCs w:val="21"/>
              </w:rPr>
              <w:t>建设项目高噪声设备主要为</w:t>
            </w:r>
            <w:r>
              <w:rPr>
                <w:rFonts w:hint="eastAsia"/>
                <w:spacing w:val="8"/>
                <w:kern w:val="0"/>
                <w:szCs w:val="21"/>
              </w:rPr>
              <w:t>通风橱、</w:t>
            </w:r>
            <w:r>
              <w:rPr>
                <w:spacing w:val="8"/>
                <w:kern w:val="0"/>
                <w:szCs w:val="21"/>
              </w:rPr>
              <w:t>风机等设备噪声，预计噪声源在</w:t>
            </w:r>
            <w:r>
              <w:rPr>
                <w:rFonts w:hint="eastAsia"/>
                <w:spacing w:val="8"/>
                <w:kern w:val="0"/>
                <w:szCs w:val="21"/>
              </w:rPr>
              <w:t>80</w:t>
            </w:r>
            <w:r>
              <w:rPr>
                <w:spacing w:val="8"/>
                <w:kern w:val="0"/>
                <w:szCs w:val="21"/>
              </w:rPr>
              <w:t>～90dB</w:t>
            </w:r>
            <w:r>
              <w:rPr>
                <w:rFonts w:hint="eastAsia"/>
                <w:spacing w:val="8"/>
                <w:kern w:val="0"/>
                <w:szCs w:val="21"/>
              </w:rPr>
              <w:t>(</w:t>
            </w:r>
            <w:r>
              <w:rPr>
                <w:spacing w:val="8"/>
                <w:kern w:val="0"/>
                <w:szCs w:val="21"/>
              </w:rPr>
              <w:t>A）。建设单位拟采取以下降噪措施：</w:t>
            </w:r>
          </w:p>
          <w:p w14:paraId="1D31ABB6">
            <w:pPr>
              <w:widowControl/>
              <w:shd w:val="clear" w:color="auto" w:fill="FFFFFF"/>
              <w:spacing w:line="360" w:lineRule="auto"/>
              <w:ind w:firstLine="452" w:firstLineChars="200"/>
              <w:jc w:val="left"/>
              <w:rPr>
                <w:spacing w:val="8"/>
                <w:kern w:val="0"/>
                <w:szCs w:val="21"/>
              </w:rPr>
            </w:pPr>
            <w:r>
              <w:rPr>
                <w:spacing w:val="8"/>
                <w:kern w:val="0"/>
                <w:szCs w:val="21"/>
              </w:rPr>
              <w:t>1）在设备选型时选用先进的低噪声设备，在满足工艺设计的前提下，尽量选用满足国际标准的低噪声、低振动型号的设备，降低噪声源强。</w:t>
            </w:r>
          </w:p>
          <w:p w14:paraId="15951E4A">
            <w:pPr>
              <w:widowControl/>
              <w:shd w:val="clear" w:color="auto" w:fill="FFFFFF"/>
              <w:spacing w:line="360" w:lineRule="auto"/>
              <w:ind w:firstLine="452" w:firstLineChars="200"/>
              <w:jc w:val="left"/>
              <w:rPr>
                <w:spacing w:val="8"/>
                <w:kern w:val="0"/>
                <w:szCs w:val="21"/>
              </w:rPr>
            </w:pPr>
            <w:r>
              <w:rPr>
                <w:spacing w:val="8"/>
                <w:kern w:val="0"/>
                <w:szCs w:val="21"/>
              </w:rPr>
              <w:t>2）</w:t>
            </w:r>
            <w:r>
              <w:rPr>
                <w:rFonts w:hint="eastAsia"/>
                <w:spacing w:val="8"/>
                <w:kern w:val="0"/>
                <w:szCs w:val="21"/>
              </w:rPr>
              <w:t>通风橱</w:t>
            </w:r>
            <w:r>
              <w:rPr>
                <w:spacing w:val="8"/>
                <w:kern w:val="0"/>
                <w:szCs w:val="21"/>
              </w:rPr>
              <w:t>均安置在室内，合理布置设备的位置，有效利用建筑隔声，并采取隔声、吸声</w:t>
            </w:r>
            <w:r>
              <w:rPr>
                <w:rFonts w:hint="eastAsia"/>
                <w:spacing w:val="8"/>
                <w:kern w:val="0"/>
                <w:szCs w:val="21"/>
              </w:rPr>
              <w:t>措施</w:t>
            </w:r>
            <w:r>
              <w:rPr>
                <w:spacing w:val="8"/>
                <w:kern w:val="0"/>
                <w:szCs w:val="21"/>
              </w:rPr>
              <w:t>，防止噪声的扩散和传播，正常生产时门窗密闭</w:t>
            </w:r>
            <w:r>
              <w:rPr>
                <w:rFonts w:hint="eastAsia"/>
                <w:spacing w:val="8"/>
                <w:kern w:val="0"/>
                <w:szCs w:val="21"/>
              </w:rPr>
              <w:t>。</w:t>
            </w:r>
            <w:r>
              <w:rPr>
                <w:spacing w:val="8"/>
                <w:kern w:val="0"/>
                <w:szCs w:val="21"/>
              </w:rPr>
              <w:t>风机安装在室外，采用安装</w:t>
            </w:r>
            <w:r>
              <w:rPr>
                <w:rFonts w:hint="eastAsia"/>
                <w:spacing w:val="8"/>
                <w:kern w:val="0"/>
                <w:szCs w:val="21"/>
              </w:rPr>
              <w:t>隔声罩、</w:t>
            </w:r>
            <w:r>
              <w:rPr>
                <w:spacing w:val="8"/>
                <w:kern w:val="0"/>
                <w:szCs w:val="21"/>
              </w:rPr>
              <w:t>消声器、减振垫等，降低噪声的扩散和传播</w:t>
            </w:r>
            <w:r>
              <w:rPr>
                <w:rFonts w:hint="eastAsia"/>
                <w:spacing w:val="8"/>
                <w:kern w:val="0"/>
                <w:szCs w:val="21"/>
              </w:rPr>
              <w:t>。</w:t>
            </w:r>
          </w:p>
          <w:p w14:paraId="14B7C711">
            <w:pPr>
              <w:widowControl/>
              <w:shd w:val="clear" w:color="auto" w:fill="FFFFFF"/>
              <w:spacing w:line="360" w:lineRule="auto"/>
              <w:ind w:firstLine="452" w:firstLineChars="200"/>
              <w:jc w:val="left"/>
              <w:rPr>
                <w:spacing w:val="8"/>
                <w:kern w:val="0"/>
                <w:szCs w:val="21"/>
              </w:rPr>
            </w:pPr>
            <w:r>
              <w:rPr>
                <w:spacing w:val="8"/>
                <w:kern w:val="0"/>
                <w:szCs w:val="21"/>
              </w:rPr>
              <w:t>3）强化管理</w:t>
            </w:r>
            <w:r>
              <w:rPr>
                <w:rFonts w:hint="eastAsia"/>
                <w:spacing w:val="8"/>
                <w:kern w:val="0"/>
                <w:szCs w:val="21"/>
              </w:rPr>
              <w:t>，</w:t>
            </w:r>
            <w:r>
              <w:rPr>
                <w:spacing w:val="8"/>
                <w:kern w:val="0"/>
                <w:szCs w:val="21"/>
              </w:rPr>
              <w:t>确保各类防治措施有效运行，各设备均保持良好运行状态，防止突发噪声。</w:t>
            </w:r>
          </w:p>
          <w:p w14:paraId="695C83E8">
            <w:pPr>
              <w:widowControl/>
              <w:shd w:val="clear" w:color="auto" w:fill="FFFFFF"/>
              <w:spacing w:line="360" w:lineRule="auto"/>
              <w:ind w:firstLine="452" w:firstLineChars="200"/>
              <w:jc w:val="left"/>
              <w:rPr>
                <w:spacing w:val="8"/>
                <w:kern w:val="0"/>
                <w:szCs w:val="21"/>
              </w:rPr>
            </w:pPr>
            <w:r>
              <w:rPr>
                <w:spacing w:val="8"/>
                <w:kern w:val="0"/>
                <w:szCs w:val="21"/>
              </w:rPr>
              <w:t>建设项目噪声设备情况见下表。</w:t>
            </w:r>
          </w:p>
          <w:p w14:paraId="52B27AD6">
            <w:pPr>
              <w:adjustRightInd w:val="0"/>
              <w:snapToGrid w:val="0"/>
              <w:jc w:val="center"/>
              <w:rPr>
                <w:b/>
                <w:szCs w:val="21"/>
                <w:lang w:bidi="ar"/>
              </w:rPr>
            </w:pPr>
            <w:r>
              <w:rPr>
                <w:b/>
                <w:szCs w:val="21"/>
              </w:rPr>
              <w:t>表4-1</w:t>
            </w:r>
            <w:r>
              <w:rPr>
                <w:rFonts w:hint="eastAsia"/>
                <w:b/>
                <w:szCs w:val="21"/>
                <w:lang w:val="en-US" w:eastAsia="zh-CN"/>
              </w:rPr>
              <w:t>9</w:t>
            </w:r>
            <w:r>
              <w:rPr>
                <w:rFonts w:hint="eastAsia"/>
                <w:b/>
                <w:szCs w:val="21"/>
              </w:rPr>
              <w:t>噪声污染源源强核算结果及相关参数一览表</w:t>
            </w:r>
          </w:p>
          <w:tbl>
            <w:tblPr>
              <w:tblStyle w:val="23"/>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941"/>
              <w:gridCol w:w="719"/>
              <w:gridCol w:w="626"/>
              <w:gridCol w:w="1032"/>
              <w:gridCol w:w="721"/>
              <w:gridCol w:w="994"/>
              <w:gridCol w:w="947"/>
              <w:gridCol w:w="959"/>
              <w:gridCol w:w="1014"/>
              <w:gridCol w:w="865"/>
            </w:tblGrid>
            <w:tr w14:paraId="667F44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jc w:val="center"/>
              </w:trPr>
              <w:tc>
                <w:tcPr>
                  <w:tcW w:w="941" w:type="dxa"/>
                  <w:vMerge w:val="restart"/>
                  <w:noWrap/>
                  <w:tcMar>
                    <w:top w:w="15" w:type="dxa"/>
                    <w:left w:w="15" w:type="dxa"/>
                    <w:right w:w="15" w:type="dxa"/>
                  </w:tcMar>
                  <w:vAlign w:val="center"/>
                </w:tcPr>
                <w:p w14:paraId="241F369D">
                  <w:pPr>
                    <w:jc w:val="center"/>
                    <w:rPr>
                      <w:b/>
                      <w:kern w:val="0"/>
                      <w:sz w:val="18"/>
                      <w:szCs w:val="18"/>
                    </w:rPr>
                  </w:pPr>
                  <w:r>
                    <w:rPr>
                      <w:b/>
                      <w:kern w:val="0"/>
                      <w:sz w:val="18"/>
                      <w:szCs w:val="18"/>
                      <w:lang w:bidi="ar"/>
                    </w:rPr>
                    <w:t>工序/生产线</w:t>
                  </w:r>
                </w:p>
              </w:tc>
              <w:tc>
                <w:tcPr>
                  <w:tcW w:w="719" w:type="dxa"/>
                  <w:vMerge w:val="restart"/>
                  <w:noWrap/>
                  <w:tcMar>
                    <w:top w:w="15" w:type="dxa"/>
                    <w:left w:w="15" w:type="dxa"/>
                    <w:right w:w="15" w:type="dxa"/>
                  </w:tcMar>
                  <w:vAlign w:val="center"/>
                </w:tcPr>
                <w:p w14:paraId="5C7EFAD4">
                  <w:pPr>
                    <w:jc w:val="center"/>
                    <w:rPr>
                      <w:b/>
                      <w:kern w:val="0"/>
                      <w:sz w:val="18"/>
                      <w:szCs w:val="18"/>
                    </w:rPr>
                  </w:pPr>
                  <w:r>
                    <w:rPr>
                      <w:b/>
                      <w:kern w:val="0"/>
                      <w:sz w:val="18"/>
                      <w:szCs w:val="18"/>
                      <w:lang w:bidi="ar"/>
                    </w:rPr>
                    <w:t>噪声源</w:t>
                  </w:r>
                </w:p>
              </w:tc>
              <w:tc>
                <w:tcPr>
                  <w:tcW w:w="626" w:type="dxa"/>
                  <w:vMerge w:val="restart"/>
                  <w:vAlign w:val="center"/>
                </w:tcPr>
                <w:p w14:paraId="0E697009">
                  <w:pPr>
                    <w:jc w:val="center"/>
                    <w:rPr>
                      <w:b/>
                      <w:kern w:val="0"/>
                      <w:sz w:val="18"/>
                      <w:szCs w:val="18"/>
                      <w:lang w:bidi="ar"/>
                    </w:rPr>
                  </w:pPr>
                  <w:r>
                    <w:rPr>
                      <w:rFonts w:hint="eastAsia"/>
                      <w:b/>
                      <w:kern w:val="0"/>
                      <w:sz w:val="18"/>
                      <w:szCs w:val="18"/>
                      <w:lang w:bidi="ar"/>
                    </w:rPr>
                    <w:t>数量（台/套）</w:t>
                  </w:r>
                </w:p>
              </w:tc>
              <w:tc>
                <w:tcPr>
                  <w:tcW w:w="1032" w:type="dxa"/>
                  <w:vMerge w:val="restart"/>
                  <w:noWrap/>
                  <w:tcMar>
                    <w:top w:w="15" w:type="dxa"/>
                    <w:left w:w="15" w:type="dxa"/>
                    <w:right w:w="15" w:type="dxa"/>
                  </w:tcMar>
                  <w:vAlign w:val="center"/>
                </w:tcPr>
                <w:p w14:paraId="7DFBB4A6">
                  <w:pPr>
                    <w:jc w:val="center"/>
                    <w:rPr>
                      <w:b/>
                      <w:kern w:val="0"/>
                      <w:sz w:val="18"/>
                      <w:szCs w:val="18"/>
                    </w:rPr>
                  </w:pPr>
                  <w:r>
                    <w:rPr>
                      <w:b/>
                      <w:kern w:val="0"/>
                      <w:sz w:val="18"/>
                      <w:szCs w:val="18"/>
                      <w:lang w:bidi="ar"/>
                    </w:rPr>
                    <w:t>声源类型</w:t>
                  </w:r>
                </w:p>
                <w:p w14:paraId="3C4E4B07">
                  <w:pPr>
                    <w:jc w:val="center"/>
                    <w:rPr>
                      <w:b/>
                      <w:kern w:val="0"/>
                      <w:sz w:val="18"/>
                      <w:szCs w:val="18"/>
                    </w:rPr>
                  </w:pPr>
                  <w:r>
                    <w:rPr>
                      <w:b/>
                      <w:kern w:val="0"/>
                      <w:sz w:val="18"/>
                      <w:szCs w:val="18"/>
                      <w:lang w:bidi="ar"/>
                    </w:rPr>
                    <w:t>（频发、偶发）</w:t>
                  </w:r>
                </w:p>
              </w:tc>
              <w:tc>
                <w:tcPr>
                  <w:tcW w:w="1715" w:type="dxa"/>
                  <w:gridSpan w:val="2"/>
                  <w:noWrap/>
                  <w:tcMar>
                    <w:top w:w="15" w:type="dxa"/>
                    <w:left w:w="15" w:type="dxa"/>
                    <w:right w:w="15" w:type="dxa"/>
                  </w:tcMar>
                  <w:vAlign w:val="center"/>
                </w:tcPr>
                <w:p w14:paraId="22A115CD">
                  <w:pPr>
                    <w:jc w:val="center"/>
                    <w:rPr>
                      <w:b/>
                      <w:kern w:val="0"/>
                      <w:sz w:val="18"/>
                      <w:szCs w:val="18"/>
                    </w:rPr>
                  </w:pPr>
                  <w:r>
                    <w:rPr>
                      <w:b/>
                      <w:kern w:val="0"/>
                      <w:sz w:val="18"/>
                      <w:szCs w:val="18"/>
                      <w:lang w:bidi="ar"/>
                    </w:rPr>
                    <w:t>噪声源强</w:t>
                  </w:r>
                </w:p>
              </w:tc>
              <w:tc>
                <w:tcPr>
                  <w:tcW w:w="1906" w:type="dxa"/>
                  <w:gridSpan w:val="2"/>
                  <w:noWrap/>
                  <w:tcMar>
                    <w:top w:w="15" w:type="dxa"/>
                    <w:left w:w="15" w:type="dxa"/>
                    <w:right w:w="15" w:type="dxa"/>
                  </w:tcMar>
                  <w:vAlign w:val="center"/>
                </w:tcPr>
                <w:p w14:paraId="18CE0D2D">
                  <w:pPr>
                    <w:jc w:val="center"/>
                    <w:rPr>
                      <w:b/>
                      <w:kern w:val="0"/>
                      <w:sz w:val="18"/>
                      <w:szCs w:val="18"/>
                    </w:rPr>
                  </w:pPr>
                  <w:r>
                    <w:rPr>
                      <w:b/>
                      <w:kern w:val="0"/>
                      <w:sz w:val="18"/>
                      <w:szCs w:val="18"/>
                      <w:lang w:bidi="ar"/>
                    </w:rPr>
                    <w:t>降噪措施</w:t>
                  </w:r>
                </w:p>
              </w:tc>
              <w:tc>
                <w:tcPr>
                  <w:tcW w:w="1014" w:type="dxa"/>
                  <w:vMerge w:val="restart"/>
                  <w:vAlign w:val="center"/>
                </w:tcPr>
                <w:p w14:paraId="33DC3790">
                  <w:pPr>
                    <w:jc w:val="center"/>
                    <w:rPr>
                      <w:b/>
                      <w:kern w:val="0"/>
                      <w:sz w:val="18"/>
                      <w:szCs w:val="18"/>
                    </w:rPr>
                  </w:pPr>
                  <w:r>
                    <w:rPr>
                      <w:rFonts w:hint="eastAsia"/>
                      <w:b/>
                      <w:kern w:val="0"/>
                      <w:sz w:val="18"/>
                      <w:szCs w:val="18"/>
                    </w:rPr>
                    <w:t>单台排放</w:t>
                  </w:r>
                  <w:r>
                    <w:rPr>
                      <w:b/>
                      <w:kern w:val="0"/>
                      <w:sz w:val="18"/>
                      <w:szCs w:val="18"/>
                      <w:lang w:bidi="ar"/>
                    </w:rPr>
                    <w:t>值/dB(A)</w:t>
                  </w:r>
                </w:p>
              </w:tc>
              <w:tc>
                <w:tcPr>
                  <w:tcW w:w="865" w:type="dxa"/>
                  <w:vMerge w:val="restart"/>
                  <w:noWrap/>
                  <w:tcMar>
                    <w:top w:w="15" w:type="dxa"/>
                    <w:left w:w="15" w:type="dxa"/>
                    <w:right w:w="15" w:type="dxa"/>
                  </w:tcMar>
                  <w:vAlign w:val="center"/>
                </w:tcPr>
                <w:p w14:paraId="224C5C57">
                  <w:pPr>
                    <w:jc w:val="center"/>
                    <w:rPr>
                      <w:b/>
                      <w:kern w:val="0"/>
                      <w:sz w:val="18"/>
                      <w:szCs w:val="18"/>
                    </w:rPr>
                  </w:pPr>
                  <w:r>
                    <w:rPr>
                      <w:b/>
                      <w:kern w:val="0"/>
                      <w:sz w:val="18"/>
                      <w:szCs w:val="18"/>
                      <w:lang w:bidi="ar"/>
                    </w:rPr>
                    <w:t>持续时间/h</w:t>
                  </w:r>
                </w:p>
              </w:tc>
            </w:tr>
            <w:tr w14:paraId="1C2E96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jc w:val="center"/>
              </w:trPr>
              <w:tc>
                <w:tcPr>
                  <w:tcW w:w="941" w:type="dxa"/>
                  <w:vMerge w:val="continue"/>
                  <w:noWrap/>
                  <w:tcMar>
                    <w:top w:w="15" w:type="dxa"/>
                    <w:left w:w="15" w:type="dxa"/>
                    <w:right w:w="15" w:type="dxa"/>
                  </w:tcMar>
                  <w:vAlign w:val="center"/>
                </w:tcPr>
                <w:p w14:paraId="3B852C31">
                  <w:pPr>
                    <w:jc w:val="center"/>
                    <w:rPr>
                      <w:sz w:val="18"/>
                      <w:szCs w:val="18"/>
                    </w:rPr>
                  </w:pPr>
                </w:p>
              </w:tc>
              <w:tc>
                <w:tcPr>
                  <w:tcW w:w="719" w:type="dxa"/>
                  <w:vMerge w:val="continue"/>
                  <w:noWrap/>
                  <w:tcMar>
                    <w:top w:w="15" w:type="dxa"/>
                    <w:left w:w="15" w:type="dxa"/>
                    <w:right w:w="15" w:type="dxa"/>
                  </w:tcMar>
                  <w:vAlign w:val="center"/>
                </w:tcPr>
                <w:p w14:paraId="7EFD2EAF">
                  <w:pPr>
                    <w:jc w:val="center"/>
                    <w:rPr>
                      <w:sz w:val="18"/>
                      <w:szCs w:val="18"/>
                    </w:rPr>
                  </w:pPr>
                </w:p>
              </w:tc>
              <w:tc>
                <w:tcPr>
                  <w:tcW w:w="626" w:type="dxa"/>
                  <w:vMerge w:val="continue"/>
                  <w:vAlign w:val="center"/>
                </w:tcPr>
                <w:p w14:paraId="51F4FC70">
                  <w:pPr>
                    <w:jc w:val="center"/>
                    <w:rPr>
                      <w:sz w:val="18"/>
                      <w:szCs w:val="18"/>
                    </w:rPr>
                  </w:pPr>
                </w:p>
              </w:tc>
              <w:tc>
                <w:tcPr>
                  <w:tcW w:w="1032" w:type="dxa"/>
                  <w:vMerge w:val="continue"/>
                  <w:noWrap/>
                  <w:tcMar>
                    <w:top w:w="15" w:type="dxa"/>
                    <w:left w:w="15" w:type="dxa"/>
                    <w:right w:w="15" w:type="dxa"/>
                  </w:tcMar>
                  <w:vAlign w:val="center"/>
                </w:tcPr>
                <w:p w14:paraId="3E85411C">
                  <w:pPr>
                    <w:jc w:val="center"/>
                    <w:rPr>
                      <w:sz w:val="18"/>
                      <w:szCs w:val="18"/>
                    </w:rPr>
                  </w:pPr>
                </w:p>
              </w:tc>
              <w:tc>
                <w:tcPr>
                  <w:tcW w:w="721" w:type="dxa"/>
                  <w:noWrap/>
                  <w:tcMar>
                    <w:top w:w="15" w:type="dxa"/>
                    <w:left w:w="15" w:type="dxa"/>
                    <w:right w:w="15" w:type="dxa"/>
                  </w:tcMar>
                  <w:vAlign w:val="center"/>
                </w:tcPr>
                <w:p w14:paraId="191FA2A5">
                  <w:pPr>
                    <w:jc w:val="center"/>
                    <w:rPr>
                      <w:b/>
                      <w:kern w:val="0"/>
                      <w:sz w:val="18"/>
                      <w:szCs w:val="18"/>
                    </w:rPr>
                  </w:pPr>
                  <w:r>
                    <w:rPr>
                      <w:b/>
                      <w:kern w:val="0"/>
                      <w:sz w:val="18"/>
                      <w:szCs w:val="18"/>
                      <w:lang w:bidi="ar"/>
                    </w:rPr>
                    <w:t>核算方法</w:t>
                  </w:r>
                </w:p>
              </w:tc>
              <w:tc>
                <w:tcPr>
                  <w:tcW w:w="994" w:type="dxa"/>
                  <w:noWrap/>
                  <w:tcMar>
                    <w:top w:w="15" w:type="dxa"/>
                    <w:left w:w="15" w:type="dxa"/>
                    <w:right w:w="15" w:type="dxa"/>
                  </w:tcMar>
                  <w:vAlign w:val="center"/>
                </w:tcPr>
                <w:p w14:paraId="6DAF54C0">
                  <w:pPr>
                    <w:jc w:val="center"/>
                    <w:rPr>
                      <w:b/>
                      <w:kern w:val="0"/>
                      <w:sz w:val="18"/>
                      <w:szCs w:val="18"/>
                    </w:rPr>
                  </w:pPr>
                  <w:r>
                    <w:rPr>
                      <w:rFonts w:hint="eastAsia"/>
                      <w:b/>
                      <w:kern w:val="0"/>
                      <w:sz w:val="18"/>
                      <w:szCs w:val="18"/>
                      <w:lang w:bidi="ar"/>
                    </w:rPr>
                    <w:t>单台</w:t>
                  </w:r>
                  <w:r>
                    <w:rPr>
                      <w:b/>
                      <w:kern w:val="0"/>
                      <w:sz w:val="18"/>
                      <w:szCs w:val="18"/>
                      <w:lang w:bidi="ar"/>
                    </w:rPr>
                    <w:t>噪声值/dB(A)</w:t>
                  </w:r>
                </w:p>
              </w:tc>
              <w:tc>
                <w:tcPr>
                  <w:tcW w:w="947" w:type="dxa"/>
                  <w:noWrap/>
                  <w:tcMar>
                    <w:top w:w="15" w:type="dxa"/>
                    <w:left w:w="15" w:type="dxa"/>
                    <w:right w:w="15" w:type="dxa"/>
                  </w:tcMar>
                  <w:vAlign w:val="center"/>
                </w:tcPr>
                <w:p w14:paraId="7A534E85">
                  <w:pPr>
                    <w:jc w:val="center"/>
                    <w:rPr>
                      <w:b/>
                      <w:kern w:val="0"/>
                      <w:sz w:val="18"/>
                      <w:szCs w:val="18"/>
                    </w:rPr>
                  </w:pPr>
                  <w:r>
                    <w:rPr>
                      <w:b/>
                      <w:kern w:val="0"/>
                      <w:sz w:val="18"/>
                      <w:szCs w:val="18"/>
                      <w:lang w:bidi="ar"/>
                    </w:rPr>
                    <w:t>工艺</w:t>
                  </w:r>
                </w:p>
              </w:tc>
              <w:tc>
                <w:tcPr>
                  <w:tcW w:w="959" w:type="dxa"/>
                  <w:noWrap/>
                  <w:tcMar>
                    <w:top w:w="15" w:type="dxa"/>
                    <w:left w:w="15" w:type="dxa"/>
                    <w:right w:w="15" w:type="dxa"/>
                  </w:tcMar>
                  <w:vAlign w:val="center"/>
                </w:tcPr>
                <w:p w14:paraId="68F83F6C">
                  <w:pPr>
                    <w:jc w:val="center"/>
                    <w:rPr>
                      <w:b/>
                      <w:kern w:val="0"/>
                      <w:sz w:val="18"/>
                      <w:szCs w:val="18"/>
                    </w:rPr>
                  </w:pPr>
                  <w:r>
                    <w:rPr>
                      <w:b/>
                      <w:kern w:val="0"/>
                      <w:sz w:val="18"/>
                      <w:szCs w:val="18"/>
                      <w:lang w:bidi="ar"/>
                    </w:rPr>
                    <w:t>降噪效果/dB(A)</w:t>
                  </w:r>
                </w:p>
              </w:tc>
              <w:tc>
                <w:tcPr>
                  <w:tcW w:w="1014" w:type="dxa"/>
                  <w:vMerge w:val="continue"/>
                  <w:noWrap/>
                  <w:tcMar>
                    <w:top w:w="15" w:type="dxa"/>
                    <w:left w:w="15" w:type="dxa"/>
                    <w:right w:w="15" w:type="dxa"/>
                  </w:tcMar>
                  <w:vAlign w:val="center"/>
                </w:tcPr>
                <w:p w14:paraId="16A5FCDC">
                  <w:pPr>
                    <w:jc w:val="center"/>
                    <w:rPr>
                      <w:b/>
                      <w:kern w:val="0"/>
                      <w:sz w:val="18"/>
                      <w:szCs w:val="18"/>
                    </w:rPr>
                  </w:pPr>
                </w:p>
              </w:tc>
              <w:tc>
                <w:tcPr>
                  <w:tcW w:w="865" w:type="dxa"/>
                  <w:vMerge w:val="continue"/>
                  <w:noWrap/>
                  <w:tcMar>
                    <w:top w:w="15" w:type="dxa"/>
                    <w:left w:w="15" w:type="dxa"/>
                    <w:right w:w="15" w:type="dxa"/>
                  </w:tcMar>
                  <w:vAlign w:val="center"/>
                </w:tcPr>
                <w:p w14:paraId="78E2499A">
                  <w:pPr>
                    <w:jc w:val="center"/>
                    <w:rPr>
                      <w:sz w:val="18"/>
                      <w:szCs w:val="18"/>
                    </w:rPr>
                  </w:pPr>
                </w:p>
              </w:tc>
            </w:tr>
            <w:tr w14:paraId="6C512C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80" w:hRule="atLeast"/>
                <w:jc w:val="center"/>
              </w:trPr>
              <w:tc>
                <w:tcPr>
                  <w:tcW w:w="941" w:type="dxa"/>
                  <w:noWrap/>
                  <w:tcMar>
                    <w:top w:w="15" w:type="dxa"/>
                    <w:left w:w="15" w:type="dxa"/>
                    <w:right w:w="15" w:type="dxa"/>
                  </w:tcMar>
                  <w:vAlign w:val="center"/>
                </w:tcPr>
                <w:p w14:paraId="4248DD77">
                  <w:pPr>
                    <w:jc w:val="center"/>
                    <w:rPr>
                      <w:bCs/>
                      <w:sz w:val="18"/>
                      <w:szCs w:val="18"/>
                    </w:rPr>
                  </w:pPr>
                  <w:r>
                    <w:rPr>
                      <w:rFonts w:hint="eastAsia"/>
                      <w:bCs/>
                      <w:sz w:val="18"/>
                      <w:szCs w:val="18"/>
                    </w:rPr>
                    <w:t>北侧研发检测车间</w:t>
                  </w:r>
                </w:p>
              </w:tc>
              <w:tc>
                <w:tcPr>
                  <w:tcW w:w="719" w:type="dxa"/>
                  <w:noWrap/>
                  <w:tcMar>
                    <w:top w:w="15" w:type="dxa"/>
                    <w:left w:w="15" w:type="dxa"/>
                    <w:right w:w="15" w:type="dxa"/>
                  </w:tcMar>
                  <w:vAlign w:val="center"/>
                </w:tcPr>
                <w:p w14:paraId="006501BD">
                  <w:pPr>
                    <w:snapToGrid w:val="0"/>
                    <w:spacing w:line="240" w:lineRule="atLeast"/>
                    <w:jc w:val="center"/>
                    <w:rPr>
                      <w:sz w:val="18"/>
                      <w:szCs w:val="18"/>
                    </w:rPr>
                  </w:pPr>
                  <w:r>
                    <w:rPr>
                      <w:rFonts w:hint="eastAsia"/>
                      <w:sz w:val="18"/>
                      <w:szCs w:val="18"/>
                    </w:rPr>
                    <w:t>通风橱</w:t>
                  </w:r>
                </w:p>
              </w:tc>
              <w:tc>
                <w:tcPr>
                  <w:tcW w:w="626" w:type="dxa"/>
                  <w:vAlign w:val="center"/>
                </w:tcPr>
                <w:p w14:paraId="3E006B87">
                  <w:pPr>
                    <w:jc w:val="center"/>
                    <w:rPr>
                      <w:bCs/>
                      <w:kern w:val="0"/>
                      <w:sz w:val="18"/>
                      <w:szCs w:val="18"/>
                    </w:rPr>
                  </w:pPr>
                  <w:r>
                    <w:rPr>
                      <w:rFonts w:hint="eastAsia"/>
                      <w:bCs/>
                      <w:kern w:val="0"/>
                      <w:sz w:val="18"/>
                      <w:szCs w:val="18"/>
                    </w:rPr>
                    <w:t>6</w:t>
                  </w:r>
                </w:p>
              </w:tc>
              <w:tc>
                <w:tcPr>
                  <w:tcW w:w="1032" w:type="dxa"/>
                  <w:noWrap/>
                  <w:tcMar>
                    <w:top w:w="15" w:type="dxa"/>
                    <w:left w:w="15" w:type="dxa"/>
                    <w:right w:w="15" w:type="dxa"/>
                  </w:tcMar>
                  <w:vAlign w:val="center"/>
                </w:tcPr>
                <w:p w14:paraId="3129F8E8">
                  <w:pPr>
                    <w:jc w:val="center"/>
                    <w:rPr>
                      <w:bCs/>
                      <w:kern w:val="0"/>
                      <w:sz w:val="18"/>
                      <w:szCs w:val="18"/>
                    </w:rPr>
                  </w:pPr>
                  <w:r>
                    <w:rPr>
                      <w:rFonts w:hint="eastAsia"/>
                      <w:bCs/>
                      <w:kern w:val="0"/>
                      <w:sz w:val="18"/>
                      <w:szCs w:val="18"/>
                    </w:rPr>
                    <w:t>频发</w:t>
                  </w:r>
                </w:p>
              </w:tc>
              <w:tc>
                <w:tcPr>
                  <w:tcW w:w="721" w:type="dxa"/>
                  <w:noWrap/>
                  <w:tcMar>
                    <w:top w:w="15" w:type="dxa"/>
                    <w:left w:w="15" w:type="dxa"/>
                    <w:right w:w="15" w:type="dxa"/>
                  </w:tcMar>
                  <w:vAlign w:val="center"/>
                </w:tcPr>
                <w:p w14:paraId="323E9C7F">
                  <w:pPr>
                    <w:jc w:val="center"/>
                    <w:rPr>
                      <w:bCs/>
                      <w:kern w:val="0"/>
                      <w:sz w:val="18"/>
                      <w:szCs w:val="18"/>
                    </w:rPr>
                  </w:pPr>
                  <w:r>
                    <w:rPr>
                      <w:bCs/>
                      <w:kern w:val="0"/>
                      <w:sz w:val="18"/>
                      <w:szCs w:val="18"/>
                    </w:rPr>
                    <w:t>类比</w:t>
                  </w:r>
                </w:p>
              </w:tc>
              <w:tc>
                <w:tcPr>
                  <w:tcW w:w="994" w:type="dxa"/>
                  <w:noWrap/>
                  <w:tcMar>
                    <w:top w:w="15" w:type="dxa"/>
                    <w:left w:w="15" w:type="dxa"/>
                    <w:right w:w="15" w:type="dxa"/>
                  </w:tcMar>
                  <w:vAlign w:val="center"/>
                </w:tcPr>
                <w:p w14:paraId="2706812A">
                  <w:pPr>
                    <w:snapToGrid w:val="0"/>
                    <w:spacing w:line="240" w:lineRule="atLeast"/>
                    <w:jc w:val="center"/>
                    <w:rPr>
                      <w:bCs/>
                      <w:kern w:val="0"/>
                      <w:sz w:val="18"/>
                      <w:szCs w:val="18"/>
                    </w:rPr>
                  </w:pPr>
                  <w:r>
                    <w:rPr>
                      <w:sz w:val="18"/>
                      <w:szCs w:val="18"/>
                    </w:rPr>
                    <w:t>8</w:t>
                  </w:r>
                  <w:r>
                    <w:rPr>
                      <w:rFonts w:hint="eastAsia"/>
                      <w:sz w:val="18"/>
                      <w:szCs w:val="18"/>
                    </w:rPr>
                    <w:t>0</w:t>
                  </w:r>
                </w:p>
              </w:tc>
              <w:tc>
                <w:tcPr>
                  <w:tcW w:w="947" w:type="dxa"/>
                  <w:noWrap/>
                  <w:tcMar>
                    <w:top w:w="15" w:type="dxa"/>
                    <w:left w:w="15" w:type="dxa"/>
                    <w:right w:w="15" w:type="dxa"/>
                  </w:tcMar>
                  <w:vAlign w:val="center"/>
                </w:tcPr>
                <w:p w14:paraId="3F95F79B">
                  <w:pPr>
                    <w:snapToGrid w:val="0"/>
                    <w:spacing w:line="240" w:lineRule="atLeast"/>
                    <w:jc w:val="center"/>
                    <w:rPr>
                      <w:bCs/>
                      <w:sz w:val="18"/>
                      <w:szCs w:val="18"/>
                    </w:rPr>
                  </w:pPr>
                  <w:r>
                    <w:rPr>
                      <w:rFonts w:hint="eastAsia"/>
                      <w:bCs/>
                      <w:sz w:val="18"/>
                      <w:szCs w:val="18"/>
                    </w:rPr>
                    <w:t>减震、厂房隔音</w:t>
                  </w:r>
                </w:p>
              </w:tc>
              <w:tc>
                <w:tcPr>
                  <w:tcW w:w="959" w:type="dxa"/>
                  <w:noWrap/>
                  <w:tcMar>
                    <w:top w:w="15" w:type="dxa"/>
                    <w:left w:w="15" w:type="dxa"/>
                    <w:right w:w="15" w:type="dxa"/>
                  </w:tcMar>
                  <w:vAlign w:val="center"/>
                </w:tcPr>
                <w:p w14:paraId="7748DCDB">
                  <w:pPr>
                    <w:snapToGrid w:val="0"/>
                    <w:spacing w:line="240" w:lineRule="atLeast"/>
                    <w:jc w:val="center"/>
                    <w:rPr>
                      <w:bCs/>
                      <w:kern w:val="0"/>
                      <w:sz w:val="18"/>
                      <w:szCs w:val="18"/>
                    </w:rPr>
                  </w:pPr>
                  <w:r>
                    <w:rPr>
                      <w:rFonts w:hint="eastAsia"/>
                      <w:bCs/>
                      <w:sz w:val="18"/>
                      <w:szCs w:val="18"/>
                    </w:rPr>
                    <w:t>-5</w:t>
                  </w:r>
                </w:p>
              </w:tc>
              <w:tc>
                <w:tcPr>
                  <w:tcW w:w="1014" w:type="dxa"/>
                  <w:noWrap/>
                  <w:tcMar>
                    <w:top w:w="15" w:type="dxa"/>
                    <w:left w:w="15" w:type="dxa"/>
                    <w:right w:w="15" w:type="dxa"/>
                  </w:tcMar>
                  <w:vAlign w:val="center"/>
                </w:tcPr>
                <w:p w14:paraId="414DBECF">
                  <w:pPr>
                    <w:widowControl/>
                    <w:jc w:val="center"/>
                    <w:textAlignment w:val="center"/>
                    <w:rPr>
                      <w:kern w:val="0"/>
                      <w:sz w:val="18"/>
                      <w:szCs w:val="18"/>
                      <w:lang w:bidi="ar"/>
                    </w:rPr>
                  </w:pPr>
                  <w:r>
                    <w:rPr>
                      <w:rFonts w:hint="eastAsia"/>
                      <w:sz w:val="18"/>
                      <w:szCs w:val="18"/>
                    </w:rPr>
                    <w:t>75</w:t>
                  </w:r>
                </w:p>
              </w:tc>
              <w:tc>
                <w:tcPr>
                  <w:tcW w:w="865" w:type="dxa"/>
                  <w:noWrap/>
                  <w:tcMar>
                    <w:top w:w="15" w:type="dxa"/>
                    <w:left w:w="15" w:type="dxa"/>
                    <w:right w:w="15" w:type="dxa"/>
                  </w:tcMar>
                  <w:vAlign w:val="center"/>
                </w:tcPr>
                <w:p w14:paraId="5E9DF1C6">
                  <w:pPr>
                    <w:snapToGrid w:val="0"/>
                    <w:spacing w:line="240" w:lineRule="atLeast"/>
                    <w:jc w:val="center"/>
                    <w:rPr>
                      <w:bCs/>
                      <w:kern w:val="0"/>
                      <w:sz w:val="18"/>
                      <w:szCs w:val="18"/>
                    </w:rPr>
                  </w:pPr>
                  <w:r>
                    <w:rPr>
                      <w:rFonts w:hint="eastAsia"/>
                      <w:bCs/>
                      <w:kern w:val="0"/>
                      <w:sz w:val="18"/>
                      <w:szCs w:val="18"/>
                    </w:rPr>
                    <w:t>8</w:t>
                  </w:r>
                </w:p>
              </w:tc>
            </w:tr>
            <w:tr w14:paraId="1217A6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70" w:hRule="atLeast"/>
                <w:jc w:val="center"/>
              </w:trPr>
              <w:tc>
                <w:tcPr>
                  <w:tcW w:w="941" w:type="dxa"/>
                  <w:vMerge w:val="restart"/>
                  <w:noWrap/>
                  <w:tcMar>
                    <w:top w:w="15" w:type="dxa"/>
                    <w:left w:w="15" w:type="dxa"/>
                    <w:right w:w="15" w:type="dxa"/>
                  </w:tcMar>
                  <w:vAlign w:val="center"/>
                </w:tcPr>
                <w:p w14:paraId="011E1524">
                  <w:pPr>
                    <w:jc w:val="center"/>
                    <w:rPr>
                      <w:bCs/>
                      <w:sz w:val="18"/>
                      <w:szCs w:val="18"/>
                    </w:rPr>
                  </w:pPr>
                  <w:r>
                    <w:rPr>
                      <w:rFonts w:hint="eastAsia"/>
                      <w:bCs/>
                      <w:sz w:val="18"/>
                      <w:szCs w:val="18"/>
                    </w:rPr>
                    <w:t>废气处理</w:t>
                  </w:r>
                </w:p>
              </w:tc>
              <w:tc>
                <w:tcPr>
                  <w:tcW w:w="719" w:type="dxa"/>
                  <w:noWrap/>
                  <w:tcMar>
                    <w:top w:w="15" w:type="dxa"/>
                    <w:left w:w="15" w:type="dxa"/>
                    <w:right w:w="15" w:type="dxa"/>
                  </w:tcMar>
                  <w:vAlign w:val="center"/>
                </w:tcPr>
                <w:p w14:paraId="7A1DC756">
                  <w:pPr>
                    <w:snapToGrid w:val="0"/>
                    <w:spacing w:line="240" w:lineRule="atLeast"/>
                    <w:jc w:val="center"/>
                    <w:rPr>
                      <w:sz w:val="18"/>
                      <w:szCs w:val="18"/>
                    </w:rPr>
                  </w:pPr>
                  <w:r>
                    <w:rPr>
                      <w:rFonts w:hint="eastAsia"/>
                      <w:sz w:val="18"/>
                      <w:szCs w:val="18"/>
                    </w:rPr>
                    <w:t>风机1</w:t>
                  </w:r>
                </w:p>
              </w:tc>
              <w:tc>
                <w:tcPr>
                  <w:tcW w:w="626" w:type="dxa"/>
                  <w:vAlign w:val="center"/>
                </w:tcPr>
                <w:p w14:paraId="63753676">
                  <w:pPr>
                    <w:jc w:val="center"/>
                    <w:rPr>
                      <w:bCs/>
                      <w:kern w:val="0"/>
                      <w:sz w:val="18"/>
                      <w:szCs w:val="18"/>
                    </w:rPr>
                  </w:pPr>
                  <w:r>
                    <w:rPr>
                      <w:rFonts w:hint="eastAsia"/>
                      <w:bCs/>
                      <w:kern w:val="0"/>
                      <w:sz w:val="18"/>
                      <w:szCs w:val="18"/>
                    </w:rPr>
                    <w:t>1</w:t>
                  </w:r>
                </w:p>
              </w:tc>
              <w:tc>
                <w:tcPr>
                  <w:tcW w:w="1032" w:type="dxa"/>
                  <w:noWrap/>
                  <w:tcMar>
                    <w:top w:w="15" w:type="dxa"/>
                    <w:left w:w="15" w:type="dxa"/>
                    <w:right w:w="15" w:type="dxa"/>
                  </w:tcMar>
                  <w:vAlign w:val="center"/>
                </w:tcPr>
                <w:p w14:paraId="22B73ACA">
                  <w:pPr>
                    <w:jc w:val="center"/>
                    <w:rPr>
                      <w:bCs/>
                      <w:kern w:val="0"/>
                      <w:sz w:val="18"/>
                      <w:szCs w:val="18"/>
                    </w:rPr>
                  </w:pPr>
                  <w:r>
                    <w:rPr>
                      <w:rFonts w:hint="eastAsia"/>
                      <w:bCs/>
                      <w:kern w:val="0"/>
                      <w:sz w:val="18"/>
                      <w:szCs w:val="18"/>
                    </w:rPr>
                    <w:t>频发</w:t>
                  </w:r>
                </w:p>
              </w:tc>
              <w:tc>
                <w:tcPr>
                  <w:tcW w:w="721" w:type="dxa"/>
                  <w:noWrap/>
                  <w:tcMar>
                    <w:top w:w="15" w:type="dxa"/>
                    <w:left w:w="15" w:type="dxa"/>
                    <w:right w:w="15" w:type="dxa"/>
                  </w:tcMar>
                  <w:vAlign w:val="center"/>
                </w:tcPr>
                <w:p w14:paraId="6A571CC4">
                  <w:pPr>
                    <w:jc w:val="center"/>
                    <w:rPr>
                      <w:bCs/>
                      <w:kern w:val="0"/>
                      <w:sz w:val="18"/>
                      <w:szCs w:val="18"/>
                    </w:rPr>
                  </w:pPr>
                  <w:r>
                    <w:rPr>
                      <w:bCs/>
                      <w:kern w:val="0"/>
                      <w:sz w:val="18"/>
                      <w:szCs w:val="18"/>
                    </w:rPr>
                    <w:t>类比</w:t>
                  </w:r>
                </w:p>
              </w:tc>
              <w:tc>
                <w:tcPr>
                  <w:tcW w:w="994" w:type="dxa"/>
                  <w:noWrap/>
                  <w:tcMar>
                    <w:top w:w="15" w:type="dxa"/>
                    <w:left w:w="15" w:type="dxa"/>
                    <w:right w:w="15" w:type="dxa"/>
                  </w:tcMar>
                  <w:vAlign w:val="center"/>
                </w:tcPr>
                <w:p w14:paraId="2AF76CB0">
                  <w:pPr>
                    <w:snapToGrid w:val="0"/>
                    <w:spacing w:line="240" w:lineRule="atLeast"/>
                    <w:jc w:val="center"/>
                    <w:rPr>
                      <w:sz w:val="18"/>
                      <w:szCs w:val="18"/>
                    </w:rPr>
                  </w:pPr>
                  <w:r>
                    <w:rPr>
                      <w:rFonts w:hint="eastAsia"/>
                      <w:sz w:val="18"/>
                      <w:szCs w:val="18"/>
                    </w:rPr>
                    <w:t>88</w:t>
                  </w:r>
                </w:p>
              </w:tc>
              <w:tc>
                <w:tcPr>
                  <w:tcW w:w="947" w:type="dxa"/>
                  <w:vMerge w:val="restart"/>
                  <w:noWrap/>
                  <w:tcMar>
                    <w:top w:w="15" w:type="dxa"/>
                    <w:left w:w="15" w:type="dxa"/>
                    <w:right w:w="15" w:type="dxa"/>
                  </w:tcMar>
                  <w:vAlign w:val="center"/>
                </w:tcPr>
                <w:p w14:paraId="71115B79">
                  <w:pPr>
                    <w:snapToGrid w:val="0"/>
                    <w:spacing w:line="240" w:lineRule="atLeast"/>
                    <w:jc w:val="center"/>
                    <w:rPr>
                      <w:bCs/>
                      <w:sz w:val="18"/>
                      <w:szCs w:val="18"/>
                    </w:rPr>
                  </w:pPr>
                  <w:r>
                    <w:rPr>
                      <w:rFonts w:hint="eastAsia"/>
                      <w:bCs/>
                      <w:sz w:val="18"/>
                      <w:szCs w:val="18"/>
                    </w:rPr>
                    <w:t>减震、润滑、消声、密闭隔声</w:t>
                  </w:r>
                </w:p>
              </w:tc>
              <w:tc>
                <w:tcPr>
                  <w:tcW w:w="959" w:type="dxa"/>
                  <w:noWrap/>
                  <w:tcMar>
                    <w:top w:w="15" w:type="dxa"/>
                    <w:left w:w="15" w:type="dxa"/>
                    <w:right w:w="15" w:type="dxa"/>
                  </w:tcMar>
                  <w:vAlign w:val="center"/>
                </w:tcPr>
                <w:p w14:paraId="41EF325C">
                  <w:pPr>
                    <w:snapToGrid w:val="0"/>
                    <w:spacing w:line="240" w:lineRule="atLeast"/>
                    <w:jc w:val="center"/>
                    <w:rPr>
                      <w:bCs/>
                      <w:sz w:val="18"/>
                      <w:szCs w:val="18"/>
                    </w:rPr>
                  </w:pPr>
                  <w:r>
                    <w:rPr>
                      <w:rFonts w:hint="eastAsia"/>
                      <w:bCs/>
                      <w:sz w:val="18"/>
                      <w:szCs w:val="18"/>
                    </w:rPr>
                    <w:t>-25</w:t>
                  </w:r>
                </w:p>
              </w:tc>
              <w:tc>
                <w:tcPr>
                  <w:tcW w:w="1014" w:type="dxa"/>
                  <w:noWrap/>
                  <w:tcMar>
                    <w:top w:w="15" w:type="dxa"/>
                    <w:left w:w="15" w:type="dxa"/>
                    <w:right w:w="15" w:type="dxa"/>
                  </w:tcMar>
                  <w:vAlign w:val="center"/>
                </w:tcPr>
                <w:p w14:paraId="106BC193">
                  <w:pPr>
                    <w:widowControl/>
                    <w:jc w:val="center"/>
                    <w:textAlignment w:val="center"/>
                    <w:rPr>
                      <w:sz w:val="18"/>
                      <w:szCs w:val="18"/>
                    </w:rPr>
                  </w:pPr>
                  <w:r>
                    <w:rPr>
                      <w:rFonts w:hint="eastAsia"/>
                      <w:sz w:val="18"/>
                      <w:szCs w:val="18"/>
                    </w:rPr>
                    <w:t>63</w:t>
                  </w:r>
                </w:p>
              </w:tc>
              <w:tc>
                <w:tcPr>
                  <w:tcW w:w="865" w:type="dxa"/>
                  <w:noWrap/>
                  <w:tcMar>
                    <w:top w:w="15" w:type="dxa"/>
                    <w:left w:w="15" w:type="dxa"/>
                    <w:right w:w="15" w:type="dxa"/>
                  </w:tcMar>
                  <w:vAlign w:val="center"/>
                </w:tcPr>
                <w:p w14:paraId="10EDE931">
                  <w:pPr>
                    <w:snapToGrid w:val="0"/>
                    <w:spacing w:line="240" w:lineRule="atLeast"/>
                    <w:jc w:val="center"/>
                    <w:rPr>
                      <w:bCs/>
                      <w:kern w:val="0"/>
                      <w:sz w:val="18"/>
                      <w:szCs w:val="18"/>
                    </w:rPr>
                  </w:pPr>
                  <w:r>
                    <w:rPr>
                      <w:rFonts w:hint="eastAsia"/>
                      <w:bCs/>
                      <w:kern w:val="0"/>
                      <w:sz w:val="18"/>
                      <w:szCs w:val="18"/>
                    </w:rPr>
                    <w:t>8</w:t>
                  </w:r>
                </w:p>
              </w:tc>
            </w:tr>
            <w:tr w14:paraId="2CF1B1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80" w:hRule="atLeast"/>
                <w:jc w:val="center"/>
              </w:trPr>
              <w:tc>
                <w:tcPr>
                  <w:tcW w:w="941" w:type="dxa"/>
                  <w:vMerge w:val="continue"/>
                  <w:noWrap/>
                  <w:tcMar>
                    <w:top w:w="15" w:type="dxa"/>
                    <w:left w:w="15" w:type="dxa"/>
                    <w:right w:w="15" w:type="dxa"/>
                  </w:tcMar>
                  <w:vAlign w:val="center"/>
                </w:tcPr>
                <w:p w14:paraId="305CB647">
                  <w:pPr>
                    <w:jc w:val="center"/>
                    <w:rPr>
                      <w:bCs/>
                      <w:sz w:val="18"/>
                      <w:szCs w:val="18"/>
                    </w:rPr>
                  </w:pPr>
                </w:p>
              </w:tc>
              <w:tc>
                <w:tcPr>
                  <w:tcW w:w="719" w:type="dxa"/>
                  <w:noWrap/>
                  <w:tcMar>
                    <w:top w:w="15" w:type="dxa"/>
                    <w:left w:w="15" w:type="dxa"/>
                    <w:right w:w="15" w:type="dxa"/>
                  </w:tcMar>
                  <w:vAlign w:val="center"/>
                </w:tcPr>
                <w:p w14:paraId="6FC999D5">
                  <w:pPr>
                    <w:snapToGrid w:val="0"/>
                    <w:spacing w:line="240" w:lineRule="atLeast"/>
                    <w:jc w:val="center"/>
                    <w:rPr>
                      <w:sz w:val="18"/>
                      <w:szCs w:val="18"/>
                    </w:rPr>
                  </w:pPr>
                  <w:r>
                    <w:rPr>
                      <w:rFonts w:hint="eastAsia"/>
                      <w:sz w:val="18"/>
                      <w:szCs w:val="18"/>
                    </w:rPr>
                    <w:t>风机2</w:t>
                  </w:r>
                </w:p>
              </w:tc>
              <w:tc>
                <w:tcPr>
                  <w:tcW w:w="626" w:type="dxa"/>
                  <w:vAlign w:val="center"/>
                </w:tcPr>
                <w:p w14:paraId="241F6AA1">
                  <w:pPr>
                    <w:jc w:val="center"/>
                    <w:rPr>
                      <w:bCs/>
                      <w:kern w:val="0"/>
                      <w:sz w:val="18"/>
                      <w:szCs w:val="18"/>
                    </w:rPr>
                  </w:pPr>
                  <w:r>
                    <w:rPr>
                      <w:rFonts w:hint="eastAsia"/>
                      <w:bCs/>
                      <w:kern w:val="0"/>
                      <w:sz w:val="18"/>
                      <w:szCs w:val="18"/>
                    </w:rPr>
                    <w:t>1</w:t>
                  </w:r>
                </w:p>
              </w:tc>
              <w:tc>
                <w:tcPr>
                  <w:tcW w:w="1032" w:type="dxa"/>
                  <w:noWrap/>
                  <w:tcMar>
                    <w:top w:w="15" w:type="dxa"/>
                    <w:left w:w="15" w:type="dxa"/>
                    <w:right w:w="15" w:type="dxa"/>
                  </w:tcMar>
                  <w:vAlign w:val="center"/>
                </w:tcPr>
                <w:p w14:paraId="644A6BD7">
                  <w:pPr>
                    <w:jc w:val="center"/>
                    <w:rPr>
                      <w:bCs/>
                      <w:kern w:val="0"/>
                      <w:sz w:val="18"/>
                      <w:szCs w:val="18"/>
                    </w:rPr>
                  </w:pPr>
                  <w:r>
                    <w:rPr>
                      <w:rFonts w:hint="eastAsia"/>
                      <w:bCs/>
                      <w:kern w:val="0"/>
                      <w:sz w:val="18"/>
                      <w:szCs w:val="18"/>
                    </w:rPr>
                    <w:t>频发</w:t>
                  </w:r>
                </w:p>
              </w:tc>
              <w:tc>
                <w:tcPr>
                  <w:tcW w:w="721" w:type="dxa"/>
                  <w:noWrap/>
                  <w:tcMar>
                    <w:top w:w="15" w:type="dxa"/>
                    <w:left w:w="15" w:type="dxa"/>
                    <w:right w:w="15" w:type="dxa"/>
                  </w:tcMar>
                  <w:vAlign w:val="center"/>
                </w:tcPr>
                <w:p w14:paraId="161810A4">
                  <w:pPr>
                    <w:jc w:val="center"/>
                    <w:rPr>
                      <w:bCs/>
                      <w:kern w:val="0"/>
                      <w:sz w:val="18"/>
                      <w:szCs w:val="18"/>
                    </w:rPr>
                  </w:pPr>
                  <w:r>
                    <w:rPr>
                      <w:bCs/>
                      <w:kern w:val="0"/>
                      <w:sz w:val="18"/>
                      <w:szCs w:val="18"/>
                    </w:rPr>
                    <w:t>类比</w:t>
                  </w:r>
                </w:p>
              </w:tc>
              <w:tc>
                <w:tcPr>
                  <w:tcW w:w="994" w:type="dxa"/>
                  <w:noWrap/>
                  <w:tcMar>
                    <w:top w:w="15" w:type="dxa"/>
                    <w:left w:w="15" w:type="dxa"/>
                    <w:right w:w="15" w:type="dxa"/>
                  </w:tcMar>
                  <w:vAlign w:val="center"/>
                </w:tcPr>
                <w:p w14:paraId="34432EE2">
                  <w:pPr>
                    <w:snapToGrid w:val="0"/>
                    <w:spacing w:line="240" w:lineRule="atLeast"/>
                    <w:jc w:val="center"/>
                    <w:rPr>
                      <w:sz w:val="18"/>
                      <w:szCs w:val="18"/>
                    </w:rPr>
                  </w:pPr>
                  <w:r>
                    <w:rPr>
                      <w:rFonts w:hint="eastAsia"/>
                      <w:sz w:val="18"/>
                      <w:szCs w:val="18"/>
                    </w:rPr>
                    <w:t>85</w:t>
                  </w:r>
                </w:p>
              </w:tc>
              <w:tc>
                <w:tcPr>
                  <w:tcW w:w="947" w:type="dxa"/>
                  <w:vMerge w:val="continue"/>
                  <w:noWrap/>
                  <w:tcMar>
                    <w:top w:w="15" w:type="dxa"/>
                    <w:left w:w="15" w:type="dxa"/>
                    <w:right w:w="15" w:type="dxa"/>
                  </w:tcMar>
                  <w:vAlign w:val="center"/>
                </w:tcPr>
                <w:p w14:paraId="106A5CA3">
                  <w:pPr>
                    <w:snapToGrid w:val="0"/>
                    <w:spacing w:line="240" w:lineRule="atLeast"/>
                    <w:jc w:val="center"/>
                    <w:rPr>
                      <w:bCs/>
                      <w:sz w:val="18"/>
                      <w:szCs w:val="18"/>
                    </w:rPr>
                  </w:pPr>
                </w:p>
              </w:tc>
              <w:tc>
                <w:tcPr>
                  <w:tcW w:w="959" w:type="dxa"/>
                  <w:noWrap/>
                  <w:tcMar>
                    <w:top w:w="15" w:type="dxa"/>
                    <w:left w:w="15" w:type="dxa"/>
                    <w:right w:w="15" w:type="dxa"/>
                  </w:tcMar>
                  <w:vAlign w:val="center"/>
                </w:tcPr>
                <w:p w14:paraId="5B708618">
                  <w:pPr>
                    <w:snapToGrid w:val="0"/>
                    <w:spacing w:line="240" w:lineRule="atLeast"/>
                    <w:jc w:val="center"/>
                    <w:rPr>
                      <w:bCs/>
                      <w:sz w:val="18"/>
                      <w:szCs w:val="18"/>
                    </w:rPr>
                  </w:pPr>
                  <w:r>
                    <w:rPr>
                      <w:rFonts w:hint="eastAsia"/>
                      <w:bCs/>
                      <w:sz w:val="18"/>
                      <w:szCs w:val="18"/>
                    </w:rPr>
                    <w:t>-25</w:t>
                  </w:r>
                </w:p>
              </w:tc>
              <w:tc>
                <w:tcPr>
                  <w:tcW w:w="1014" w:type="dxa"/>
                  <w:noWrap/>
                  <w:tcMar>
                    <w:top w:w="15" w:type="dxa"/>
                    <w:left w:w="15" w:type="dxa"/>
                    <w:right w:w="15" w:type="dxa"/>
                  </w:tcMar>
                  <w:vAlign w:val="center"/>
                </w:tcPr>
                <w:p w14:paraId="06D53F5B">
                  <w:pPr>
                    <w:widowControl/>
                    <w:jc w:val="center"/>
                    <w:textAlignment w:val="center"/>
                    <w:rPr>
                      <w:sz w:val="18"/>
                      <w:szCs w:val="18"/>
                    </w:rPr>
                  </w:pPr>
                  <w:r>
                    <w:rPr>
                      <w:rFonts w:hint="eastAsia"/>
                      <w:sz w:val="18"/>
                      <w:szCs w:val="18"/>
                    </w:rPr>
                    <w:t>60</w:t>
                  </w:r>
                </w:p>
              </w:tc>
              <w:tc>
                <w:tcPr>
                  <w:tcW w:w="865" w:type="dxa"/>
                  <w:noWrap/>
                  <w:tcMar>
                    <w:top w:w="15" w:type="dxa"/>
                    <w:left w:w="15" w:type="dxa"/>
                    <w:right w:w="15" w:type="dxa"/>
                  </w:tcMar>
                  <w:vAlign w:val="center"/>
                </w:tcPr>
                <w:p w14:paraId="3DEC4A78">
                  <w:pPr>
                    <w:snapToGrid w:val="0"/>
                    <w:spacing w:line="240" w:lineRule="atLeast"/>
                    <w:jc w:val="center"/>
                    <w:rPr>
                      <w:bCs/>
                      <w:kern w:val="0"/>
                      <w:sz w:val="18"/>
                      <w:szCs w:val="18"/>
                    </w:rPr>
                  </w:pPr>
                  <w:r>
                    <w:rPr>
                      <w:rFonts w:hint="eastAsia"/>
                      <w:bCs/>
                      <w:kern w:val="0"/>
                      <w:sz w:val="18"/>
                      <w:szCs w:val="18"/>
                    </w:rPr>
                    <w:t>24</w:t>
                  </w:r>
                </w:p>
              </w:tc>
            </w:tr>
          </w:tbl>
          <w:p w14:paraId="59E7B2C2"/>
        </w:tc>
      </w:tr>
    </w:tbl>
    <w:p w14:paraId="4CBEB983">
      <w:pPr>
        <w:adjustRightInd w:val="0"/>
        <w:snapToGrid w:val="0"/>
        <w:spacing w:line="360" w:lineRule="auto"/>
        <w:rPr>
          <w:b/>
          <w:kern w:val="0"/>
          <w:sz w:val="28"/>
          <w:szCs w:val="28"/>
        </w:rPr>
        <w:sectPr>
          <w:pgSz w:w="11907" w:h="16840"/>
          <w:pgMar w:top="1417" w:right="1531" w:bottom="1417" w:left="1531" w:header="851" w:footer="851" w:gutter="0"/>
          <w:pgBorders>
            <w:top w:val="none" w:sz="0" w:space="0"/>
            <w:left w:val="none" w:sz="0" w:space="0"/>
            <w:bottom w:val="none" w:sz="0" w:space="0"/>
            <w:right w:val="none" w:sz="0" w:space="0"/>
          </w:pgBorders>
          <w:cols w:space="720" w:num="1"/>
          <w:docGrid w:linePitch="312" w:charSpace="0"/>
        </w:sectPr>
      </w:pPr>
      <w:bookmarkStart w:id="18" w:name="PageNo100590058"/>
    </w:p>
    <w:bookmarkEnd w:id="18"/>
    <w:p w14:paraId="4BDFAD82">
      <w:pPr>
        <w:adjustRightInd w:val="0"/>
        <w:snapToGrid w:val="0"/>
        <w:spacing w:line="500" w:lineRule="exact"/>
        <w:jc w:val="center"/>
        <w:rPr>
          <w:b/>
          <w:szCs w:val="21"/>
          <w:lang w:bidi="ar"/>
        </w:rPr>
      </w:pPr>
      <w:bookmarkStart w:id="19" w:name="PageNo100600059"/>
      <w:r>
        <w:rPr>
          <w:b/>
          <w:szCs w:val="21"/>
        </w:rPr>
        <w:t>表</w:t>
      </w:r>
      <w:bookmarkEnd w:id="19"/>
      <w:r>
        <w:rPr>
          <w:b/>
          <w:szCs w:val="21"/>
        </w:rPr>
        <w:t>4-</w:t>
      </w:r>
      <w:r>
        <w:rPr>
          <w:rFonts w:hint="eastAsia"/>
          <w:b/>
          <w:szCs w:val="21"/>
          <w:lang w:val="en-US" w:eastAsia="zh-CN"/>
        </w:rPr>
        <w:t>20</w:t>
      </w:r>
      <w:r>
        <w:rPr>
          <w:b/>
          <w:szCs w:val="21"/>
        </w:rPr>
        <w:t xml:space="preserve"> </w:t>
      </w:r>
      <w:r>
        <w:rPr>
          <w:rFonts w:hint="eastAsia"/>
          <w:b/>
          <w:szCs w:val="21"/>
        </w:rPr>
        <w:t>主要室内声源</w:t>
      </w:r>
      <w:r>
        <w:rPr>
          <w:b/>
          <w:szCs w:val="21"/>
        </w:rPr>
        <w:t>噪声源强调查清单</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299"/>
        <w:gridCol w:w="551"/>
        <w:gridCol w:w="727"/>
        <w:gridCol w:w="786"/>
        <w:gridCol w:w="835"/>
        <w:gridCol w:w="541"/>
        <w:gridCol w:w="512"/>
        <w:gridCol w:w="512"/>
        <w:gridCol w:w="512"/>
        <w:gridCol w:w="512"/>
        <w:gridCol w:w="512"/>
        <w:gridCol w:w="512"/>
        <w:gridCol w:w="512"/>
        <w:gridCol w:w="512"/>
        <w:gridCol w:w="512"/>
        <w:gridCol w:w="512"/>
        <w:gridCol w:w="512"/>
        <w:gridCol w:w="627"/>
        <w:gridCol w:w="453"/>
        <w:gridCol w:w="453"/>
        <w:gridCol w:w="453"/>
        <w:gridCol w:w="455"/>
        <w:gridCol w:w="453"/>
        <w:gridCol w:w="453"/>
        <w:gridCol w:w="453"/>
        <w:gridCol w:w="453"/>
        <w:gridCol w:w="434"/>
      </w:tblGrid>
      <w:tr w14:paraId="2EF83F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99" w:type="dxa"/>
            <w:vMerge w:val="restart"/>
            <w:vAlign w:val="center"/>
          </w:tcPr>
          <w:p w14:paraId="5F1022AD">
            <w:pPr>
              <w:adjustRightInd w:val="0"/>
              <w:snapToGrid w:val="0"/>
              <w:jc w:val="center"/>
              <w:rPr>
                <w:b/>
                <w:bCs/>
                <w:sz w:val="18"/>
                <w:szCs w:val="18"/>
              </w:rPr>
            </w:pPr>
            <w:r>
              <w:rPr>
                <w:b/>
                <w:bCs/>
                <w:sz w:val="18"/>
                <w:szCs w:val="18"/>
              </w:rPr>
              <w:t>序号</w:t>
            </w:r>
          </w:p>
        </w:tc>
        <w:tc>
          <w:tcPr>
            <w:tcW w:w="551" w:type="dxa"/>
            <w:vMerge w:val="restart"/>
            <w:vAlign w:val="center"/>
          </w:tcPr>
          <w:p w14:paraId="090F2782">
            <w:pPr>
              <w:adjustRightInd w:val="0"/>
              <w:snapToGrid w:val="0"/>
              <w:jc w:val="center"/>
              <w:rPr>
                <w:b/>
                <w:bCs/>
                <w:sz w:val="18"/>
                <w:szCs w:val="18"/>
              </w:rPr>
            </w:pPr>
            <w:r>
              <w:rPr>
                <w:b/>
                <w:bCs/>
                <w:sz w:val="18"/>
                <w:szCs w:val="18"/>
              </w:rPr>
              <w:t>建筑物名称</w:t>
            </w:r>
          </w:p>
        </w:tc>
        <w:tc>
          <w:tcPr>
            <w:tcW w:w="727" w:type="dxa"/>
            <w:vMerge w:val="restart"/>
            <w:vAlign w:val="center"/>
          </w:tcPr>
          <w:p w14:paraId="256B65D8">
            <w:pPr>
              <w:adjustRightInd w:val="0"/>
              <w:snapToGrid w:val="0"/>
              <w:jc w:val="center"/>
              <w:rPr>
                <w:b/>
                <w:bCs/>
                <w:sz w:val="18"/>
                <w:szCs w:val="18"/>
              </w:rPr>
            </w:pPr>
            <w:r>
              <w:rPr>
                <w:b/>
                <w:bCs/>
                <w:sz w:val="18"/>
                <w:szCs w:val="18"/>
              </w:rPr>
              <w:t>声源名称</w:t>
            </w:r>
          </w:p>
        </w:tc>
        <w:tc>
          <w:tcPr>
            <w:tcW w:w="786" w:type="dxa"/>
            <w:vMerge w:val="restart"/>
            <w:vAlign w:val="center"/>
          </w:tcPr>
          <w:p w14:paraId="242ECB1D">
            <w:pPr>
              <w:adjustRightInd w:val="0"/>
              <w:snapToGrid w:val="0"/>
              <w:jc w:val="center"/>
              <w:rPr>
                <w:b/>
                <w:bCs/>
                <w:sz w:val="18"/>
                <w:szCs w:val="18"/>
              </w:rPr>
            </w:pPr>
            <w:r>
              <w:rPr>
                <w:b/>
                <w:bCs/>
                <w:sz w:val="18"/>
                <w:szCs w:val="18"/>
              </w:rPr>
              <w:t>型号</w:t>
            </w:r>
          </w:p>
        </w:tc>
        <w:tc>
          <w:tcPr>
            <w:tcW w:w="835" w:type="dxa"/>
            <w:vAlign w:val="center"/>
          </w:tcPr>
          <w:p w14:paraId="3232E17E">
            <w:pPr>
              <w:adjustRightInd w:val="0"/>
              <w:snapToGrid w:val="0"/>
              <w:jc w:val="center"/>
              <w:rPr>
                <w:b/>
                <w:bCs/>
                <w:sz w:val="18"/>
                <w:szCs w:val="18"/>
              </w:rPr>
            </w:pPr>
            <w:r>
              <w:rPr>
                <w:b/>
                <w:bCs/>
                <w:sz w:val="18"/>
                <w:szCs w:val="18"/>
              </w:rPr>
              <w:t>声源源强</w:t>
            </w:r>
          </w:p>
        </w:tc>
        <w:tc>
          <w:tcPr>
            <w:tcW w:w="541" w:type="dxa"/>
            <w:vMerge w:val="restart"/>
            <w:vAlign w:val="center"/>
          </w:tcPr>
          <w:p w14:paraId="65015CF6">
            <w:pPr>
              <w:adjustRightInd w:val="0"/>
              <w:snapToGrid w:val="0"/>
              <w:jc w:val="center"/>
              <w:rPr>
                <w:b/>
                <w:bCs/>
                <w:sz w:val="18"/>
                <w:szCs w:val="18"/>
              </w:rPr>
            </w:pPr>
            <w:r>
              <w:rPr>
                <w:b/>
                <w:bCs/>
                <w:sz w:val="18"/>
                <w:szCs w:val="18"/>
              </w:rPr>
              <w:t>声源控制措施</w:t>
            </w:r>
          </w:p>
        </w:tc>
        <w:tc>
          <w:tcPr>
            <w:tcW w:w="1536" w:type="dxa"/>
            <w:gridSpan w:val="3"/>
            <w:vAlign w:val="center"/>
          </w:tcPr>
          <w:p w14:paraId="0058406F">
            <w:pPr>
              <w:adjustRightInd w:val="0"/>
              <w:snapToGrid w:val="0"/>
              <w:jc w:val="center"/>
              <w:rPr>
                <w:b/>
                <w:bCs/>
                <w:sz w:val="18"/>
                <w:szCs w:val="18"/>
              </w:rPr>
            </w:pPr>
            <w:r>
              <w:rPr>
                <w:b/>
                <w:bCs/>
                <w:sz w:val="18"/>
                <w:szCs w:val="18"/>
              </w:rPr>
              <w:t>空间相对位置/m</w:t>
            </w:r>
          </w:p>
        </w:tc>
        <w:tc>
          <w:tcPr>
            <w:tcW w:w="2048" w:type="dxa"/>
            <w:gridSpan w:val="4"/>
            <w:vAlign w:val="center"/>
          </w:tcPr>
          <w:p w14:paraId="54AC877D">
            <w:pPr>
              <w:adjustRightInd w:val="0"/>
              <w:snapToGrid w:val="0"/>
              <w:jc w:val="center"/>
              <w:rPr>
                <w:b/>
                <w:bCs/>
                <w:sz w:val="18"/>
                <w:szCs w:val="18"/>
              </w:rPr>
            </w:pPr>
            <w:r>
              <w:rPr>
                <w:b/>
                <w:bCs/>
                <w:sz w:val="18"/>
                <w:szCs w:val="18"/>
              </w:rPr>
              <w:t>距室内边界距离/m</w:t>
            </w:r>
          </w:p>
        </w:tc>
        <w:tc>
          <w:tcPr>
            <w:tcW w:w="2048" w:type="dxa"/>
            <w:gridSpan w:val="4"/>
            <w:vAlign w:val="center"/>
          </w:tcPr>
          <w:p w14:paraId="79D6A3D8">
            <w:pPr>
              <w:adjustRightInd w:val="0"/>
              <w:snapToGrid w:val="0"/>
              <w:jc w:val="center"/>
              <w:rPr>
                <w:b/>
                <w:bCs/>
                <w:sz w:val="18"/>
                <w:szCs w:val="18"/>
              </w:rPr>
            </w:pPr>
            <w:r>
              <w:rPr>
                <w:b/>
                <w:bCs/>
                <w:sz w:val="18"/>
                <w:szCs w:val="18"/>
              </w:rPr>
              <w:t>室内边界声级/dB(A)</w:t>
            </w:r>
          </w:p>
        </w:tc>
        <w:tc>
          <w:tcPr>
            <w:tcW w:w="627" w:type="dxa"/>
            <w:vMerge w:val="restart"/>
            <w:vAlign w:val="center"/>
          </w:tcPr>
          <w:p w14:paraId="3A58911A">
            <w:pPr>
              <w:adjustRightInd w:val="0"/>
              <w:snapToGrid w:val="0"/>
              <w:jc w:val="center"/>
              <w:rPr>
                <w:b/>
                <w:bCs/>
                <w:sz w:val="18"/>
                <w:szCs w:val="18"/>
              </w:rPr>
            </w:pPr>
            <w:r>
              <w:rPr>
                <w:b/>
                <w:bCs/>
                <w:sz w:val="18"/>
                <w:szCs w:val="18"/>
              </w:rPr>
              <w:t>运行时段</w:t>
            </w:r>
          </w:p>
        </w:tc>
        <w:tc>
          <w:tcPr>
            <w:tcW w:w="1814" w:type="dxa"/>
            <w:gridSpan w:val="4"/>
            <w:vAlign w:val="center"/>
          </w:tcPr>
          <w:p w14:paraId="72C36131">
            <w:pPr>
              <w:adjustRightInd w:val="0"/>
              <w:snapToGrid w:val="0"/>
              <w:jc w:val="center"/>
              <w:rPr>
                <w:b/>
                <w:bCs/>
                <w:sz w:val="18"/>
                <w:szCs w:val="18"/>
              </w:rPr>
            </w:pPr>
            <w:r>
              <w:rPr>
                <w:b/>
                <w:bCs/>
                <w:sz w:val="18"/>
                <w:szCs w:val="18"/>
              </w:rPr>
              <w:t>建筑物插入损失/dB(A)</w:t>
            </w:r>
          </w:p>
        </w:tc>
        <w:tc>
          <w:tcPr>
            <w:tcW w:w="2246" w:type="dxa"/>
            <w:gridSpan w:val="5"/>
            <w:vAlign w:val="center"/>
          </w:tcPr>
          <w:p w14:paraId="4C749155">
            <w:pPr>
              <w:adjustRightInd w:val="0"/>
              <w:snapToGrid w:val="0"/>
              <w:jc w:val="center"/>
              <w:rPr>
                <w:b/>
                <w:bCs/>
                <w:sz w:val="18"/>
                <w:szCs w:val="18"/>
              </w:rPr>
            </w:pPr>
            <w:r>
              <w:rPr>
                <w:b/>
                <w:bCs/>
                <w:sz w:val="18"/>
                <w:szCs w:val="18"/>
              </w:rPr>
              <w:t>建筑物外噪声声压级/dB(A)</w:t>
            </w:r>
          </w:p>
        </w:tc>
      </w:tr>
      <w:tr w14:paraId="7F9967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99" w:type="dxa"/>
            <w:vMerge w:val="continue"/>
            <w:vAlign w:val="center"/>
          </w:tcPr>
          <w:p w14:paraId="04A9C2C3">
            <w:pPr>
              <w:widowControl/>
              <w:jc w:val="center"/>
              <w:rPr>
                <w:b/>
                <w:bCs/>
                <w:sz w:val="18"/>
                <w:szCs w:val="18"/>
              </w:rPr>
            </w:pPr>
          </w:p>
        </w:tc>
        <w:tc>
          <w:tcPr>
            <w:tcW w:w="551" w:type="dxa"/>
            <w:vMerge w:val="continue"/>
            <w:vAlign w:val="center"/>
          </w:tcPr>
          <w:p w14:paraId="7FA16676">
            <w:pPr>
              <w:widowControl/>
              <w:jc w:val="center"/>
              <w:rPr>
                <w:b/>
                <w:bCs/>
                <w:sz w:val="18"/>
                <w:szCs w:val="18"/>
              </w:rPr>
            </w:pPr>
          </w:p>
        </w:tc>
        <w:tc>
          <w:tcPr>
            <w:tcW w:w="727" w:type="dxa"/>
            <w:vMerge w:val="continue"/>
            <w:vAlign w:val="center"/>
          </w:tcPr>
          <w:p w14:paraId="6DE4C2D6">
            <w:pPr>
              <w:widowControl/>
              <w:jc w:val="center"/>
              <w:rPr>
                <w:b/>
                <w:bCs/>
                <w:sz w:val="18"/>
                <w:szCs w:val="18"/>
              </w:rPr>
            </w:pPr>
          </w:p>
        </w:tc>
        <w:tc>
          <w:tcPr>
            <w:tcW w:w="786" w:type="dxa"/>
            <w:vMerge w:val="continue"/>
            <w:vAlign w:val="center"/>
          </w:tcPr>
          <w:p w14:paraId="7C138340">
            <w:pPr>
              <w:widowControl/>
              <w:jc w:val="center"/>
              <w:rPr>
                <w:b/>
                <w:bCs/>
                <w:sz w:val="18"/>
                <w:szCs w:val="18"/>
              </w:rPr>
            </w:pPr>
          </w:p>
        </w:tc>
        <w:tc>
          <w:tcPr>
            <w:tcW w:w="835" w:type="dxa"/>
            <w:tcMar>
              <w:top w:w="0" w:type="dxa"/>
              <w:left w:w="0" w:type="dxa"/>
              <w:bottom w:w="0" w:type="dxa"/>
              <w:right w:w="0" w:type="dxa"/>
            </w:tcMar>
            <w:vAlign w:val="center"/>
          </w:tcPr>
          <w:p w14:paraId="139F23AA">
            <w:pPr>
              <w:adjustRightInd w:val="0"/>
              <w:snapToGrid w:val="0"/>
              <w:jc w:val="center"/>
              <w:rPr>
                <w:b/>
                <w:bCs/>
                <w:sz w:val="18"/>
                <w:szCs w:val="18"/>
              </w:rPr>
            </w:pPr>
            <w:r>
              <w:rPr>
                <w:b/>
                <w:bCs/>
                <w:sz w:val="18"/>
                <w:szCs w:val="18"/>
              </w:rPr>
              <w:t>声功率级/dB(A)</w:t>
            </w:r>
          </w:p>
        </w:tc>
        <w:tc>
          <w:tcPr>
            <w:tcW w:w="541" w:type="dxa"/>
            <w:vMerge w:val="continue"/>
            <w:vAlign w:val="center"/>
          </w:tcPr>
          <w:p w14:paraId="5B27FC82">
            <w:pPr>
              <w:widowControl/>
              <w:jc w:val="center"/>
              <w:rPr>
                <w:b/>
                <w:bCs/>
                <w:sz w:val="18"/>
                <w:szCs w:val="18"/>
              </w:rPr>
            </w:pPr>
          </w:p>
        </w:tc>
        <w:tc>
          <w:tcPr>
            <w:tcW w:w="512" w:type="dxa"/>
            <w:tcMar>
              <w:top w:w="0" w:type="dxa"/>
              <w:left w:w="0" w:type="dxa"/>
              <w:bottom w:w="0" w:type="dxa"/>
              <w:right w:w="0" w:type="dxa"/>
            </w:tcMar>
            <w:vAlign w:val="center"/>
          </w:tcPr>
          <w:p w14:paraId="280EF992">
            <w:pPr>
              <w:adjustRightInd w:val="0"/>
              <w:snapToGrid w:val="0"/>
              <w:jc w:val="center"/>
              <w:rPr>
                <w:b/>
                <w:bCs/>
                <w:sz w:val="18"/>
                <w:szCs w:val="18"/>
              </w:rPr>
            </w:pPr>
            <w:r>
              <w:rPr>
                <w:b/>
                <w:bCs/>
                <w:sz w:val="18"/>
                <w:szCs w:val="18"/>
              </w:rPr>
              <w:t>X</w:t>
            </w:r>
          </w:p>
        </w:tc>
        <w:tc>
          <w:tcPr>
            <w:tcW w:w="512" w:type="dxa"/>
            <w:tcMar>
              <w:top w:w="0" w:type="dxa"/>
              <w:left w:w="0" w:type="dxa"/>
              <w:bottom w:w="0" w:type="dxa"/>
              <w:right w:w="0" w:type="dxa"/>
            </w:tcMar>
            <w:vAlign w:val="center"/>
          </w:tcPr>
          <w:p w14:paraId="6189108E">
            <w:pPr>
              <w:adjustRightInd w:val="0"/>
              <w:snapToGrid w:val="0"/>
              <w:jc w:val="center"/>
              <w:rPr>
                <w:b/>
                <w:bCs/>
                <w:sz w:val="18"/>
                <w:szCs w:val="18"/>
              </w:rPr>
            </w:pPr>
            <w:r>
              <w:rPr>
                <w:b/>
                <w:bCs/>
                <w:sz w:val="18"/>
                <w:szCs w:val="18"/>
              </w:rPr>
              <w:t>Y</w:t>
            </w:r>
          </w:p>
        </w:tc>
        <w:tc>
          <w:tcPr>
            <w:tcW w:w="512" w:type="dxa"/>
            <w:tcMar>
              <w:top w:w="0" w:type="dxa"/>
              <w:left w:w="0" w:type="dxa"/>
              <w:bottom w:w="0" w:type="dxa"/>
              <w:right w:w="0" w:type="dxa"/>
            </w:tcMar>
            <w:vAlign w:val="center"/>
          </w:tcPr>
          <w:p w14:paraId="624D1277">
            <w:pPr>
              <w:adjustRightInd w:val="0"/>
              <w:snapToGrid w:val="0"/>
              <w:jc w:val="center"/>
              <w:rPr>
                <w:b/>
                <w:bCs/>
                <w:sz w:val="18"/>
                <w:szCs w:val="18"/>
              </w:rPr>
            </w:pPr>
            <w:r>
              <w:rPr>
                <w:b/>
                <w:bCs/>
                <w:sz w:val="18"/>
                <w:szCs w:val="18"/>
              </w:rPr>
              <w:t>Z</w:t>
            </w:r>
          </w:p>
        </w:tc>
        <w:tc>
          <w:tcPr>
            <w:tcW w:w="512" w:type="dxa"/>
            <w:tcMar>
              <w:top w:w="0" w:type="dxa"/>
              <w:left w:w="0" w:type="dxa"/>
              <w:bottom w:w="0" w:type="dxa"/>
              <w:right w:w="0" w:type="dxa"/>
            </w:tcMar>
            <w:vAlign w:val="center"/>
          </w:tcPr>
          <w:p w14:paraId="41CA5B3D">
            <w:pPr>
              <w:adjustRightInd w:val="0"/>
              <w:snapToGrid w:val="0"/>
              <w:jc w:val="center"/>
              <w:rPr>
                <w:b/>
                <w:bCs/>
                <w:sz w:val="18"/>
                <w:szCs w:val="18"/>
              </w:rPr>
            </w:pPr>
            <w:r>
              <w:rPr>
                <w:b/>
                <w:bCs/>
                <w:sz w:val="18"/>
                <w:szCs w:val="18"/>
              </w:rPr>
              <w:t>东</w:t>
            </w:r>
          </w:p>
        </w:tc>
        <w:tc>
          <w:tcPr>
            <w:tcW w:w="512" w:type="dxa"/>
            <w:tcMar>
              <w:top w:w="0" w:type="dxa"/>
              <w:left w:w="0" w:type="dxa"/>
              <w:bottom w:w="0" w:type="dxa"/>
              <w:right w:w="0" w:type="dxa"/>
            </w:tcMar>
            <w:vAlign w:val="center"/>
          </w:tcPr>
          <w:p w14:paraId="0B1AFE3E">
            <w:pPr>
              <w:adjustRightInd w:val="0"/>
              <w:snapToGrid w:val="0"/>
              <w:jc w:val="center"/>
              <w:rPr>
                <w:b/>
                <w:bCs/>
                <w:sz w:val="18"/>
                <w:szCs w:val="18"/>
              </w:rPr>
            </w:pPr>
            <w:r>
              <w:rPr>
                <w:b/>
                <w:bCs/>
                <w:sz w:val="18"/>
                <w:szCs w:val="18"/>
              </w:rPr>
              <w:t>南</w:t>
            </w:r>
          </w:p>
        </w:tc>
        <w:tc>
          <w:tcPr>
            <w:tcW w:w="512" w:type="dxa"/>
            <w:tcMar>
              <w:top w:w="0" w:type="dxa"/>
              <w:left w:w="0" w:type="dxa"/>
              <w:bottom w:w="0" w:type="dxa"/>
              <w:right w:w="0" w:type="dxa"/>
            </w:tcMar>
            <w:vAlign w:val="center"/>
          </w:tcPr>
          <w:p w14:paraId="25984427">
            <w:pPr>
              <w:adjustRightInd w:val="0"/>
              <w:snapToGrid w:val="0"/>
              <w:jc w:val="center"/>
              <w:rPr>
                <w:b/>
                <w:bCs/>
                <w:sz w:val="18"/>
                <w:szCs w:val="18"/>
              </w:rPr>
            </w:pPr>
            <w:r>
              <w:rPr>
                <w:b/>
                <w:bCs/>
                <w:sz w:val="18"/>
                <w:szCs w:val="18"/>
              </w:rPr>
              <w:t>西</w:t>
            </w:r>
          </w:p>
        </w:tc>
        <w:tc>
          <w:tcPr>
            <w:tcW w:w="512" w:type="dxa"/>
            <w:tcMar>
              <w:top w:w="0" w:type="dxa"/>
              <w:left w:w="0" w:type="dxa"/>
              <w:bottom w:w="0" w:type="dxa"/>
              <w:right w:w="0" w:type="dxa"/>
            </w:tcMar>
            <w:vAlign w:val="center"/>
          </w:tcPr>
          <w:p w14:paraId="5D7B4569">
            <w:pPr>
              <w:adjustRightInd w:val="0"/>
              <w:snapToGrid w:val="0"/>
              <w:jc w:val="center"/>
              <w:rPr>
                <w:b/>
                <w:bCs/>
                <w:sz w:val="18"/>
                <w:szCs w:val="18"/>
              </w:rPr>
            </w:pPr>
            <w:r>
              <w:rPr>
                <w:b/>
                <w:bCs/>
                <w:sz w:val="18"/>
                <w:szCs w:val="18"/>
              </w:rPr>
              <w:t>北</w:t>
            </w:r>
          </w:p>
        </w:tc>
        <w:tc>
          <w:tcPr>
            <w:tcW w:w="512" w:type="dxa"/>
            <w:tcMar>
              <w:top w:w="0" w:type="dxa"/>
              <w:left w:w="0" w:type="dxa"/>
              <w:bottom w:w="0" w:type="dxa"/>
              <w:right w:w="0" w:type="dxa"/>
            </w:tcMar>
            <w:vAlign w:val="center"/>
          </w:tcPr>
          <w:p w14:paraId="5D22C4A7">
            <w:pPr>
              <w:adjustRightInd w:val="0"/>
              <w:snapToGrid w:val="0"/>
              <w:jc w:val="center"/>
              <w:rPr>
                <w:b/>
                <w:bCs/>
                <w:sz w:val="18"/>
                <w:szCs w:val="18"/>
              </w:rPr>
            </w:pPr>
            <w:r>
              <w:rPr>
                <w:b/>
                <w:bCs/>
                <w:sz w:val="18"/>
                <w:szCs w:val="18"/>
              </w:rPr>
              <w:t>东</w:t>
            </w:r>
          </w:p>
        </w:tc>
        <w:tc>
          <w:tcPr>
            <w:tcW w:w="512" w:type="dxa"/>
            <w:tcMar>
              <w:top w:w="0" w:type="dxa"/>
              <w:left w:w="0" w:type="dxa"/>
              <w:bottom w:w="0" w:type="dxa"/>
              <w:right w:w="0" w:type="dxa"/>
            </w:tcMar>
            <w:vAlign w:val="center"/>
          </w:tcPr>
          <w:p w14:paraId="19DF3002">
            <w:pPr>
              <w:adjustRightInd w:val="0"/>
              <w:snapToGrid w:val="0"/>
              <w:jc w:val="center"/>
              <w:rPr>
                <w:b/>
                <w:bCs/>
                <w:sz w:val="18"/>
                <w:szCs w:val="18"/>
              </w:rPr>
            </w:pPr>
            <w:r>
              <w:rPr>
                <w:b/>
                <w:bCs/>
                <w:sz w:val="18"/>
                <w:szCs w:val="18"/>
              </w:rPr>
              <w:t>南</w:t>
            </w:r>
          </w:p>
        </w:tc>
        <w:tc>
          <w:tcPr>
            <w:tcW w:w="512" w:type="dxa"/>
            <w:tcMar>
              <w:top w:w="0" w:type="dxa"/>
              <w:left w:w="0" w:type="dxa"/>
              <w:bottom w:w="0" w:type="dxa"/>
              <w:right w:w="0" w:type="dxa"/>
            </w:tcMar>
            <w:vAlign w:val="center"/>
          </w:tcPr>
          <w:p w14:paraId="22418170">
            <w:pPr>
              <w:adjustRightInd w:val="0"/>
              <w:snapToGrid w:val="0"/>
              <w:jc w:val="center"/>
              <w:rPr>
                <w:b/>
                <w:bCs/>
                <w:sz w:val="18"/>
                <w:szCs w:val="18"/>
              </w:rPr>
            </w:pPr>
            <w:r>
              <w:rPr>
                <w:b/>
                <w:bCs/>
                <w:sz w:val="18"/>
                <w:szCs w:val="18"/>
              </w:rPr>
              <w:t>西</w:t>
            </w:r>
          </w:p>
        </w:tc>
        <w:tc>
          <w:tcPr>
            <w:tcW w:w="512" w:type="dxa"/>
            <w:tcMar>
              <w:top w:w="0" w:type="dxa"/>
              <w:left w:w="0" w:type="dxa"/>
              <w:bottom w:w="0" w:type="dxa"/>
              <w:right w:w="0" w:type="dxa"/>
            </w:tcMar>
            <w:vAlign w:val="center"/>
          </w:tcPr>
          <w:p w14:paraId="460F6ED1">
            <w:pPr>
              <w:adjustRightInd w:val="0"/>
              <w:snapToGrid w:val="0"/>
              <w:jc w:val="center"/>
              <w:rPr>
                <w:b/>
                <w:bCs/>
                <w:sz w:val="18"/>
                <w:szCs w:val="18"/>
              </w:rPr>
            </w:pPr>
            <w:r>
              <w:rPr>
                <w:b/>
                <w:bCs/>
                <w:sz w:val="18"/>
                <w:szCs w:val="18"/>
              </w:rPr>
              <w:t>北</w:t>
            </w:r>
          </w:p>
        </w:tc>
        <w:tc>
          <w:tcPr>
            <w:tcW w:w="627" w:type="dxa"/>
            <w:vMerge w:val="continue"/>
            <w:vAlign w:val="center"/>
          </w:tcPr>
          <w:p w14:paraId="591B2C8E">
            <w:pPr>
              <w:widowControl/>
              <w:jc w:val="center"/>
              <w:rPr>
                <w:b/>
                <w:bCs/>
                <w:sz w:val="18"/>
                <w:szCs w:val="18"/>
              </w:rPr>
            </w:pPr>
          </w:p>
        </w:tc>
        <w:tc>
          <w:tcPr>
            <w:tcW w:w="453" w:type="dxa"/>
            <w:tcMar>
              <w:top w:w="0" w:type="dxa"/>
              <w:left w:w="0" w:type="dxa"/>
              <w:bottom w:w="0" w:type="dxa"/>
              <w:right w:w="0" w:type="dxa"/>
            </w:tcMar>
            <w:vAlign w:val="center"/>
          </w:tcPr>
          <w:p w14:paraId="02891B42">
            <w:pPr>
              <w:adjustRightInd w:val="0"/>
              <w:snapToGrid w:val="0"/>
              <w:jc w:val="center"/>
              <w:rPr>
                <w:b/>
                <w:bCs/>
                <w:sz w:val="18"/>
                <w:szCs w:val="18"/>
              </w:rPr>
            </w:pPr>
            <w:r>
              <w:rPr>
                <w:b/>
                <w:bCs/>
                <w:sz w:val="18"/>
                <w:szCs w:val="18"/>
              </w:rPr>
              <w:t>东</w:t>
            </w:r>
          </w:p>
        </w:tc>
        <w:tc>
          <w:tcPr>
            <w:tcW w:w="453" w:type="dxa"/>
            <w:tcMar>
              <w:top w:w="0" w:type="dxa"/>
              <w:left w:w="0" w:type="dxa"/>
              <w:bottom w:w="0" w:type="dxa"/>
              <w:right w:w="0" w:type="dxa"/>
            </w:tcMar>
            <w:vAlign w:val="center"/>
          </w:tcPr>
          <w:p w14:paraId="60E75405">
            <w:pPr>
              <w:adjustRightInd w:val="0"/>
              <w:snapToGrid w:val="0"/>
              <w:jc w:val="center"/>
              <w:rPr>
                <w:b/>
                <w:bCs/>
                <w:sz w:val="18"/>
                <w:szCs w:val="18"/>
              </w:rPr>
            </w:pPr>
            <w:r>
              <w:rPr>
                <w:b/>
                <w:bCs/>
                <w:sz w:val="18"/>
                <w:szCs w:val="18"/>
              </w:rPr>
              <w:t>南</w:t>
            </w:r>
          </w:p>
        </w:tc>
        <w:tc>
          <w:tcPr>
            <w:tcW w:w="453" w:type="dxa"/>
            <w:tcMar>
              <w:top w:w="0" w:type="dxa"/>
              <w:left w:w="0" w:type="dxa"/>
              <w:bottom w:w="0" w:type="dxa"/>
              <w:right w:w="0" w:type="dxa"/>
            </w:tcMar>
            <w:vAlign w:val="center"/>
          </w:tcPr>
          <w:p w14:paraId="258F21A2">
            <w:pPr>
              <w:adjustRightInd w:val="0"/>
              <w:snapToGrid w:val="0"/>
              <w:jc w:val="center"/>
              <w:rPr>
                <w:b/>
                <w:bCs/>
                <w:sz w:val="18"/>
                <w:szCs w:val="18"/>
              </w:rPr>
            </w:pPr>
            <w:r>
              <w:rPr>
                <w:b/>
                <w:bCs/>
                <w:sz w:val="18"/>
                <w:szCs w:val="18"/>
              </w:rPr>
              <w:t>西</w:t>
            </w:r>
          </w:p>
        </w:tc>
        <w:tc>
          <w:tcPr>
            <w:tcW w:w="455" w:type="dxa"/>
            <w:tcMar>
              <w:top w:w="0" w:type="dxa"/>
              <w:left w:w="0" w:type="dxa"/>
              <w:bottom w:w="0" w:type="dxa"/>
              <w:right w:w="0" w:type="dxa"/>
            </w:tcMar>
            <w:vAlign w:val="center"/>
          </w:tcPr>
          <w:p w14:paraId="7F09F7D9">
            <w:pPr>
              <w:adjustRightInd w:val="0"/>
              <w:snapToGrid w:val="0"/>
              <w:jc w:val="center"/>
              <w:rPr>
                <w:b/>
                <w:bCs/>
                <w:sz w:val="18"/>
                <w:szCs w:val="18"/>
              </w:rPr>
            </w:pPr>
            <w:r>
              <w:rPr>
                <w:b/>
                <w:bCs/>
                <w:sz w:val="18"/>
                <w:szCs w:val="18"/>
              </w:rPr>
              <w:t>北</w:t>
            </w:r>
          </w:p>
        </w:tc>
        <w:tc>
          <w:tcPr>
            <w:tcW w:w="453" w:type="dxa"/>
            <w:tcMar>
              <w:top w:w="0" w:type="dxa"/>
              <w:left w:w="0" w:type="dxa"/>
              <w:bottom w:w="0" w:type="dxa"/>
              <w:right w:w="0" w:type="dxa"/>
            </w:tcMar>
            <w:vAlign w:val="center"/>
          </w:tcPr>
          <w:p w14:paraId="3C764248">
            <w:pPr>
              <w:adjustRightInd w:val="0"/>
              <w:snapToGrid w:val="0"/>
              <w:jc w:val="center"/>
              <w:rPr>
                <w:b/>
                <w:bCs/>
                <w:sz w:val="18"/>
                <w:szCs w:val="18"/>
              </w:rPr>
            </w:pPr>
            <w:r>
              <w:rPr>
                <w:b/>
                <w:bCs/>
                <w:sz w:val="18"/>
                <w:szCs w:val="18"/>
              </w:rPr>
              <w:t>东</w:t>
            </w:r>
          </w:p>
        </w:tc>
        <w:tc>
          <w:tcPr>
            <w:tcW w:w="453" w:type="dxa"/>
            <w:tcMar>
              <w:top w:w="0" w:type="dxa"/>
              <w:left w:w="0" w:type="dxa"/>
              <w:bottom w:w="0" w:type="dxa"/>
              <w:right w:w="0" w:type="dxa"/>
            </w:tcMar>
            <w:vAlign w:val="center"/>
          </w:tcPr>
          <w:p w14:paraId="1FD9A724">
            <w:pPr>
              <w:adjustRightInd w:val="0"/>
              <w:snapToGrid w:val="0"/>
              <w:jc w:val="center"/>
              <w:rPr>
                <w:b/>
                <w:bCs/>
                <w:sz w:val="18"/>
                <w:szCs w:val="18"/>
              </w:rPr>
            </w:pPr>
            <w:r>
              <w:rPr>
                <w:b/>
                <w:bCs/>
                <w:sz w:val="18"/>
                <w:szCs w:val="18"/>
              </w:rPr>
              <w:t>南</w:t>
            </w:r>
          </w:p>
        </w:tc>
        <w:tc>
          <w:tcPr>
            <w:tcW w:w="453" w:type="dxa"/>
            <w:tcMar>
              <w:top w:w="0" w:type="dxa"/>
              <w:left w:w="0" w:type="dxa"/>
              <w:bottom w:w="0" w:type="dxa"/>
              <w:right w:w="0" w:type="dxa"/>
            </w:tcMar>
            <w:vAlign w:val="center"/>
          </w:tcPr>
          <w:p w14:paraId="7BEDC187">
            <w:pPr>
              <w:adjustRightInd w:val="0"/>
              <w:snapToGrid w:val="0"/>
              <w:jc w:val="center"/>
              <w:rPr>
                <w:b/>
                <w:bCs/>
                <w:sz w:val="18"/>
                <w:szCs w:val="18"/>
              </w:rPr>
            </w:pPr>
            <w:r>
              <w:rPr>
                <w:b/>
                <w:bCs/>
                <w:sz w:val="18"/>
                <w:szCs w:val="18"/>
              </w:rPr>
              <w:t>西</w:t>
            </w:r>
          </w:p>
        </w:tc>
        <w:tc>
          <w:tcPr>
            <w:tcW w:w="453" w:type="dxa"/>
            <w:tcMar>
              <w:top w:w="0" w:type="dxa"/>
              <w:left w:w="0" w:type="dxa"/>
              <w:bottom w:w="0" w:type="dxa"/>
              <w:right w:w="0" w:type="dxa"/>
            </w:tcMar>
            <w:vAlign w:val="center"/>
          </w:tcPr>
          <w:p w14:paraId="6B2653BF">
            <w:pPr>
              <w:adjustRightInd w:val="0"/>
              <w:snapToGrid w:val="0"/>
              <w:jc w:val="center"/>
              <w:rPr>
                <w:b/>
                <w:bCs/>
                <w:sz w:val="18"/>
                <w:szCs w:val="18"/>
              </w:rPr>
            </w:pPr>
            <w:r>
              <w:rPr>
                <w:b/>
                <w:bCs/>
                <w:sz w:val="18"/>
                <w:szCs w:val="18"/>
              </w:rPr>
              <w:t>北</w:t>
            </w:r>
          </w:p>
        </w:tc>
        <w:tc>
          <w:tcPr>
            <w:tcW w:w="434" w:type="dxa"/>
            <w:tcMar>
              <w:top w:w="0" w:type="dxa"/>
              <w:left w:w="0" w:type="dxa"/>
              <w:bottom w:w="0" w:type="dxa"/>
              <w:right w:w="0" w:type="dxa"/>
            </w:tcMar>
            <w:vAlign w:val="center"/>
          </w:tcPr>
          <w:p w14:paraId="3867C265">
            <w:pPr>
              <w:adjustRightInd w:val="0"/>
              <w:snapToGrid w:val="0"/>
              <w:jc w:val="center"/>
              <w:rPr>
                <w:b/>
                <w:bCs/>
                <w:sz w:val="18"/>
                <w:szCs w:val="18"/>
              </w:rPr>
            </w:pPr>
            <w:r>
              <w:rPr>
                <w:b/>
                <w:bCs/>
                <w:sz w:val="18"/>
                <w:szCs w:val="18"/>
              </w:rPr>
              <w:t>建筑物外距离</w:t>
            </w:r>
          </w:p>
        </w:tc>
      </w:tr>
      <w:tr w14:paraId="5DC463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51" w:hRule="atLeast"/>
          <w:jc w:val="center"/>
        </w:trPr>
        <w:tc>
          <w:tcPr>
            <w:tcW w:w="299" w:type="dxa"/>
            <w:vAlign w:val="center"/>
          </w:tcPr>
          <w:p w14:paraId="3B31AA6D">
            <w:pPr>
              <w:adjustRightInd w:val="0"/>
              <w:snapToGrid w:val="0"/>
              <w:jc w:val="center"/>
              <w:rPr>
                <w:sz w:val="18"/>
                <w:szCs w:val="18"/>
              </w:rPr>
            </w:pPr>
            <w:r>
              <w:rPr>
                <w:sz w:val="18"/>
                <w:szCs w:val="18"/>
              </w:rPr>
              <w:t>1</w:t>
            </w:r>
          </w:p>
        </w:tc>
        <w:tc>
          <w:tcPr>
            <w:tcW w:w="551" w:type="dxa"/>
            <w:tcMar>
              <w:top w:w="0" w:type="dxa"/>
              <w:left w:w="0" w:type="dxa"/>
              <w:bottom w:w="0" w:type="dxa"/>
              <w:right w:w="0" w:type="dxa"/>
            </w:tcMar>
            <w:vAlign w:val="center"/>
          </w:tcPr>
          <w:p w14:paraId="7B63F33B">
            <w:pPr>
              <w:adjustRightInd w:val="0"/>
              <w:snapToGrid w:val="0"/>
              <w:jc w:val="center"/>
              <w:rPr>
                <w:bCs/>
                <w:sz w:val="18"/>
                <w:szCs w:val="18"/>
              </w:rPr>
            </w:pPr>
            <w:r>
              <w:rPr>
                <w:rFonts w:hint="eastAsia"/>
                <w:bCs/>
                <w:sz w:val="18"/>
                <w:szCs w:val="18"/>
              </w:rPr>
              <w:t>北侧研发检测</w:t>
            </w:r>
          </w:p>
          <w:p w14:paraId="44772441">
            <w:pPr>
              <w:adjustRightInd w:val="0"/>
              <w:snapToGrid w:val="0"/>
              <w:jc w:val="center"/>
              <w:rPr>
                <w:sz w:val="18"/>
                <w:szCs w:val="18"/>
              </w:rPr>
            </w:pPr>
            <w:r>
              <w:rPr>
                <w:rFonts w:hint="eastAsia"/>
                <w:bCs/>
                <w:sz w:val="18"/>
                <w:szCs w:val="18"/>
              </w:rPr>
              <w:t>车间</w:t>
            </w:r>
          </w:p>
        </w:tc>
        <w:tc>
          <w:tcPr>
            <w:tcW w:w="727" w:type="dxa"/>
            <w:tcMar>
              <w:top w:w="0" w:type="dxa"/>
              <w:left w:w="0" w:type="dxa"/>
              <w:bottom w:w="0" w:type="dxa"/>
              <w:right w:w="0" w:type="dxa"/>
            </w:tcMar>
            <w:vAlign w:val="center"/>
          </w:tcPr>
          <w:p w14:paraId="29B6BB57">
            <w:pPr>
              <w:snapToGrid w:val="0"/>
              <w:spacing w:line="240" w:lineRule="atLeast"/>
              <w:jc w:val="center"/>
              <w:rPr>
                <w:sz w:val="18"/>
                <w:szCs w:val="18"/>
              </w:rPr>
            </w:pPr>
            <w:r>
              <w:rPr>
                <w:rFonts w:hint="eastAsia"/>
                <w:sz w:val="18"/>
                <w:szCs w:val="18"/>
              </w:rPr>
              <w:t>通风橱</w:t>
            </w:r>
          </w:p>
        </w:tc>
        <w:tc>
          <w:tcPr>
            <w:tcW w:w="786" w:type="dxa"/>
            <w:tcMar>
              <w:top w:w="0" w:type="dxa"/>
              <w:left w:w="0" w:type="dxa"/>
              <w:bottom w:w="0" w:type="dxa"/>
              <w:right w:w="0" w:type="dxa"/>
            </w:tcMar>
            <w:vAlign w:val="center"/>
          </w:tcPr>
          <w:p w14:paraId="623DB765">
            <w:pPr>
              <w:jc w:val="center"/>
              <w:rPr>
                <w:bCs/>
                <w:kern w:val="0"/>
                <w:sz w:val="18"/>
                <w:szCs w:val="18"/>
              </w:rPr>
            </w:pPr>
            <w:r>
              <w:rPr>
                <w:rFonts w:hint="eastAsia"/>
                <w:bCs/>
                <w:kern w:val="0"/>
                <w:sz w:val="18"/>
                <w:szCs w:val="18"/>
              </w:rPr>
              <w:t>/</w:t>
            </w:r>
          </w:p>
        </w:tc>
        <w:tc>
          <w:tcPr>
            <w:tcW w:w="835" w:type="dxa"/>
            <w:tcMar>
              <w:top w:w="0" w:type="dxa"/>
              <w:left w:w="0" w:type="dxa"/>
              <w:bottom w:w="0" w:type="dxa"/>
              <w:right w:w="0" w:type="dxa"/>
            </w:tcMar>
            <w:vAlign w:val="center"/>
          </w:tcPr>
          <w:p w14:paraId="74B17FC5">
            <w:pPr>
              <w:adjustRightInd w:val="0"/>
              <w:snapToGrid w:val="0"/>
              <w:jc w:val="center"/>
              <w:rPr>
                <w:sz w:val="18"/>
                <w:szCs w:val="18"/>
              </w:rPr>
            </w:pPr>
            <w:r>
              <w:rPr>
                <w:rFonts w:hint="eastAsia"/>
                <w:sz w:val="18"/>
                <w:szCs w:val="18"/>
              </w:rPr>
              <w:t>82.8</w:t>
            </w:r>
          </w:p>
        </w:tc>
        <w:tc>
          <w:tcPr>
            <w:tcW w:w="541" w:type="dxa"/>
            <w:tcMar>
              <w:top w:w="0" w:type="dxa"/>
              <w:left w:w="0" w:type="dxa"/>
              <w:bottom w:w="0" w:type="dxa"/>
              <w:right w:w="0" w:type="dxa"/>
            </w:tcMar>
            <w:vAlign w:val="center"/>
          </w:tcPr>
          <w:p w14:paraId="587F9FDA">
            <w:pPr>
              <w:adjustRightInd w:val="0"/>
              <w:snapToGrid w:val="0"/>
              <w:jc w:val="center"/>
              <w:rPr>
                <w:sz w:val="18"/>
                <w:szCs w:val="18"/>
              </w:rPr>
            </w:pPr>
            <w:r>
              <w:rPr>
                <w:rFonts w:hint="eastAsia"/>
                <w:bCs/>
                <w:sz w:val="18"/>
                <w:szCs w:val="18"/>
              </w:rPr>
              <w:t>/</w:t>
            </w:r>
          </w:p>
        </w:tc>
        <w:tc>
          <w:tcPr>
            <w:tcW w:w="512" w:type="dxa"/>
            <w:tcMar>
              <w:top w:w="0" w:type="dxa"/>
              <w:left w:w="0" w:type="dxa"/>
              <w:bottom w:w="0" w:type="dxa"/>
              <w:right w:w="0" w:type="dxa"/>
            </w:tcMar>
            <w:vAlign w:val="center"/>
          </w:tcPr>
          <w:p w14:paraId="33244EA1">
            <w:pPr>
              <w:adjustRightInd w:val="0"/>
              <w:snapToGrid w:val="0"/>
              <w:jc w:val="center"/>
              <w:rPr>
                <w:sz w:val="18"/>
                <w:szCs w:val="18"/>
              </w:rPr>
            </w:pPr>
            <w:r>
              <w:rPr>
                <w:rFonts w:hint="eastAsia"/>
                <w:sz w:val="18"/>
                <w:szCs w:val="18"/>
              </w:rPr>
              <w:t>18.7</w:t>
            </w:r>
          </w:p>
        </w:tc>
        <w:tc>
          <w:tcPr>
            <w:tcW w:w="512" w:type="dxa"/>
            <w:tcMar>
              <w:top w:w="0" w:type="dxa"/>
              <w:left w:w="0" w:type="dxa"/>
              <w:bottom w:w="0" w:type="dxa"/>
              <w:right w:w="0" w:type="dxa"/>
            </w:tcMar>
            <w:vAlign w:val="center"/>
          </w:tcPr>
          <w:p w14:paraId="12E94790">
            <w:pPr>
              <w:adjustRightInd w:val="0"/>
              <w:snapToGrid w:val="0"/>
              <w:jc w:val="center"/>
              <w:rPr>
                <w:sz w:val="18"/>
                <w:szCs w:val="18"/>
              </w:rPr>
            </w:pPr>
            <w:r>
              <w:rPr>
                <w:rFonts w:hint="eastAsia"/>
                <w:sz w:val="18"/>
                <w:szCs w:val="18"/>
              </w:rPr>
              <w:t>4</w:t>
            </w:r>
          </w:p>
        </w:tc>
        <w:tc>
          <w:tcPr>
            <w:tcW w:w="512" w:type="dxa"/>
            <w:tcMar>
              <w:top w:w="0" w:type="dxa"/>
              <w:left w:w="0" w:type="dxa"/>
              <w:bottom w:w="0" w:type="dxa"/>
              <w:right w:w="0" w:type="dxa"/>
            </w:tcMar>
            <w:vAlign w:val="center"/>
          </w:tcPr>
          <w:p w14:paraId="1A6B2752">
            <w:pPr>
              <w:adjustRightInd w:val="0"/>
              <w:snapToGrid w:val="0"/>
              <w:jc w:val="center"/>
              <w:rPr>
                <w:sz w:val="18"/>
                <w:szCs w:val="18"/>
              </w:rPr>
            </w:pPr>
            <w:r>
              <w:rPr>
                <w:rFonts w:hint="eastAsia"/>
                <w:sz w:val="18"/>
                <w:szCs w:val="18"/>
              </w:rPr>
              <w:t>1.2</w:t>
            </w:r>
          </w:p>
        </w:tc>
        <w:tc>
          <w:tcPr>
            <w:tcW w:w="512" w:type="dxa"/>
            <w:tcMar>
              <w:top w:w="0" w:type="dxa"/>
              <w:left w:w="0" w:type="dxa"/>
              <w:bottom w:w="0" w:type="dxa"/>
              <w:right w:w="0" w:type="dxa"/>
            </w:tcMar>
            <w:vAlign w:val="center"/>
          </w:tcPr>
          <w:p w14:paraId="1BD03D9F">
            <w:pPr>
              <w:adjustRightInd w:val="0"/>
              <w:snapToGrid w:val="0"/>
              <w:jc w:val="center"/>
              <w:rPr>
                <w:sz w:val="18"/>
                <w:szCs w:val="18"/>
              </w:rPr>
            </w:pPr>
            <w:r>
              <w:rPr>
                <w:rFonts w:hint="eastAsia"/>
                <w:sz w:val="18"/>
                <w:szCs w:val="18"/>
              </w:rPr>
              <w:t>1.5</w:t>
            </w:r>
          </w:p>
        </w:tc>
        <w:tc>
          <w:tcPr>
            <w:tcW w:w="512" w:type="dxa"/>
            <w:tcMar>
              <w:top w:w="0" w:type="dxa"/>
              <w:left w:w="0" w:type="dxa"/>
              <w:bottom w:w="0" w:type="dxa"/>
              <w:right w:w="0" w:type="dxa"/>
            </w:tcMar>
            <w:vAlign w:val="center"/>
          </w:tcPr>
          <w:p w14:paraId="1ED8C585">
            <w:pPr>
              <w:adjustRightInd w:val="0"/>
              <w:snapToGrid w:val="0"/>
              <w:jc w:val="center"/>
              <w:rPr>
                <w:sz w:val="18"/>
                <w:szCs w:val="18"/>
              </w:rPr>
            </w:pPr>
            <w:r>
              <w:rPr>
                <w:rFonts w:hint="eastAsia"/>
                <w:sz w:val="18"/>
                <w:szCs w:val="18"/>
              </w:rPr>
              <w:t>4</w:t>
            </w:r>
          </w:p>
        </w:tc>
        <w:tc>
          <w:tcPr>
            <w:tcW w:w="512" w:type="dxa"/>
            <w:tcMar>
              <w:top w:w="0" w:type="dxa"/>
              <w:left w:w="0" w:type="dxa"/>
              <w:bottom w:w="0" w:type="dxa"/>
              <w:right w:w="0" w:type="dxa"/>
            </w:tcMar>
            <w:vAlign w:val="center"/>
          </w:tcPr>
          <w:p w14:paraId="7D1E411A">
            <w:pPr>
              <w:adjustRightInd w:val="0"/>
              <w:snapToGrid w:val="0"/>
              <w:jc w:val="center"/>
              <w:rPr>
                <w:sz w:val="18"/>
                <w:szCs w:val="18"/>
              </w:rPr>
            </w:pPr>
            <w:r>
              <w:rPr>
                <w:rFonts w:hint="eastAsia"/>
                <w:sz w:val="18"/>
                <w:szCs w:val="18"/>
              </w:rPr>
              <w:t>18.7</w:t>
            </w:r>
          </w:p>
        </w:tc>
        <w:tc>
          <w:tcPr>
            <w:tcW w:w="512" w:type="dxa"/>
            <w:tcMar>
              <w:top w:w="0" w:type="dxa"/>
              <w:left w:w="0" w:type="dxa"/>
              <w:bottom w:w="0" w:type="dxa"/>
              <w:right w:w="0" w:type="dxa"/>
            </w:tcMar>
            <w:vAlign w:val="center"/>
          </w:tcPr>
          <w:p w14:paraId="0CB46EB8">
            <w:pPr>
              <w:adjustRightInd w:val="0"/>
              <w:snapToGrid w:val="0"/>
              <w:jc w:val="center"/>
              <w:rPr>
                <w:sz w:val="18"/>
                <w:szCs w:val="18"/>
              </w:rPr>
            </w:pPr>
            <w:r>
              <w:rPr>
                <w:rFonts w:hint="eastAsia"/>
                <w:sz w:val="18"/>
                <w:szCs w:val="18"/>
              </w:rPr>
              <w:t>1</w:t>
            </w:r>
          </w:p>
        </w:tc>
        <w:tc>
          <w:tcPr>
            <w:tcW w:w="512" w:type="dxa"/>
            <w:tcMar>
              <w:top w:w="0" w:type="dxa"/>
              <w:left w:w="0" w:type="dxa"/>
              <w:bottom w:w="0" w:type="dxa"/>
              <w:right w:w="0" w:type="dxa"/>
            </w:tcMar>
            <w:vAlign w:val="center"/>
          </w:tcPr>
          <w:p w14:paraId="01084E75">
            <w:pPr>
              <w:widowControl/>
              <w:jc w:val="center"/>
              <w:textAlignment w:val="center"/>
              <w:rPr>
                <w:sz w:val="18"/>
                <w:szCs w:val="18"/>
              </w:rPr>
            </w:pPr>
            <w:r>
              <w:rPr>
                <w:rFonts w:hint="eastAsia"/>
                <w:sz w:val="18"/>
                <w:szCs w:val="18"/>
              </w:rPr>
              <w:t>74.2</w:t>
            </w:r>
          </w:p>
        </w:tc>
        <w:tc>
          <w:tcPr>
            <w:tcW w:w="512" w:type="dxa"/>
            <w:tcMar>
              <w:top w:w="0" w:type="dxa"/>
              <w:left w:w="0" w:type="dxa"/>
              <w:bottom w:w="0" w:type="dxa"/>
              <w:right w:w="0" w:type="dxa"/>
            </w:tcMar>
            <w:vAlign w:val="center"/>
          </w:tcPr>
          <w:p w14:paraId="36B6882A">
            <w:pPr>
              <w:widowControl/>
              <w:jc w:val="center"/>
              <w:textAlignment w:val="center"/>
              <w:rPr>
                <w:sz w:val="18"/>
                <w:szCs w:val="18"/>
              </w:rPr>
            </w:pPr>
            <w:r>
              <w:rPr>
                <w:rFonts w:hint="eastAsia"/>
                <w:sz w:val="18"/>
                <w:szCs w:val="18"/>
              </w:rPr>
              <w:t>71.6</w:t>
            </w:r>
          </w:p>
        </w:tc>
        <w:tc>
          <w:tcPr>
            <w:tcW w:w="512" w:type="dxa"/>
            <w:tcMar>
              <w:top w:w="0" w:type="dxa"/>
              <w:left w:w="0" w:type="dxa"/>
              <w:bottom w:w="0" w:type="dxa"/>
              <w:right w:w="0" w:type="dxa"/>
            </w:tcMar>
            <w:vAlign w:val="center"/>
          </w:tcPr>
          <w:p w14:paraId="13928CCD">
            <w:pPr>
              <w:widowControl/>
              <w:jc w:val="center"/>
              <w:textAlignment w:val="center"/>
              <w:rPr>
                <w:sz w:val="18"/>
                <w:szCs w:val="18"/>
              </w:rPr>
            </w:pPr>
            <w:r>
              <w:rPr>
                <w:rFonts w:hint="eastAsia"/>
                <w:sz w:val="18"/>
                <w:szCs w:val="18"/>
              </w:rPr>
              <w:t>71.0</w:t>
            </w:r>
          </w:p>
        </w:tc>
        <w:tc>
          <w:tcPr>
            <w:tcW w:w="512" w:type="dxa"/>
            <w:tcMar>
              <w:top w:w="0" w:type="dxa"/>
              <w:left w:w="0" w:type="dxa"/>
              <w:bottom w:w="0" w:type="dxa"/>
              <w:right w:w="0" w:type="dxa"/>
            </w:tcMar>
            <w:vAlign w:val="center"/>
          </w:tcPr>
          <w:p w14:paraId="783055BB">
            <w:pPr>
              <w:widowControl/>
              <w:jc w:val="center"/>
              <w:textAlignment w:val="center"/>
              <w:rPr>
                <w:sz w:val="18"/>
                <w:szCs w:val="18"/>
              </w:rPr>
            </w:pPr>
            <w:r>
              <w:rPr>
                <w:rFonts w:hint="eastAsia"/>
                <w:sz w:val="18"/>
                <w:szCs w:val="18"/>
              </w:rPr>
              <w:t>76.3</w:t>
            </w:r>
          </w:p>
        </w:tc>
        <w:tc>
          <w:tcPr>
            <w:tcW w:w="627" w:type="dxa"/>
            <w:tcMar>
              <w:top w:w="0" w:type="dxa"/>
              <w:left w:w="0" w:type="dxa"/>
              <w:bottom w:w="0" w:type="dxa"/>
              <w:right w:w="0" w:type="dxa"/>
            </w:tcMar>
            <w:vAlign w:val="center"/>
          </w:tcPr>
          <w:p w14:paraId="7155EF27">
            <w:pPr>
              <w:adjustRightInd w:val="0"/>
              <w:snapToGrid w:val="0"/>
              <w:jc w:val="center"/>
              <w:rPr>
                <w:sz w:val="18"/>
                <w:szCs w:val="18"/>
              </w:rPr>
            </w:pPr>
            <w:r>
              <w:rPr>
                <w:rFonts w:hint="eastAsia"/>
                <w:sz w:val="18"/>
                <w:szCs w:val="18"/>
              </w:rPr>
              <w:t>昼</w:t>
            </w:r>
          </w:p>
        </w:tc>
        <w:tc>
          <w:tcPr>
            <w:tcW w:w="453" w:type="dxa"/>
            <w:tcMar>
              <w:top w:w="0" w:type="dxa"/>
              <w:left w:w="0" w:type="dxa"/>
              <w:bottom w:w="0" w:type="dxa"/>
              <w:right w:w="0" w:type="dxa"/>
            </w:tcMar>
            <w:vAlign w:val="center"/>
          </w:tcPr>
          <w:p w14:paraId="08C48DB4">
            <w:pPr>
              <w:adjustRightInd w:val="0"/>
              <w:snapToGrid w:val="0"/>
              <w:jc w:val="center"/>
              <w:rPr>
                <w:sz w:val="18"/>
                <w:szCs w:val="18"/>
              </w:rPr>
            </w:pPr>
            <w:r>
              <w:rPr>
                <w:rFonts w:hint="eastAsia"/>
                <w:sz w:val="18"/>
                <w:szCs w:val="18"/>
              </w:rPr>
              <w:t>1</w:t>
            </w:r>
            <w:r>
              <w:rPr>
                <w:sz w:val="18"/>
                <w:szCs w:val="18"/>
              </w:rPr>
              <w:t>6</w:t>
            </w:r>
          </w:p>
        </w:tc>
        <w:tc>
          <w:tcPr>
            <w:tcW w:w="453" w:type="dxa"/>
            <w:tcMar>
              <w:top w:w="0" w:type="dxa"/>
              <w:left w:w="0" w:type="dxa"/>
              <w:bottom w:w="0" w:type="dxa"/>
              <w:right w:w="0" w:type="dxa"/>
            </w:tcMar>
            <w:vAlign w:val="center"/>
          </w:tcPr>
          <w:p w14:paraId="777CE078">
            <w:pPr>
              <w:adjustRightInd w:val="0"/>
              <w:snapToGrid w:val="0"/>
              <w:jc w:val="center"/>
              <w:rPr>
                <w:sz w:val="18"/>
                <w:szCs w:val="18"/>
              </w:rPr>
            </w:pPr>
            <w:r>
              <w:rPr>
                <w:rFonts w:hint="eastAsia"/>
                <w:sz w:val="18"/>
                <w:szCs w:val="18"/>
              </w:rPr>
              <w:t>1</w:t>
            </w:r>
            <w:r>
              <w:rPr>
                <w:sz w:val="18"/>
                <w:szCs w:val="18"/>
              </w:rPr>
              <w:t>6</w:t>
            </w:r>
          </w:p>
        </w:tc>
        <w:tc>
          <w:tcPr>
            <w:tcW w:w="453" w:type="dxa"/>
            <w:tcMar>
              <w:top w:w="0" w:type="dxa"/>
              <w:left w:w="0" w:type="dxa"/>
              <w:bottom w:w="0" w:type="dxa"/>
              <w:right w:w="0" w:type="dxa"/>
            </w:tcMar>
            <w:vAlign w:val="center"/>
          </w:tcPr>
          <w:p w14:paraId="0CBC50A3">
            <w:pPr>
              <w:adjustRightInd w:val="0"/>
              <w:snapToGrid w:val="0"/>
              <w:jc w:val="center"/>
              <w:rPr>
                <w:sz w:val="18"/>
                <w:szCs w:val="18"/>
              </w:rPr>
            </w:pPr>
            <w:r>
              <w:rPr>
                <w:rFonts w:hint="eastAsia"/>
                <w:sz w:val="18"/>
                <w:szCs w:val="18"/>
              </w:rPr>
              <w:t>1</w:t>
            </w:r>
            <w:r>
              <w:rPr>
                <w:sz w:val="18"/>
                <w:szCs w:val="18"/>
              </w:rPr>
              <w:t>6</w:t>
            </w:r>
          </w:p>
        </w:tc>
        <w:tc>
          <w:tcPr>
            <w:tcW w:w="455" w:type="dxa"/>
            <w:tcMar>
              <w:top w:w="0" w:type="dxa"/>
              <w:left w:w="0" w:type="dxa"/>
              <w:bottom w:w="0" w:type="dxa"/>
              <w:right w:w="0" w:type="dxa"/>
            </w:tcMar>
            <w:vAlign w:val="center"/>
          </w:tcPr>
          <w:p w14:paraId="2F6E2634">
            <w:pPr>
              <w:adjustRightInd w:val="0"/>
              <w:snapToGrid w:val="0"/>
              <w:jc w:val="center"/>
              <w:rPr>
                <w:sz w:val="18"/>
                <w:szCs w:val="18"/>
              </w:rPr>
            </w:pPr>
            <w:r>
              <w:rPr>
                <w:rFonts w:hint="eastAsia"/>
                <w:sz w:val="18"/>
                <w:szCs w:val="18"/>
              </w:rPr>
              <w:t>1</w:t>
            </w:r>
            <w:r>
              <w:rPr>
                <w:sz w:val="18"/>
                <w:szCs w:val="18"/>
              </w:rPr>
              <w:t>6</w:t>
            </w:r>
          </w:p>
        </w:tc>
        <w:tc>
          <w:tcPr>
            <w:tcW w:w="453" w:type="dxa"/>
            <w:tcMar>
              <w:top w:w="0" w:type="dxa"/>
              <w:left w:w="0" w:type="dxa"/>
              <w:bottom w:w="0" w:type="dxa"/>
              <w:right w:w="0" w:type="dxa"/>
            </w:tcMar>
            <w:vAlign w:val="center"/>
          </w:tcPr>
          <w:p w14:paraId="2FBC5A14">
            <w:pPr>
              <w:adjustRightInd w:val="0"/>
              <w:snapToGrid w:val="0"/>
              <w:jc w:val="center"/>
              <w:rPr>
                <w:sz w:val="18"/>
                <w:szCs w:val="18"/>
              </w:rPr>
            </w:pPr>
            <w:r>
              <w:rPr>
                <w:rFonts w:hint="eastAsia"/>
                <w:sz w:val="18"/>
                <w:szCs w:val="18"/>
              </w:rPr>
              <w:t>58.2</w:t>
            </w:r>
          </w:p>
        </w:tc>
        <w:tc>
          <w:tcPr>
            <w:tcW w:w="453" w:type="dxa"/>
            <w:tcMar>
              <w:top w:w="0" w:type="dxa"/>
              <w:left w:w="0" w:type="dxa"/>
              <w:bottom w:w="0" w:type="dxa"/>
              <w:right w:w="0" w:type="dxa"/>
            </w:tcMar>
            <w:vAlign w:val="center"/>
          </w:tcPr>
          <w:p w14:paraId="67D88C27">
            <w:pPr>
              <w:adjustRightInd w:val="0"/>
              <w:snapToGrid w:val="0"/>
              <w:jc w:val="center"/>
              <w:rPr>
                <w:sz w:val="18"/>
                <w:szCs w:val="18"/>
              </w:rPr>
            </w:pPr>
            <w:r>
              <w:rPr>
                <w:rFonts w:hint="eastAsia"/>
                <w:sz w:val="18"/>
                <w:szCs w:val="18"/>
              </w:rPr>
              <w:t>55.6</w:t>
            </w:r>
          </w:p>
        </w:tc>
        <w:tc>
          <w:tcPr>
            <w:tcW w:w="453" w:type="dxa"/>
            <w:tcMar>
              <w:top w:w="0" w:type="dxa"/>
              <w:left w:w="0" w:type="dxa"/>
              <w:bottom w:w="0" w:type="dxa"/>
              <w:right w:w="0" w:type="dxa"/>
            </w:tcMar>
            <w:vAlign w:val="center"/>
          </w:tcPr>
          <w:p w14:paraId="79859AAB">
            <w:pPr>
              <w:adjustRightInd w:val="0"/>
              <w:snapToGrid w:val="0"/>
              <w:jc w:val="center"/>
              <w:rPr>
                <w:sz w:val="18"/>
                <w:szCs w:val="18"/>
              </w:rPr>
            </w:pPr>
            <w:r>
              <w:rPr>
                <w:rFonts w:hint="eastAsia"/>
                <w:sz w:val="18"/>
                <w:szCs w:val="18"/>
              </w:rPr>
              <w:t>55.0</w:t>
            </w:r>
          </w:p>
        </w:tc>
        <w:tc>
          <w:tcPr>
            <w:tcW w:w="453" w:type="dxa"/>
            <w:tcMar>
              <w:top w:w="0" w:type="dxa"/>
              <w:left w:w="0" w:type="dxa"/>
              <w:bottom w:w="0" w:type="dxa"/>
              <w:right w:w="0" w:type="dxa"/>
            </w:tcMar>
            <w:vAlign w:val="center"/>
          </w:tcPr>
          <w:p w14:paraId="158B7E8C">
            <w:pPr>
              <w:adjustRightInd w:val="0"/>
              <w:snapToGrid w:val="0"/>
              <w:jc w:val="center"/>
              <w:rPr>
                <w:sz w:val="18"/>
                <w:szCs w:val="18"/>
              </w:rPr>
            </w:pPr>
            <w:r>
              <w:rPr>
                <w:rFonts w:hint="eastAsia"/>
                <w:sz w:val="18"/>
                <w:szCs w:val="18"/>
              </w:rPr>
              <w:t>60.3</w:t>
            </w:r>
          </w:p>
        </w:tc>
        <w:tc>
          <w:tcPr>
            <w:tcW w:w="434" w:type="dxa"/>
            <w:tcMar>
              <w:top w:w="0" w:type="dxa"/>
              <w:left w:w="0" w:type="dxa"/>
              <w:bottom w:w="0" w:type="dxa"/>
              <w:right w:w="0" w:type="dxa"/>
            </w:tcMar>
            <w:vAlign w:val="center"/>
          </w:tcPr>
          <w:p w14:paraId="23826E0B">
            <w:pPr>
              <w:adjustRightInd w:val="0"/>
              <w:snapToGrid w:val="0"/>
              <w:jc w:val="center"/>
              <w:rPr>
                <w:sz w:val="18"/>
                <w:szCs w:val="18"/>
              </w:rPr>
            </w:pPr>
            <w:r>
              <w:rPr>
                <w:sz w:val="18"/>
                <w:szCs w:val="18"/>
              </w:rPr>
              <w:t>1m</w:t>
            </w:r>
          </w:p>
        </w:tc>
      </w:tr>
      <w:tr w14:paraId="487460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94" w:hRule="atLeast"/>
          <w:jc w:val="center"/>
        </w:trPr>
        <w:tc>
          <w:tcPr>
            <w:tcW w:w="14058" w:type="dxa"/>
            <w:gridSpan w:val="27"/>
            <w:vAlign w:val="center"/>
          </w:tcPr>
          <w:p w14:paraId="5234A395">
            <w:pPr>
              <w:adjustRightInd w:val="0"/>
              <w:snapToGrid w:val="0"/>
              <w:jc w:val="left"/>
            </w:pPr>
            <w:r>
              <w:rPr>
                <w:sz w:val="18"/>
                <w:szCs w:val="18"/>
              </w:rPr>
              <w:t>注：空间相对位置坐标原点为</w:t>
            </w:r>
            <w:r>
              <w:rPr>
                <w:rFonts w:hint="eastAsia"/>
                <w:sz w:val="18"/>
                <w:szCs w:val="18"/>
              </w:rPr>
              <w:t>北侧研发检测车间</w:t>
            </w:r>
            <w:r>
              <w:rPr>
                <w:sz w:val="18"/>
                <w:szCs w:val="18"/>
              </w:rPr>
              <w:t>西南角，东向为X轴正方向，北向为Y轴正方向，Z轴高度取设备中心点；声源源强为多台同种设备叠加后的声功率级。</w:t>
            </w:r>
          </w:p>
        </w:tc>
      </w:tr>
    </w:tbl>
    <w:p w14:paraId="339D37EA">
      <w:pPr>
        <w:adjustRightInd w:val="0"/>
        <w:snapToGrid w:val="0"/>
        <w:spacing w:before="120" w:beforeLines="50"/>
        <w:jc w:val="center"/>
        <w:rPr>
          <w:b/>
          <w:szCs w:val="21"/>
        </w:rPr>
      </w:pPr>
      <w:r>
        <w:rPr>
          <w:b/>
          <w:szCs w:val="21"/>
        </w:rPr>
        <w:t>表4-</w:t>
      </w:r>
      <w:r>
        <w:rPr>
          <w:rFonts w:hint="eastAsia"/>
          <w:b/>
          <w:szCs w:val="21"/>
          <w:lang w:val="en-US" w:eastAsia="zh-CN"/>
        </w:rPr>
        <w:t>21</w:t>
      </w:r>
      <w:r>
        <w:rPr>
          <w:b/>
          <w:szCs w:val="21"/>
        </w:rPr>
        <w:t xml:space="preserve"> </w:t>
      </w:r>
      <w:r>
        <w:rPr>
          <w:rFonts w:hint="eastAsia"/>
          <w:b/>
          <w:szCs w:val="21"/>
        </w:rPr>
        <w:t>主要室外声源</w:t>
      </w:r>
      <w:r>
        <w:rPr>
          <w:b/>
          <w:szCs w:val="21"/>
        </w:rPr>
        <w:t>噪声源强调查清单</w:t>
      </w:r>
    </w:p>
    <w:tbl>
      <w:tblPr>
        <w:tblStyle w:val="23"/>
        <w:tblW w:w="4964" w:type="pct"/>
        <w:tblInd w:w="8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81"/>
        <w:gridCol w:w="1369"/>
        <w:gridCol w:w="1819"/>
        <w:gridCol w:w="1254"/>
        <w:gridCol w:w="1440"/>
        <w:gridCol w:w="1418"/>
        <w:gridCol w:w="2290"/>
        <w:gridCol w:w="2786"/>
        <w:gridCol w:w="1160"/>
      </w:tblGrid>
      <w:tr w14:paraId="20778F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6" w:type="pct"/>
            <w:vMerge w:val="restart"/>
            <w:vAlign w:val="center"/>
          </w:tcPr>
          <w:p w14:paraId="3176DC7B">
            <w:pPr>
              <w:jc w:val="center"/>
              <w:rPr>
                <w:sz w:val="18"/>
                <w:szCs w:val="18"/>
              </w:rPr>
            </w:pPr>
            <w:r>
              <w:rPr>
                <w:sz w:val="18"/>
                <w:szCs w:val="18"/>
              </w:rPr>
              <w:t>序号</w:t>
            </w:r>
          </w:p>
        </w:tc>
        <w:tc>
          <w:tcPr>
            <w:tcW w:w="485" w:type="pct"/>
            <w:vMerge w:val="restart"/>
            <w:vAlign w:val="center"/>
          </w:tcPr>
          <w:p w14:paraId="37F537AC">
            <w:pPr>
              <w:jc w:val="center"/>
              <w:rPr>
                <w:sz w:val="18"/>
                <w:szCs w:val="18"/>
              </w:rPr>
            </w:pPr>
            <w:r>
              <w:rPr>
                <w:sz w:val="18"/>
                <w:szCs w:val="18"/>
              </w:rPr>
              <w:t>声源名称</w:t>
            </w:r>
          </w:p>
        </w:tc>
        <w:tc>
          <w:tcPr>
            <w:tcW w:w="644" w:type="pct"/>
            <w:vMerge w:val="restart"/>
            <w:vAlign w:val="center"/>
          </w:tcPr>
          <w:p w14:paraId="556584EB">
            <w:pPr>
              <w:jc w:val="center"/>
              <w:rPr>
                <w:sz w:val="18"/>
                <w:szCs w:val="18"/>
              </w:rPr>
            </w:pPr>
            <w:r>
              <w:rPr>
                <w:sz w:val="18"/>
                <w:szCs w:val="18"/>
              </w:rPr>
              <w:t>型号</w:t>
            </w:r>
          </w:p>
        </w:tc>
        <w:tc>
          <w:tcPr>
            <w:tcW w:w="1456" w:type="pct"/>
            <w:gridSpan w:val="3"/>
            <w:vAlign w:val="center"/>
          </w:tcPr>
          <w:p w14:paraId="32A9177E">
            <w:pPr>
              <w:jc w:val="center"/>
              <w:rPr>
                <w:sz w:val="18"/>
                <w:szCs w:val="18"/>
              </w:rPr>
            </w:pPr>
            <w:r>
              <w:rPr>
                <w:sz w:val="18"/>
                <w:szCs w:val="18"/>
              </w:rPr>
              <w:t>空间相对位置/m</w:t>
            </w:r>
          </w:p>
        </w:tc>
        <w:tc>
          <w:tcPr>
            <w:tcW w:w="811" w:type="pct"/>
            <w:vMerge w:val="restart"/>
            <w:vAlign w:val="center"/>
          </w:tcPr>
          <w:p w14:paraId="1BF71ABC">
            <w:pPr>
              <w:jc w:val="center"/>
              <w:rPr>
                <w:sz w:val="18"/>
                <w:szCs w:val="18"/>
              </w:rPr>
            </w:pPr>
            <w:r>
              <w:rPr>
                <w:sz w:val="18"/>
                <w:szCs w:val="18"/>
              </w:rPr>
              <w:t>声功率级/dB(A)</w:t>
            </w:r>
          </w:p>
        </w:tc>
        <w:tc>
          <w:tcPr>
            <w:tcW w:w="987" w:type="pct"/>
            <w:vMerge w:val="restart"/>
            <w:vAlign w:val="center"/>
          </w:tcPr>
          <w:p w14:paraId="71C96F97">
            <w:pPr>
              <w:jc w:val="center"/>
              <w:rPr>
                <w:sz w:val="18"/>
                <w:szCs w:val="18"/>
              </w:rPr>
            </w:pPr>
            <w:r>
              <w:rPr>
                <w:sz w:val="18"/>
                <w:szCs w:val="18"/>
              </w:rPr>
              <w:t>声源控制措施</w:t>
            </w:r>
          </w:p>
        </w:tc>
        <w:tc>
          <w:tcPr>
            <w:tcW w:w="408" w:type="pct"/>
            <w:vMerge w:val="restart"/>
            <w:vAlign w:val="center"/>
          </w:tcPr>
          <w:p w14:paraId="57CAF721">
            <w:pPr>
              <w:jc w:val="center"/>
              <w:rPr>
                <w:sz w:val="18"/>
                <w:szCs w:val="18"/>
              </w:rPr>
            </w:pPr>
            <w:r>
              <w:rPr>
                <w:sz w:val="18"/>
                <w:szCs w:val="18"/>
              </w:rPr>
              <w:t>运行时段</w:t>
            </w:r>
          </w:p>
        </w:tc>
      </w:tr>
      <w:tr w14:paraId="6B9DA6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6" w:type="pct"/>
            <w:vMerge w:val="continue"/>
            <w:vAlign w:val="center"/>
          </w:tcPr>
          <w:p w14:paraId="25D5352C">
            <w:pPr>
              <w:jc w:val="center"/>
              <w:rPr>
                <w:sz w:val="18"/>
                <w:szCs w:val="18"/>
              </w:rPr>
            </w:pPr>
          </w:p>
        </w:tc>
        <w:tc>
          <w:tcPr>
            <w:tcW w:w="485" w:type="pct"/>
            <w:vMerge w:val="continue"/>
            <w:vAlign w:val="center"/>
          </w:tcPr>
          <w:p w14:paraId="7F659034">
            <w:pPr>
              <w:jc w:val="center"/>
              <w:rPr>
                <w:sz w:val="18"/>
                <w:szCs w:val="18"/>
              </w:rPr>
            </w:pPr>
          </w:p>
        </w:tc>
        <w:tc>
          <w:tcPr>
            <w:tcW w:w="644" w:type="pct"/>
            <w:vMerge w:val="continue"/>
            <w:vAlign w:val="center"/>
          </w:tcPr>
          <w:p w14:paraId="765A1612">
            <w:pPr>
              <w:jc w:val="center"/>
              <w:rPr>
                <w:sz w:val="18"/>
                <w:szCs w:val="18"/>
              </w:rPr>
            </w:pPr>
          </w:p>
        </w:tc>
        <w:tc>
          <w:tcPr>
            <w:tcW w:w="444" w:type="pct"/>
            <w:vAlign w:val="center"/>
          </w:tcPr>
          <w:p w14:paraId="790DA20D">
            <w:pPr>
              <w:jc w:val="center"/>
              <w:rPr>
                <w:sz w:val="18"/>
                <w:szCs w:val="18"/>
              </w:rPr>
            </w:pPr>
            <w:r>
              <w:rPr>
                <w:sz w:val="18"/>
                <w:szCs w:val="18"/>
              </w:rPr>
              <w:t>X</w:t>
            </w:r>
          </w:p>
        </w:tc>
        <w:tc>
          <w:tcPr>
            <w:tcW w:w="510" w:type="pct"/>
            <w:vAlign w:val="center"/>
          </w:tcPr>
          <w:p w14:paraId="1B0ED41F">
            <w:pPr>
              <w:jc w:val="center"/>
              <w:rPr>
                <w:sz w:val="18"/>
                <w:szCs w:val="18"/>
              </w:rPr>
            </w:pPr>
            <w:r>
              <w:rPr>
                <w:sz w:val="18"/>
                <w:szCs w:val="18"/>
              </w:rPr>
              <w:t>Y</w:t>
            </w:r>
          </w:p>
        </w:tc>
        <w:tc>
          <w:tcPr>
            <w:tcW w:w="501" w:type="pct"/>
            <w:vAlign w:val="center"/>
          </w:tcPr>
          <w:p w14:paraId="22EC656E">
            <w:pPr>
              <w:jc w:val="center"/>
              <w:rPr>
                <w:sz w:val="18"/>
                <w:szCs w:val="18"/>
              </w:rPr>
            </w:pPr>
            <w:r>
              <w:rPr>
                <w:sz w:val="18"/>
                <w:szCs w:val="18"/>
              </w:rPr>
              <w:t>Z</w:t>
            </w:r>
          </w:p>
        </w:tc>
        <w:tc>
          <w:tcPr>
            <w:tcW w:w="811" w:type="pct"/>
            <w:vMerge w:val="continue"/>
            <w:vAlign w:val="center"/>
          </w:tcPr>
          <w:p w14:paraId="61FC0154">
            <w:pPr>
              <w:jc w:val="center"/>
              <w:rPr>
                <w:sz w:val="18"/>
                <w:szCs w:val="18"/>
              </w:rPr>
            </w:pPr>
          </w:p>
        </w:tc>
        <w:tc>
          <w:tcPr>
            <w:tcW w:w="987" w:type="pct"/>
            <w:vMerge w:val="continue"/>
            <w:vAlign w:val="center"/>
          </w:tcPr>
          <w:p w14:paraId="1BCBE196">
            <w:pPr>
              <w:jc w:val="center"/>
              <w:rPr>
                <w:sz w:val="18"/>
                <w:szCs w:val="18"/>
              </w:rPr>
            </w:pPr>
          </w:p>
        </w:tc>
        <w:tc>
          <w:tcPr>
            <w:tcW w:w="408" w:type="pct"/>
            <w:vMerge w:val="continue"/>
            <w:vAlign w:val="center"/>
          </w:tcPr>
          <w:p w14:paraId="779A0ACF">
            <w:pPr>
              <w:jc w:val="center"/>
              <w:rPr>
                <w:sz w:val="18"/>
                <w:szCs w:val="18"/>
              </w:rPr>
            </w:pPr>
          </w:p>
        </w:tc>
      </w:tr>
      <w:tr w14:paraId="324BB3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206" w:type="pct"/>
            <w:vAlign w:val="center"/>
          </w:tcPr>
          <w:p w14:paraId="1A14ED34">
            <w:pPr>
              <w:jc w:val="center"/>
              <w:rPr>
                <w:sz w:val="18"/>
                <w:szCs w:val="18"/>
              </w:rPr>
            </w:pPr>
            <w:r>
              <w:rPr>
                <w:sz w:val="18"/>
                <w:szCs w:val="18"/>
              </w:rPr>
              <w:t>1</w:t>
            </w:r>
          </w:p>
        </w:tc>
        <w:tc>
          <w:tcPr>
            <w:tcW w:w="485" w:type="pct"/>
            <w:vAlign w:val="center"/>
          </w:tcPr>
          <w:p w14:paraId="2FDC9891">
            <w:pPr>
              <w:jc w:val="center"/>
              <w:rPr>
                <w:sz w:val="18"/>
                <w:szCs w:val="18"/>
              </w:rPr>
            </w:pPr>
            <w:r>
              <w:rPr>
                <w:sz w:val="18"/>
                <w:szCs w:val="18"/>
              </w:rPr>
              <w:t>引风机</w:t>
            </w:r>
          </w:p>
        </w:tc>
        <w:tc>
          <w:tcPr>
            <w:tcW w:w="644" w:type="pct"/>
            <w:vAlign w:val="center"/>
          </w:tcPr>
          <w:p w14:paraId="3CD5C0C0">
            <w:pPr>
              <w:jc w:val="center"/>
              <w:rPr>
                <w:sz w:val="18"/>
                <w:szCs w:val="18"/>
              </w:rPr>
            </w:pPr>
            <w:r>
              <w:rPr>
                <w:rFonts w:hint="eastAsia"/>
                <w:sz w:val="18"/>
                <w:szCs w:val="18"/>
              </w:rPr>
              <w:t>7</w:t>
            </w:r>
            <w:r>
              <w:rPr>
                <w:sz w:val="18"/>
                <w:szCs w:val="18"/>
              </w:rPr>
              <w:t>000m</w:t>
            </w:r>
            <w:r>
              <w:rPr>
                <w:sz w:val="18"/>
                <w:szCs w:val="18"/>
                <w:vertAlign w:val="superscript"/>
              </w:rPr>
              <w:t>3</w:t>
            </w:r>
            <w:r>
              <w:rPr>
                <w:sz w:val="18"/>
                <w:szCs w:val="18"/>
              </w:rPr>
              <w:t>/h</w:t>
            </w:r>
          </w:p>
        </w:tc>
        <w:tc>
          <w:tcPr>
            <w:tcW w:w="444" w:type="pct"/>
            <w:vAlign w:val="center"/>
          </w:tcPr>
          <w:p w14:paraId="6F5069ED">
            <w:pPr>
              <w:jc w:val="center"/>
              <w:rPr>
                <w:sz w:val="18"/>
                <w:szCs w:val="18"/>
              </w:rPr>
            </w:pPr>
            <w:r>
              <w:rPr>
                <w:rFonts w:hint="eastAsia"/>
                <w:sz w:val="18"/>
                <w:szCs w:val="18"/>
              </w:rPr>
              <w:t>22</w:t>
            </w:r>
          </w:p>
        </w:tc>
        <w:tc>
          <w:tcPr>
            <w:tcW w:w="510" w:type="pct"/>
            <w:vAlign w:val="center"/>
          </w:tcPr>
          <w:p w14:paraId="7AFCA3AD">
            <w:pPr>
              <w:jc w:val="center"/>
              <w:rPr>
                <w:sz w:val="18"/>
                <w:szCs w:val="18"/>
              </w:rPr>
            </w:pPr>
            <w:r>
              <w:rPr>
                <w:rFonts w:hint="eastAsia"/>
                <w:sz w:val="18"/>
                <w:szCs w:val="18"/>
              </w:rPr>
              <w:t>13.5</w:t>
            </w:r>
          </w:p>
        </w:tc>
        <w:tc>
          <w:tcPr>
            <w:tcW w:w="501" w:type="pct"/>
            <w:vAlign w:val="center"/>
          </w:tcPr>
          <w:p w14:paraId="49202A58">
            <w:pPr>
              <w:jc w:val="center"/>
              <w:rPr>
                <w:sz w:val="18"/>
                <w:szCs w:val="18"/>
              </w:rPr>
            </w:pPr>
            <w:r>
              <w:rPr>
                <w:sz w:val="18"/>
                <w:szCs w:val="18"/>
              </w:rPr>
              <w:t>0.5</w:t>
            </w:r>
          </w:p>
        </w:tc>
        <w:tc>
          <w:tcPr>
            <w:tcW w:w="811" w:type="pct"/>
            <w:vAlign w:val="center"/>
          </w:tcPr>
          <w:p w14:paraId="72054D9A">
            <w:pPr>
              <w:jc w:val="center"/>
              <w:rPr>
                <w:sz w:val="18"/>
                <w:szCs w:val="18"/>
              </w:rPr>
            </w:pPr>
            <w:r>
              <w:rPr>
                <w:rFonts w:hint="eastAsia"/>
                <w:sz w:val="18"/>
                <w:szCs w:val="18"/>
              </w:rPr>
              <w:t>88</w:t>
            </w:r>
          </w:p>
        </w:tc>
        <w:tc>
          <w:tcPr>
            <w:tcW w:w="987" w:type="pct"/>
            <w:vAlign w:val="center"/>
          </w:tcPr>
          <w:p w14:paraId="507F12C4">
            <w:pPr>
              <w:jc w:val="center"/>
              <w:rPr>
                <w:sz w:val="18"/>
                <w:szCs w:val="18"/>
              </w:rPr>
            </w:pPr>
            <w:r>
              <w:rPr>
                <w:sz w:val="18"/>
                <w:szCs w:val="18"/>
              </w:rPr>
              <w:t>减震、润滑、消声</w:t>
            </w:r>
            <w:r>
              <w:rPr>
                <w:rFonts w:hint="eastAsia"/>
                <w:sz w:val="18"/>
                <w:szCs w:val="18"/>
              </w:rPr>
              <w:t>、密闭隔声</w:t>
            </w:r>
          </w:p>
        </w:tc>
        <w:tc>
          <w:tcPr>
            <w:tcW w:w="408" w:type="pct"/>
            <w:vAlign w:val="center"/>
          </w:tcPr>
          <w:p w14:paraId="35FFD2EE">
            <w:pPr>
              <w:jc w:val="center"/>
              <w:rPr>
                <w:sz w:val="18"/>
                <w:szCs w:val="18"/>
              </w:rPr>
            </w:pPr>
            <w:r>
              <w:rPr>
                <w:sz w:val="18"/>
                <w:szCs w:val="18"/>
              </w:rPr>
              <w:t>昼</w:t>
            </w:r>
          </w:p>
        </w:tc>
      </w:tr>
      <w:tr w14:paraId="3A7E5F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206" w:type="pct"/>
            <w:vAlign w:val="center"/>
          </w:tcPr>
          <w:p w14:paraId="1D288055">
            <w:pPr>
              <w:jc w:val="center"/>
              <w:rPr>
                <w:sz w:val="18"/>
                <w:szCs w:val="18"/>
              </w:rPr>
            </w:pPr>
            <w:r>
              <w:rPr>
                <w:rFonts w:hint="eastAsia"/>
                <w:sz w:val="18"/>
                <w:szCs w:val="18"/>
              </w:rPr>
              <w:t>2</w:t>
            </w:r>
          </w:p>
        </w:tc>
        <w:tc>
          <w:tcPr>
            <w:tcW w:w="485" w:type="pct"/>
            <w:vAlign w:val="center"/>
          </w:tcPr>
          <w:p w14:paraId="35D00DCD">
            <w:pPr>
              <w:jc w:val="center"/>
              <w:rPr>
                <w:sz w:val="18"/>
                <w:szCs w:val="18"/>
              </w:rPr>
            </w:pPr>
            <w:r>
              <w:rPr>
                <w:sz w:val="18"/>
                <w:szCs w:val="18"/>
              </w:rPr>
              <w:t>引风机</w:t>
            </w:r>
          </w:p>
        </w:tc>
        <w:tc>
          <w:tcPr>
            <w:tcW w:w="644" w:type="pct"/>
            <w:vAlign w:val="center"/>
          </w:tcPr>
          <w:p w14:paraId="09AE51E9">
            <w:pPr>
              <w:jc w:val="center"/>
              <w:rPr>
                <w:sz w:val="18"/>
                <w:szCs w:val="18"/>
              </w:rPr>
            </w:pPr>
            <w:r>
              <w:rPr>
                <w:rFonts w:hint="eastAsia"/>
                <w:sz w:val="18"/>
                <w:szCs w:val="18"/>
              </w:rPr>
              <w:t>2</w:t>
            </w:r>
            <w:r>
              <w:rPr>
                <w:sz w:val="18"/>
                <w:szCs w:val="18"/>
              </w:rPr>
              <w:t>00m</w:t>
            </w:r>
            <w:r>
              <w:rPr>
                <w:sz w:val="18"/>
                <w:szCs w:val="18"/>
                <w:vertAlign w:val="superscript"/>
              </w:rPr>
              <w:t>3</w:t>
            </w:r>
            <w:r>
              <w:rPr>
                <w:sz w:val="18"/>
                <w:szCs w:val="18"/>
              </w:rPr>
              <w:t>/h</w:t>
            </w:r>
          </w:p>
        </w:tc>
        <w:tc>
          <w:tcPr>
            <w:tcW w:w="444" w:type="pct"/>
            <w:vAlign w:val="center"/>
          </w:tcPr>
          <w:p w14:paraId="7F89025A">
            <w:pPr>
              <w:jc w:val="center"/>
              <w:rPr>
                <w:sz w:val="18"/>
                <w:szCs w:val="18"/>
              </w:rPr>
            </w:pPr>
            <w:r>
              <w:rPr>
                <w:rFonts w:hint="eastAsia"/>
                <w:sz w:val="18"/>
                <w:szCs w:val="18"/>
              </w:rPr>
              <w:t>32</w:t>
            </w:r>
          </w:p>
        </w:tc>
        <w:tc>
          <w:tcPr>
            <w:tcW w:w="510" w:type="pct"/>
            <w:vAlign w:val="center"/>
          </w:tcPr>
          <w:p w14:paraId="462C2511">
            <w:pPr>
              <w:jc w:val="center"/>
              <w:rPr>
                <w:sz w:val="18"/>
                <w:szCs w:val="18"/>
              </w:rPr>
            </w:pPr>
            <w:r>
              <w:rPr>
                <w:rFonts w:hint="eastAsia"/>
                <w:sz w:val="18"/>
                <w:szCs w:val="18"/>
              </w:rPr>
              <w:t>10.5</w:t>
            </w:r>
          </w:p>
        </w:tc>
        <w:tc>
          <w:tcPr>
            <w:tcW w:w="501" w:type="pct"/>
            <w:vAlign w:val="center"/>
          </w:tcPr>
          <w:p w14:paraId="2696C615">
            <w:pPr>
              <w:jc w:val="center"/>
              <w:rPr>
                <w:sz w:val="18"/>
                <w:szCs w:val="18"/>
              </w:rPr>
            </w:pPr>
            <w:r>
              <w:rPr>
                <w:rFonts w:hint="eastAsia"/>
                <w:sz w:val="18"/>
                <w:szCs w:val="18"/>
              </w:rPr>
              <w:t>0.5</w:t>
            </w:r>
          </w:p>
        </w:tc>
        <w:tc>
          <w:tcPr>
            <w:tcW w:w="811" w:type="pct"/>
            <w:vAlign w:val="center"/>
          </w:tcPr>
          <w:p w14:paraId="0139E35B">
            <w:pPr>
              <w:jc w:val="center"/>
              <w:rPr>
                <w:sz w:val="18"/>
                <w:szCs w:val="18"/>
              </w:rPr>
            </w:pPr>
            <w:r>
              <w:rPr>
                <w:rFonts w:hint="eastAsia"/>
                <w:sz w:val="18"/>
                <w:szCs w:val="18"/>
              </w:rPr>
              <w:t>85</w:t>
            </w:r>
          </w:p>
        </w:tc>
        <w:tc>
          <w:tcPr>
            <w:tcW w:w="987" w:type="pct"/>
            <w:vAlign w:val="center"/>
          </w:tcPr>
          <w:p w14:paraId="24D3D7BA">
            <w:pPr>
              <w:jc w:val="center"/>
              <w:rPr>
                <w:sz w:val="18"/>
                <w:szCs w:val="18"/>
              </w:rPr>
            </w:pPr>
            <w:r>
              <w:rPr>
                <w:sz w:val="18"/>
                <w:szCs w:val="18"/>
              </w:rPr>
              <w:t>减震、润滑、消声</w:t>
            </w:r>
            <w:r>
              <w:rPr>
                <w:rFonts w:hint="eastAsia"/>
                <w:sz w:val="18"/>
                <w:szCs w:val="18"/>
              </w:rPr>
              <w:t>、密闭隔声</w:t>
            </w:r>
          </w:p>
        </w:tc>
        <w:tc>
          <w:tcPr>
            <w:tcW w:w="408" w:type="pct"/>
            <w:vAlign w:val="center"/>
          </w:tcPr>
          <w:p w14:paraId="6E07C0DA">
            <w:pPr>
              <w:jc w:val="center"/>
              <w:rPr>
                <w:sz w:val="18"/>
                <w:szCs w:val="18"/>
              </w:rPr>
            </w:pPr>
            <w:r>
              <w:rPr>
                <w:rFonts w:hint="eastAsia"/>
                <w:sz w:val="18"/>
                <w:szCs w:val="18"/>
              </w:rPr>
              <w:t>24h</w:t>
            </w:r>
          </w:p>
        </w:tc>
      </w:tr>
      <w:tr w14:paraId="5B4072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5000" w:type="pct"/>
            <w:gridSpan w:val="9"/>
            <w:vAlign w:val="center"/>
          </w:tcPr>
          <w:p w14:paraId="1D121F1E">
            <w:pPr>
              <w:jc w:val="left"/>
              <w:rPr>
                <w:sz w:val="18"/>
                <w:szCs w:val="18"/>
              </w:rPr>
            </w:pPr>
            <w:r>
              <w:rPr>
                <w:sz w:val="18"/>
                <w:szCs w:val="18"/>
              </w:rPr>
              <w:t>注：空间相对位置坐标原点为</w:t>
            </w:r>
            <w:r>
              <w:rPr>
                <w:rFonts w:hint="eastAsia"/>
                <w:sz w:val="18"/>
                <w:szCs w:val="18"/>
              </w:rPr>
              <w:t>北侧研发检测车间</w:t>
            </w:r>
            <w:r>
              <w:rPr>
                <w:sz w:val="18"/>
                <w:szCs w:val="18"/>
              </w:rPr>
              <w:t>西南角，东向为X轴正方向，北向为Y轴正方向，Z轴高度取设备中心点</w:t>
            </w:r>
          </w:p>
        </w:tc>
      </w:tr>
    </w:tbl>
    <w:p w14:paraId="527F1A13">
      <w:pPr>
        <w:pStyle w:val="18"/>
        <w:outlineLvl w:val="0"/>
        <w:rPr>
          <w:rFonts w:ascii="Times New Roman" w:hAnsi="Times New Roman" w:eastAsia="黑体"/>
          <w:snapToGrid w:val="0"/>
          <w:sz w:val="30"/>
          <w:szCs w:val="30"/>
        </w:rPr>
        <w:sectPr>
          <w:pgSz w:w="16838" w:h="11906" w:orient="landscape"/>
          <w:pgMar w:top="851" w:right="1418" w:bottom="1418" w:left="1418" w:header="851" w:footer="851" w:gutter="0"/>
          <w:pgBorders>
            <w:top w:val="none" w:sz="0" w:space="0"/>
            <w:left w:val="none" w:sz="0" w:space="0"/>
            <w:bottom w:val="none" w:sz="0" w:space="0"/>
            <w:right w:val="none" w:sz="0" w:space="0"/>
          </w:pgBorders>
          <w:cols w:space="720" w:num="1"/>
          <w:docGrid w:linePitch="312" w:charSpace="0"/>
        </w:sectPr>
      </w:pPr>
    </w:p>
    <w:tbl>
      <w:tblPr>
        <w:tblStyle w:val="23"/>
        <w:tblW w:w="930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66"/>
        <w:gridCol w:w="9042"/>
      </w:tblGrid>
      <w:tr w14:paraId="197B87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46" w:hRule="atLeast"/>
          <w:jc w:val="center"/>
        </w:trPr>
        <w:tc>
          <w:tcPr>
            <w:tcW w:w="266" w:type="dxa"/>
            <w:tcMar>
              <w:left w:w="28" w:type="dxa"/>
              <w:right w:w="28" w:type="dxa"/>
            </w:tcMar>
            <w:vAlign w:val="center"/>
          </w:tcPr>
          <w:p w14:paraId="71181B13">
            <w:pPr>
              <w:adjustRightInd w:val="0"/>
              <w:snapToGrid w:val="0"/>
              <w:jc w:val="center"/>
              <w:rPr>
                <w:bCs/>
                <w:szCs w:val="21"/>
              </w:rPr>
            </w:pPr>
            <w:r>
              <w:rPr>
                <w:bCs/>
                <w:szCs w:val="21"/>
              </w:rPr>
              <w:t>运营</w:t>
            </w:r>
          </w:p>
          <w:p w14:paraId="44D38F61">
            <w:pPr>
              <w:adjustRightInd w:val="0"/>
              <w:snapToGrid w:val="0"/>
              <w:jc w:val="center"/>
              <w:rPr>
                <w:bCs/>
                <w:szCs w:val="21"/>
              </w:rPr>
            </w:pPr>
            <w:r>
              <w:rPr>
                <w:bCs/>
                <w:szCs w:val="21"/>
              </w:rPr>
              <w:t>期环</w:t>
            </w:r>
          </w:p>
          <w:p w14:paraId="0330503D">
            <w:pPr>
              <w:adjustRightInd w:val="0"/>
              <w:snapToGrid w:val="0"/>
              <w:jc w:val="center"/>
              <w:rPr>
                <w:bCs/>
                <w:szCs w:val="21"/>
              </w:rPr>
            </w:pPr>
            <w:r>
              <w:rPr>
                <w:bCs/>
                <w:szCs w:val="21"/>
              </w:rPr>
              <w:t>境影</w:t>
            </w:r>
          </w:p>
          <w:p w14:paraId="6F82D906">
            <w:pPr>
              <w:adjustRightInd w:val="0"/>
              <w:snapToGrid w:val="0"/>
              <w:jc w:val="center"/>
              <w:rPr>
                <w:bCs/>
                <w:szCs w:val="21"/>
              </w:rPr>
            </w:pPr>
            <w:r>
              <w:rPr>
                <w:bCs/>
                <w:szCs w:val="21"/>
              </w:rPr>
              <w:t>响和</w:t>
            </w:r>
          </w:p>
          <w:p w14:paraId="09CCA31C">
            <w:pPr>
              <w:adjustRightInd w:val="0"/>
              <w:snapToGrid w:val="0"/>
              <w:jc w:val="center"/>
              <w:rPr>
                <w:bCs/>
                <w:szCs w:val="21"/>
              </w:rPr>
            </w:pPr>
            <w:r>
              <w:rPr>
                <w:bCs/>
                <w:szCs w:val="21"/>
              </w:rPr>
              <w:t>保护</w:t>
            </w:r>
          </w:p>
          <w:p w14:paraId="0A9A312E">
            <w:pPr>
              <w:adjustRightInd w:val="0"/>
              <w:snapToGrid w:val="0"/>
              <w:jc w:val="center"/>
              <w:rPr>
                <w:bCs/>
                <w:szCs w:val="21"/>
              </w:rPr>
            </w:pPr>
            <w:r>
              <w:rPr>
                <w:bCs/>
                <w:szCs w:val="21"/>
              </w:rPr>
              <w:t>措施</w:t>
            </w:r>
          </w:p>
        </w:tc>
        <w:tc>
          <w:tcPr>
            <w:tcW w:w="9040" w:type="dxa"/>
            <w:vAlign w:val="center"/>
          </w:tcPr>
          <w:p w14:paraId="585D7A8A">
            <w:pPr>
              <w:adjustRightInd w:val="0"/>
              <w:snapToGrid w:val="0"/>
              <w:spacing w:before="120" w:beforeLines="50" w:line="360" w:lineRule="auto"/>
              <w:ind w:firstLine="227" w:firstLineChars="100"/>
              <w:rPr>
                <w:szCs w:val="21"/>
              </w:rPr>
            </w:pPr>
            <w:r>
              <w:rPr>
                <w:b/>
                <w:bCs/>
                <w:spacing w:val="8"/>
                <w:kern w:val="0"/>
                <w:szCs w:val="21"/>
              </w:rPr>
              <w:t>（2）</w:t>
            </w:r>
            <w:r>
              <w:rPr>
                <w:b/>
                <w:bCs/>
                <w:szCs w:val="21"/>
              </w:rPr>
              <w:t>声环境影响分析</w:t>
            </w:r>
          </w:p>
          <w:p w14:paraId="1532EF41">
            <w:pPr>
              <w:adjustRightInd w:val="0"/>
              <w:snapToGrid w:val="0"/>
              <w:spacing w:line="360" w:lineRule="auto"/>
              <w:ind w:firstLine="420" w:firstLineChars="200"/>
              <w:rPr>
                <w:szCs w:val="21"/>
              </w:rPr>
            </w:pPr>
            <w:r>
              <w:rPr>
                <w:rFonts w:hint="eastAsia" w:ascii="宋体" w:hAnsi="宋体" w:cs="宋体"/>
                <w:szCs w:val="21"/>
              </w:rPr>
              <w:t>①</w:t>
            </w:r>
            <w:r>
              <w:rPr>
                <w:szCs w:val="21"/>
              </w:rPr>
              <w:t>预测模式</w:t>
            </w:r>
          </w:p>
          <w:p w14:paraId="5E115266">
            <w:pPr>
              <w:adjustRightInd w:val="0"/>
              <w:snapToGrid w:val="0"/>
              <w:spacing w:line="360" w:lineRule="auto"/>
              <w:ind w:firstLine="420" w:firstLineChars="200"/>
              <w:rPr>
                <w:szCs w:val="21"/>
              </w:rPr>
            </w:pPr>
            <w:r>
              <w:rPr>
                <w:szCs w:val="21"/>
              </w:rPr>
              <w:t>噪声预测参照《环境影响评价技术导则 声环境》（HJ2.4-2021）附录B.1工业噪声预测模式，适当简化。根据《环境影响评价技术导则 声环境》（HJ2.4-2021），声源分为室内和室外两种，应分别进行计算。</w:t>
            </w:r>
          </w:p>
          <w:p w14:paraId="5992FF53">
            <w:pPr>
              <w:adjustRightInd w:val="0"/>
              <w:snapToGrid w:val="0"/>
              <w:spacing w:line="360" w:lineRule="auto"/>
              <w:ind w:firstLine="420" w:firstLineChars="200"/>
              <w:rPr>
                <w:szCs w:val="21"/>
              </w:rPr>
            </w:pPr>
            <w:r>
              <w:rPr>
                <w:szCs w:val="21"/>
              </w:rPr>
              <w:t>A．室外声源在预测点产生的声级计算模型</w:t>
            </w:r>
          </w:p>
          <w:p w14:paraId="7759FF0C">
            <w:pPr>
              <w:adjustRightInd w:val="0"/>
              <w:snapToGrid w:val="0"/>
              <w:spacing w:line="360" w:lineRule="auto"/>
              <w:ind w:firstLine="420" w:firstLineChars="200"/>
              <w:rPr>
                <w:szCs w:val="21"/>
              </w:rPr>
            </w:pPr>
            <w:r>
              <w:rPr>
                <w:szCs w:val="21"/>
              </w:rPr>
              <w:t>本次预测噪声源外排影响时仅考虑几何发散衰减，而忽略在传播过程中的阻隔物、空气、地面等的影响。如果已知点声源的倍频带声功率级或A计权声功率级（LAW），且声源处于半自由声场，则几何发散衰减的公式如下：</w:t>
            </w:r>
          </w:p>
          <w:p w14:paraId="529A5EC7">
            <w:pPr>
              <w:adjustRightInd w:val="0"/>
              <w:snapToGrid w:val="0"/>
              <w:spacing w:line="360" w:lineRule="auto"/>
              <w:ind w:firstLine="420" w:firstLineChars="200"/>
              <w:rPr>
                <w:szCs w:val="21"/>
              </w:rPr>
            </w:pPr>
            <w:r>
              <w:rPr>
                <w:szCs w:val="21"/>
              </w:rPr>
              <w:object>
                <v:shape id="_x0000_i1026" o:spt="75" type="#_x0000_t75" style="height:21pt;width:107pt;" o:ole="t" filled="f" o:preferrelative="t" stroked="f" coordsize="21600,21600">
                  <v:path/>
                  <v:fill on="f" focussize="0,0"/>
                  <v:stroke on="f" joinstyle="miter"/>
                  <v:imagedata r:id="rId18" cropbottom="28308f" o:title=""/>
                  <o:lock v:ext="edit" aspectratio="t"/>
                  <w10:wrap type="none"/>
                  <w10:anchorlock/>
                </v:shape>
                <o:OLEObject Type="Embed" ProgID="Equation.3" ShapeID="_x0000_i1026" DrawAspect="Content" ObjectID="_1468075726" r:id="rId17">
                  <o:LockedField>false</o:LockedField>
                </o:OLEObject>
              </w:object>
            </w:r>
          </w:p>
          <w:p w14:paraId="0732D608">
            <w:pPr>
              <w:adjustRightInd w:val="0"/>
              <w:snapToGrid w:val="0"/>
              <w:spacing w:line="360" w:lineRule="auto"/>
              <w:ind w:firstLine="420" w:firstLineChars="200"/>
              <w:rPr>
                <w:szCs w:val="21"/>
              </w:rPr>
            </w:pPr>
            <w:r>
              <w:rPr>
                <w:szCs w:val="21"/>
              </w:rPr>
              <w:t>式中：Lp</w:t>
            </w:r>
            <w:r>
              <w:rPr>
                <w:rFonts w:hint="eastAsia"/>
                <w:szCs w:val="21"/>
              </w:rPr>
              <w:t>(</w:t>
            </w:r>
            <w:r>
              <w:rPr>
                <w:szCs w:val="21"/>
              </w:rPr>
              <w:t>r）——预测点处声压级。dB；</w:t>
            </w:r>
          </w:p>
          <w:p w14:paraId="4449AD4C">
            <w:pPr>
              <w:adjustRightInd w:val="0"/>
              <w:snapToGrid w:val="0"/>
              <w:spacing w:line="360" w:lineRule="auto"/>
              <w:ind w:firstLine="1050" w:firstLineChars="500"/>
              <w:rPr>
                <w:szCs w:val="21"/>
              </w:rPr>
            </w:pPr>
            <w:r>
              <w:rPr>
                <w:szCs w:val="21"/>
              </w:rPr>
              <w:t>L</w:t>
            </w:r>
            <w:r>
              <w:rPr>
                <w:szCs w:val="21"/>
                <w:vertAlign w:val="subscript"/>
              </w:rPr>
              <w:t>w</w:t>
            </w:r>
            <w:r>
              <w:rPr>
                <w:szCs w:val="21"/>
              </w:rPr>
              <w:t>——由点声源产生的倍频带声功率级，dB;</w:t>
            </w:r>
          </w:p>
          <w:p w14:paraId="598A25E2">
            <w:pPr>
              <w:adjustRightInd w:val="0"/>
              <w:snapToGrid w:val="0"/>
              <w:spacing w:line="360" w:lineRule="auto"/>
              <w:ind w:firstLine="1050" w:firstLineChars="500"/>
              <w:rPr>
                <w:szCs w:val="21"/>
              </w:rPr>
            </w:pPr>
            <w:r>
              <w:rPr>
                <w:szCs w:val="21"/>
              </w:rPr>
              <w:t>r——预测点距声源的距离。</w:t>
            </w:r>
          </w:p>
          <w:p w14:paraId="23DC30CF">
            <w:pPr>
              <w:adjustRightInd w:val="0"/>
              <w:snapToGrid w:val="0"/>
              <w:spacing w:line="360" w:lineRule="auto"/>
              <w:jc w:val="center"/>
              <w:rPr>
                <w:szCs w:val="21"/>
              </w:rPr>
            </w:pPr>
            <w:r>
              <w:rPr>
                <w:position w:val="-30"/>
                <w:szCs w:val="21"/>
              </w:rPr>
              <w:object>
                <v:shape id="_x0000_i1027" o:spt="75" type="#_x0000_t75" style="height:21pt;width:113pt;" o:ole="t" filled="f" o:preferrelative="t" stroked="f" coordsize="21600,21600">
                  <v:path/>
                  <v:fill on="f" focussize="0,0"/>
                  <v:stroke on="f" joinstyle="miter"/>
                  <v:imagedata r:id="rId20" cropbottom="28308f" o:title=""/>
                  <o:lock v:ext="edit" aspectratio="t"/>
                  <w10:wrap type="none"/>
                  <w10:anchorlock/>
                </v:shape>
                <o:OLEObject Type="Embed" ProgID="Equation.3" ShapeID="_x0000_i1027" DrawAspect="Content" ObjectID="_1468075727" r:id="rId19">
                  <o:LockedField>false</o:LockedField>
                </o:OLEObject>
              </w:object>
            </w:r>
          </w:p>
          <w:p w14:paraId="514949A5">
            <w:pPr>
              <w:adjustRightInd w:val="0"/>
              <w:snapToGrid w:val="0"/>
              <w:spacing w:line="360" w:lineRule="auto"/>
              <w:ind w:firstLine="420" w:firstLineChars="200"/>
              <w:rPr>
                <w:szCs w:val="21"/>
              </w:rPr>
            </w:pPr>
            <w:r>
              <w:rPr>
                <w:szCs w:val="21"/>
              </w:rPr>
              <w:t>式中：L</w:t>
            </w:r>
            <w:r>
              <w:rPr>
                <w:szCs w:val="21"/>
                <w:vertAlign w:val="subscript"/>
              </w:rPr>
              <w:t>A</w:t>
            </w:r>
            <w:r>
              <w:rPr>
                <w:szCs w:val="21"/>
              </w:rPr>
              <w:t>（r）——距声源r处的A声级，dB</w:t>
            </w:r>
            <w:r>
              <w:rPr>
                <w:rFonts w:hint="eastAsia"/>
                <w:szCs w:val="21"/>
              </w:rPr>
              <w:t>(</w:t>
            </w:r>
            <w:r>
              <w:rPr>
                <w:szCs w:val="21"/>
              </w:rPr>
              <w:t>A）；</w:t>
            </w:r>
          </w:p>
          <w:p w14:paraId="039B0D9F">
            <w:pPr>
              <w:adjustRightInd w:val="0"/>
              <w:snapToGrid w:val="0"/>
              <w:spacing w:line="360" w:lineRule="auto"/>
              <w:ind w:firstLine="1050" w:firstLineChars="500"/>
              <w:rPr>
                <w:szCs w:val="21"/>
              </w:rPr>
            </w:pPr>
            <w:r>
              <w:rPr>
                <w:szCs w:val="21"/>
              </w:rPr>
              <w:t>L</w:t>
            </w:r>
            <w:r>
              <w:rPr>
                <w:szCs w:val="21"/>
                <w:vertAlign w:val="subscript"/>
              </w:rPr>
              <w:t>Aw</w:t>
            </w:r>
            <w:r>
              <w:rPr>
                <w:szCs w:val="21"/>
              </w:rPr>
              <w:t>——点声源A计权声功率级，dB;</w:t>
            </w:r>
          </w:p>
          <w:p w14:paraId="6E663598">
            <w:pPr>
              <w:adjustRightInd w:val="0"/>
              <w:snapToGrid w:val="0"/>
              <w:spacing w:line="360" w:lineRule="auto"/>
              <w:ind w:firstLine="1050" w:firstLineChars="500"/>
              <w:rPr>
                <w:szCs w:val="21"/>
              </w:rPr>
            </w:pPr>
            <w:r>
              <w:rPr>
                <w:szCs w:val="21"/>
              </w:rPr>
              <w:t>r——预测点距声源的距离。</w:t>
            </w:r>
          </w:p>
          <w:p w14:paraId="62230832">
            <w:pPr>
              <w:adjustRightInd w:val="0"/>
              <w:snapToGrid w:val="0"/>
              <w:spacing w:line="360" w:lineRule="auto"/>
              <w:ind w:firstLine="420" w:firstLineChars="200"/>
              <w:rPr>
                <w:szCs w:val="21"/>
              </w:rPr>
            </w:pPr>
            <w:r>
              <w:rPr>
                <w:szCs w:val="21"/>
              </w:rPr>
              <w:t>B．室内声源在预测点产生的声级计算模型</w:t>
            </w:r>
          </w:p>
          <w:p w14:paraId="74FE494B">
            <w:pPr>
              <w:adjustRightInd w:val="0"/>
              <w:snapToGrid w:val="0"/>
              <w:spacing w:line="360" w:lineRule="auto"/>
              <w:ind w:firstLine="420" w:firstLineChars="200"/>
              <w:rPr>
                <w:szCs w:val="21"/>
              </w:rPr>
            </w:pPr>
            <w:r>
              <w:rPr>
                <w:szCs w:val="21"/>
              </w:rPr>
              <w:t>本次预测将室内声源等效成室外声源，然后按室外声源方法计算预测点处的A声级。</w:t>
            </w:r>
          </w:p>
          <w:p w14:paraId="5A4EA7FF">
            <w:pPr>
              <w:adjustRightInd w:val="0"/>
              <w:snapToGrid w:val="0"/>
              <w:spacing w:line="360" w:lineRule="auto"/>
              <w:ind w:firstLine="420" w:firstLineChars="200"/>
              <w:rPr>
                <w:szCs w:val="21"/>
              </w:rPr>
            </w:pPr>
            <w:r>
              <w:rPr>
                <w:szCs w:val="21"/>
              </w:rPr>
              <w:t>如下图所示，声源位于室内，室内声源可采用等效室外声功率级法进行计算。设靠近开口处（或窗户）室内、室外某倍频带的声压级或A声级分别为Lp1和Lp2。若声源所在室内声场为近似扩散声场，则室外的倍频带声压级可按式（B.1）近似求出：</w:t>
            </w:r>
          </w:p>
          <w:p w14:paraId="168FD541">
            <w:pPr>
              <w:adjustRightInd w:val="0"/>
              <w:snapToGrid w:val="0"/>
              <w:spacing w:line="360" w:lineRule="auto"/>
              <w:ind w:firstLine="420" w:firstLineChars="200"/>
              <w:jc w:val="center"/>
              <w:rPr>
                <w:szCs w:val="21"/>
              </w:rPr>
            </w:pPr>
            <w:r>
              <w:rPr>
                <w:szCs w:val="21"/>
              </w:rPr>
              <w:object>
                <v:shape id="_x0000_i1028" o:spt="75" type="#_x0000_t75" style="height:21pt;width:91pt;" o:ole="t" filled="f" o:preferrelative="t" stroked="f" coordsize="21600,21600">
                  <v:path/>
                  <v:fill on="f" focussize="0,0"/>
                  <v:stroke on="f" joinstyle="miter"/>
                  <v:imagedata r:id="rId22" o:title=""/>
                  <o:lock v:ext="edit" aspectratio="t"/>
                  <w10:wrap type="none"/>
                  <w10:anchorlock/>
                </v:shape>
                <o:OLEObject Type="Embed" ProgID="Equation.DSMT4" ShapeID="_x0000_i1028" DrawAspect="Content" ObjectID="_1468075728" r:id="rId21">
                  <o:LockedField>false</o:LockedField>
                </o:OLEObject>
              </w:object>
            </w:r>
            <w:r>
              <w:rPr>
                <w:szCs w:val="21"/>
              </w:rPr>
              <w:t xml:space="preserve">        （B.1）</w:t>
            </w:r>
          </w:p>
          <w:p w14:paraId="26F4DC82">
            <w:pPr>
              <w:adjustRightInd w:val="0"/>
              <w:snapToGrid w:val="0"/>
              <w:spacing w:line="360" w:lineRule="auto"/>
              <w:ind w:firstLine="420" w:firstLineChars="200"/>
              <w:rPr>
                <w:szCs w:val="21"/>
              </w:rPr>
            </w:pPr>
            <w:r>
              <w:rPr>
                <w:szCs w:val="21"/>
              </w:rPr>
              <w:t>式中：L</w:t>
            </w:r>
            <w:r>
              <w:rPr>
                <w:szCs w:val="21"/>
                <w:vertAlign w:val="subscript"/>
              </w:rPr>
              <w:t>P1</w:t>
            </w:r>
            <w:r>
              <w:rPr>
                <w:szCs w:val="21"/>
              </w:rPr>
              <w:t>——靠近开口处（或窗户）室内某倍频带的声压级或A声级，dB；</w:t>
            </w:r>
          </w:p>
          <w:p w14:paraId="1ABC1C0E">
            <w:pPr>
              <w:adjustRightInd w:val="0"/>
              <w:snapToGrid w:val="0"/>
              <w:spacing w:line="360" w:lineRule="auto"/>
              <w:ind w:firstLine="420" w:firstLineChars="200"/>
              <w:rPr>
                <w:szCs w:val="21"/>
              </w:rPr>
            </w:pPr>
            <w:r>
              <w:rPr>
                <w:szCs w:val="21"/>
              </w:rPr>
              <w:t xml:space="preserve">      L</w:t>
            </w:r>
            <w:r>
              <w:rPr>
                <w:szCs w:val="21"/>
                <w:vertAlign w:val="subscript"/>
              </w:rPr>
              <w:t>P2</w:t>
            </w:r>
            <w:r>
              <w:rPr>
                <w:szCs w:val="21"/>
              </w:rPr>
              <w:t>——靠近开口处（或窗户）室外某倍频带的声压级或A声级，dB；</w:t>
            </w:r>
          </w:p>
          <w:p w14:paraId="3D8CFABC">
            <w:pPr>
              <w:adjustRightInd w:val="0"/>
              <w:snapToGrid w:val="0"/>
              <w:spacing w:line="360" w:lineRule="auto"/>
              <w:ind w:firstLine="1050" w:firstLineChars="500"/>
              <w:rPr>
                <w:szCs w:val="21"/>
              </w:rPr>
            </w:pPr>
            <w:r>
              <w:rPr>
                <w:szCs w:val="21"/>
              </w:rPr>
              <w:t>TL——隔墙（或窗户）倍频带或A声级的隔声量，dB。</w:t>
            </w:r>
          </w:p>
          <w:p w14:paraId="647BDA3B">
            <w:pPr>
              <w:adjustRightInd w:val="0"/>
              <w:snapToGrid w:val="0"/>
              <w:ind w:firstLine="480" w:firstLineChars="200"/>
              <w:jc w:val="center"/>
              <w:rPr>
                <w:sz w:val="24"/>
              </w:rPr>
            </w:pPr>
            <w:r>
              <w:rPr>
                <w:sz w:val="24"/>
              </w:rPr>
              <w:drawing>
                <wp:inline distT="0" distB="0" distL="114300" distR="114300">
                  <wp:extent cx="1762760" cy="1079500"/>
                  <wp:effectExtent l="0" t="0" r="8890" b="6350"/>
                  <wp:docPr id="34" name="图片 17" descr="M)${~LN[]U69NF`@NZ[4PU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descr="M)${~LN[]U69NF`@NZ[4PU8"/>
                          <pic:cNvPicPr>
                            <a:picLocks noChangeAspect="1"/>
                          </pic:cNvPicPr>
                        </pic:nvPicPr>
                        <pic:blipFill>
                          <a:blip r:embed="rId23"/>
                          <a:stretch>
                            <a:fillRect/>
                          </a:stretch>
                        </pic:blipFill>
                        <pic:spPr>
                          <a:xfrm>
                            <a:off x="0" y="0"/>
                            <a:ext cx="1762760" cy="1079500"/>
                          </a:xfrm>
                          <a:prstGeom prst="rect">
                            <a:avLst/>
                          </a:prstGeom>
                          <a:noFill/>
                          <a:ln>
                            <a:noFill/>
                          </a:ln>
                        </pic:spPr>
                      </pic:pic>
                    </a:graphicData>
                  </a:graphic>
                </wp:inline>
              </w:drawing>
            </w:r>
          </w:p>
          <w:p w14:paraId="7E7004C3">
            <w:pPr>
              <w:pStyle w:val="92"/>
              <w:spacing w:line="360" w:lineRule="auto"/>
              <w:ind w:firstLine="0" w:firstLineChars="0"/>
              <w:rPr>
                <w:rFonts w:eastAsia="宋体"/>
                <w:sz w:val="21"/>
                <w:szCs w:val="21"/>
              </w:rPr>
            </w:pPr>
            <w:r>
              <w:rPr>
                <w:rFonts w:eastAsia="宋体"/>
                <w:sz w:val="21"/>
                <w:szCs w:val="21"/>
              </w:rPr>
              <w:t>图4-</w:t>
            </w:r>
            <w:r>
              <w:rPr>
                <w:rFonts w:hint="eastAsia" w:eastAsia="宋体"/>
                <w:sz w:val="21"/>
                <w:szCs w:val="21"/>
                <w:lang w:val="en-US" w:eastAsia="zh-CN"/>
              </w:rPr>
              <w:t>5</w:t>
            </w:r>
            <w:r>
              <w:rPr>
                <w:rFonts w:eastAsia="宋体"/>
                <w:sz w:val="21"/>
                <w:szCs w:val="21"/>
              </w:rPr>
              <w:t xml:space="preserve">  室内声源等效为室外声源图例</w:t>
            </w:r>
          </w:p>
          <w:p w14:paraId="2A73AC4B">
            <w:pPr>
              <w:adjustRightInd w:val="0"/>
              <w:snapToGrid w:val="0"/>
              <w:spacing w:line="360" w:lineRule="auto"/>
              <w:ind w:firstLine="420" w:firstLineChars="200"/>
              <w:rPr>
                <w:szCs w:val="21"/>
              </w:rPr>
            </w:pPr>
            <w:r>
              <w:rPr>
                <w:szCs w:val="21"/>
              </w:rPr>
              <w:t>也可按式（B.2）计算某一室内声源靠近围护结构处产生的倍频带声压级或A声级：</w:t>
            </w:r>
          </w:p>
          <w:p w14:paraId="32A5920A">
            <w:pPr>
              <w:adjustRightInd w:val="0"/>
              <w:snapToGrid w:val="0"/>
              <w:spacing w:line="360" w:lineRule="auto"/>
              <w:ind w:firstLine="420" w:firstLineChars="200"/>
              <w:jc w:val="center"/>
              <w:rPr>
                <w:szCs w:val="21"/>
              </w:rPr>
            </w:pPr>
            <w:r>
              <w:rPr>
                <w:szCs w:val="21"/>
              </w:rPr>
              <w:drawing>
                <wp:inline distT="0" distB="0" distL="114300" distR="114300">
                  <wp:extent cx="1744980" cy="426720"/>
                  <wp:effectExtent l="0" t="0" r="7620" b="12065"/>
                  <wp:docPr id="3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8"/>
                          <pic:cNvPicPr>
                            <a:picLocks noChangeAspect="1"/>
                          </pic:cNvPicPr>
                        </pic:nvPicPr>
                        <pic:blipFill>
                          <a:blip r:embed="rId24"/>
                          <a:stretch>
                            <a:fillRect/>
                          </a:stretch>
                        </pic:blipFill>
                        <pic:spPr>
                          <a:xfrm>
                            <a:off x="0" y="0"/>
                            <a:ext cx="1744980" cy="426720"/>
                          </a:xfrm>
                          <a:prstGeom prst="rect">
                            <a:avLst/>
                          </a:prstGeom>
                          <a:noFill/>
                          <a:ln>
                            <a:noFill/>
                          </a:ln>
                        </pic:spPr>
                      </pic:pic>
                    </a:graphicData>
                  </a:graphic>
                </wp:inline>
              </w:drawing>
            </w:r>
            <w:r>
              <w:rPr>
                <w:szCs w:val="21"/>
              </w:rPr>
              <w:t xml:space="preserve">  （B.2）</w:t>
            </w:r>
          </w:p>
          <w:p w14:paraId="14E0467A">
            <w:pPr>
              <w:adjustRightInd w:val="0"/>
              <w:snapToGrid w:val="0"/>
              <w:spacing w:line="360" w:lineRule="auto"/>
              <w:ind w:firstLine="420" w:firstLineChars="200"/>
              <w:rPr>
                <w:szCs w:val="21"/>
              </w:rPr>
            </w:pPr>
            <w:r>
              <w:rPr>
                <w:szCs w:val="21"/>
              </w:rPr>
              <w:t>式中：L</w:t>
            </w:r>
            <w:r>
              <w:rPr>
                <w:szCs w:val="21"/>
                <w:vertAlign w:val="subscript"/>
              </w:rPr>
              <w:t>P1</w:t>
            </w:r>
            <w:r>
              <w:rPr>
                <w:szCs w:val="21"/>
              </w:rPr>
              <w:t>——靠近开口处（或窗户）室内某倍频带的声压级或A声级，dB；</w:t>
            </w:r>
          </w:p>
          <w:p w14:paraId="7AFC7CAD">
            <w:pPr>
              <w:adjustRightInd w:val="0"/>
              <w:snapToGrid w:val="0"/>
              <w:spacing w:line="360" w:lineRule="auto"/>
              <w:ind w:firstLine="1050" w:firstLineChars="500"/>
              <w:rPr>
                <w:szCs w:val="21"/>
              </w:rPr>
            </w:pPr>
            <w:r>
              <w:rPr>
                <w:szCs w:val="21"/>
              </w:rPr>
              <w:t>L</w:t>
            </w:r>
            <w:r>
              <w:rPr>
                <w:szCs w:val="21"/>
                <w:vertAlign w:val="subscript"/>
              </w:rPr>
              <w:t>W</w:t>
            </w:r>
            <w:r>
              <w:rPr>
                <w:szCs w:val="21"/>
              </w:rPr>
              <w:t>——点声源声功率级（A计权或倍频带），dB；</w:t>
            </w:r>
          </w:p>
          <w:p w14:paraId="4347E831">
            <w:pPr>
              <w:adjustRightInd w:val="0"/>
              <w:snapToGrid w:val="0"/>
              <w:spacing w:line="360" w:lineRule="auto"/>
              <w:ind w:firstLine="1050" w:firstLineChars="500"/>
              <w:rPr>
                <w:szCs w:val="21"/>
              </w:rPr>
            </w:pPr>
            <w:r>
              <w:rPr>
                <w:szCs w:val="21"/>
              </w:rPr>
              <w:t>Q——指向性因素；通常对无指向性声源，当声源放在房间中心时，Q=1；当放在一面墙的中心时，Q=2；当放在两面墙夹角处时，Q=4；当放在三面墙夹角处时，Q=8。</w:t>
            </w:r>
          </w:p>
          <w:p w14:paraId="38A376A5">
            <w:pPr>
              <w:adjustRightInd w:val="0"/>
              <w:snapToGrid w:val="0"/>
              <w:spacing w:line="360" w:lineRule="auto"/>
              <w:ind w:firstLine="1050" w:firstLineChars="500"/>
              <w:rPr>
                <w:szCs w:val="21"/>
              </w:rPr>
            </w:pPr>
            <w:r>
              <w:rPr>
                <w:szCs w:val="21"/>
              </w:rPr>
              <w:t>R——房间常数；</w:t>
            </w:r>
            <w:r>
              <w:rPr>
                <w:szCs w:val="21"/>
              </w:rPr>
              <w:object>
                <v:shape id="_x0000_i1029" o:spt="75" type="#_x0000_t75" style="height:16pt;width:77pt;" o:ole="t" filled="f" o:preferrelative="t" stroked="f" coordsize="21600,21600">
                  <v:path/>
                  <v:fill on="f" focussize="0,0"/>
                  <v:stroke on="f" joinstyle="miter"/>
                  <v:imagedata r:id="rId26" o:title=""/>
                  <o:lock v:ext="edit" aspectratio="t"/>
                  <w10:wrap type="none"/>
                  <w10:anchorlock/>
                </v:shape>
                <o:OLEObject Type="Embed" ProgID="Equation.DSMT4" ShapeID="_x0000_i1029" DrawAspect="Content" ObjectID="_1468075729" r:id="rId25">
                  <o:LockedField>false</o:LockedField>
                </o:OLEObject>
              </w:object>
            </w:r>
            <w:r>
              <w:rPr>
                <w:szCs w:val="21"/>
              </w:rPr>
              <w:t>，</w:t>
            </w:r>
            <w:r>
              <w:rPr>
                <w:szCs w:val="21"/>
              </w:rPr>
              <w:object>
                <v:shape id="_x0000_i1030" o:spt="75" type="#_x0000_t75" style="height:14pt;width:11pt;" o:ole="t" filled="f" o:preferrelative="t" stroked="f" coordsize="21600,21600">
                  <v:path/>
                  <v:fill on="f" focussize="0,0"/>
                  <v:stroke on="f" joinstyle="miter"/>
                  <v:imagedata r:id="rId28" o:title=""/>
                  <o:lock v:ext="edit" aspectratio="t"/>
                  <w10:wrap type="none"/>
                  <w10:anchorlock/>
                </v:shape>
                <o:OLEObject Type="Embed" ProgID="Equation.DSMT4" ShapeID="_x0000_i1030" DrawAspect="Content" ObjectID="_1468075730" r:id="rId27">
                  <o:LockedField>false</o:LockedField>
                </o:OLEObject>
              </w:object>
            </w:r>
            <w:r>
              <w:rPr>
                <w:szCs w:val="21"/>
              </w:rPr>
              <w:t>为房间内表面面积，m</w:t>
            </w:r>
            <w:r>
              <w:rPr>
                <w:szCs w:val="21"/>
                <w:vertAlign w:val="superscript"/>
              </w:rPr>
              <w:t>2</w:t>
            </w:r>
            <w:r>
              <w:rPr>
                <w:szCs w:val="21"/>
              </w:rPr>
              <w:t>；</w:t>
            </w:r>
            <w:r>
              <w:rPr>
                <w:szCs w:val="21"/>
              </w:rPr>
              <w:object>
                <v:shape id="_x0000_i1031" o:spt="75" type="#_x0000_t75" style="height:11pt;width:11pt;" o:ole="t" filled="f" o:preferrelative="t" stroked="f" coordsize="21600,21600">
                  <v:path/>
                  <v:fill on="f" focussize="0,0"/>
                  <v:stroke on="f" joinstyle="miter"/>
                  <v:imagedata r:id="rId30" o:title=""/>
                  <o:lock v:ext="edit" aspectratio="t"/>
                  <w10:wrap type="none"/>
                  <w10:anchorlock/>
                </v:shape>
                <o:OLEObject Type="Embed" ProgID="Equation.DSMT4" ShapeID="_x0000_i1031" DrawAspect="Content" ObjectID="_1468075731" r:id="rId29">
                  <o:LockedField>false</o:LockedField>
                </o:OLEObject>
              </w:object>
            </w:r>
            <w:r>
              <w:rPr>
                <w:szCs w:val="21"/>
              </w:rPr>
              <w:t>为平均吸声系数；</w:t>
            </w:r>
          </w:p>
          <w:p w14:paraId="720B5F6C">
            <w:pPr>
              <w:adjustRightInd w:val="0"/>
              <w:snapToGrid w:val="0"/>
              <w:spacing w:line="360" w:lineRule="auto"/>
              <w:ind w:firstLine="1050" w:firstLineChars="500"/>
              <w:rPr>
                <w:szCs w:val="21"/>
              </w:rPr>
            </w:pPr>
            <w:r>
              <w:rPr>
                <w:szCs w:val="21"/>
              </w:rPr>
              <w:t>r——声源到靠近维护结构某点处距离，m。</w:t>
            </w:r>
          </w:p>
          <w:p w14:paraId="39589703">
            <w:pPr>
              <w:adjustRightInd w:val="0"/>
              <w:snapToGrid w:val="0"/>
              <w:spacing w:line="360" w:lineRule="auto"/>
              <w:ind w:firstLine="420" w:firstLineChars="200"/>
              <w:rPr>
                <w:szCs w:val="21"/>
              </w:rPr>
            </w:pPr>
            <w:r>
              <w:rPr>
                <w:szCs w:val="21"/>
              </w:rPr>
              <w:t>然后按式（B.3）计算出所有室内声源在围护结构处产生的i倍频带叠加声压级：</w:t>
            </w:r>
          </w:p>
          <w:p w14:paraId="16A633C5">
            <w:pPr>
              <w:adjustRightInd w:val="0"/>
              <w:snapToGrid w:val="0"/>
              <w:spacing w:line="360" w:lineRule="auto"/>
              <w:ind w:firstLine="420" w:firstLineChars="200"/>
              <w:jc w:val="center"/>
              <w:rPr>
                <w:szCs w:val="21"/>
              </w:rPr>
            </w:pPr>
            <w:r>
              <w:rPr>
                <w:szCs w:val="21"/>
              </w:rPr>
              <w:drawing>
                <wp:inline distT="0" distB="0" distL="114300" distR="114300">
                  <wp:extent cx="1722120" cy="487680"/>
                  <wp:effectExtent l="0" t="0" r="11430" b="6985"/>
                  <wp:docPr id="3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2"/>
                          <pic:cNvPicPr>
                            <a:picLocks noChangeAspect="1"/>
                          </pic:cNvPicPr>
                        </pic:nvPicPr>
                        <pic:blipFill>
                          <a:blip r:embed="rId31"/>
                          <a:stretch>
                            <a:fillRect/>
                          </a:stretch>
                        </pic:blipFill>
                        <pic:spPr>
                          <a:xfrm>
                            <a:off x="0" y="0"/>
                            <a:ext cx="1722120" cy="487680"/>
                          </a:xfrm>
                          <a:prstGeom prst="rect">
                            <a:avLst/>
                          </a:prstGeom>
                          <a:noFill/>
                          <a:ln>
                            <a:noFill/>
                          </a:ln>
                        </pic:spPr>
                      </pic:pic>
                    </a:graphicData>
                  </a:graphic>
                </wp:inline>
              </w:drawing>
            </w:r>
            <w:r>
              <w:rPr>
                <w:szCs w:val="21"/>
              </w:rPr>
              <w:t xml:space="preserve">  （B.3）</w:t>
            </w:r>
          </w:p>
          <w:p w14:paraId="011CD2B4">
            <w:pPr>
              <w:adjustRightInd w:val="0"/>
              <w:snapToGrid w:val="0"/>
              <w:spacing w:line="360" w:lineRule="auto"/>
              <w:ind w:firstLine="420" w:firstLineChars="200"/>
              <w:rPr>
                <w:szCs w:val="21"/>
              </w:rPr>
            </w:pPr>
            <w:r>
              <w:rPr>
                <w:szCs w:val="21"/>
              </w:rPr>
              <w:t>式中：</w:t>
            </w:r>
            <w:r>
              <w:rPr>
                <w:szCs w:val="21"/>
              </w:rPr>
              <w:object>
                <v:shape id="_x0000_i1032" o:spt="75" type="#_x0000_t75" style="height:19pt;width:37pt;" o:ole="t" filled="f" o:preferrelative="t" stroked="f" coordsize="21600,21600">
                  <v:path/>
                  <v:fill on="f" focussize="0,0"/>
                  <v:stroke on="f" joinstyle="miter"/>
                  <v:imagedata r:id="rId33" o:title=""/>
                  <o:lock v:ext="edit" aspectratio="t"/>
                  <w10:wrap type="none"/>
                  <w10:anchorlock/>
                </v:shape>
                <o:OLEObject Type="Embed" ProgID="Equation.DSMT4" ShapeID="_x0000_i1032" DrawAspect="Content" ObjectID="_1468075732" r:id="rId32">
                  <o:LockedField>false</o:LockedField>
                </o:OLEObject>
              </w:object>
            </w:r>
            <w:r>
              <w:rPr>
                <w:szCs w:val="21"/>
              </w:rPr>
              <w:t>——靠近围护结构处室内N个声源i倍频带的叠加声压级，dB；</w:t>
            </w:r>
          </w:p>
          <w:p w14:paraId="49CBF777">
            <w:pPr>
              <w:adjustRightInd w:val="0"/>
              <w:snapToGrid w:val="0"/>
              <w:spacing w:line="360" w:lineRule="auto"/>
              <w:ind w:firstLine="1050" w:firstLineChars="500"/>
              <w:rPr>
                <w:szCs w:val="21"/>
              </w:rPr>
            </w:pPr>
            <w:r>
              <w:rPr>
                <w:szCs w:val="21"/>
              </w:rPr>
              <w:object>
                <v:shape id="_x0000_i1033" o:spt="75" type="#_x0000_t75" style="height:19pt;width:24pt;" o:ole="t" filled="f" o:preferrelative="t" stroked="f" coordsize="21600,21600">
                  <v:path/>
                  <v:fill on="f" focussize="0,0"/>
                  <v:stroke on="f" joinstyle="miter"/>
                  <v:imagedata r:id="rId35" o:title=""/>
                  <o:lock v:ext="edit" aspectratio="t"/>
                  <w10:wrap type="none"/>
                  <w10:anchorlock/>
                </v:shape>
                <o:OLEObject Type="Embed" ProgID="Equation.DSMT4" ShapeID="_x0000_i1033" DrawAspect="Content" ObjectID="_1468075733" r:id="rId34">
                  <o:LockedField>false</o:LockedField>
                </o:OLEObject>
              </w:object>
            </w:r>
            <w:r>
              <w:rPr>
                <w:szCs w:val="21"/>
              </w:rPr>
              <w:t>——室内j声源i倍频带的声压级，dB；</w:t>
            </w:r>
          </w:p>
          <w:p w14:paraId="30E1734A">
            <w:pPr>
              <w:adjustRightInd w:val="0"/>
              <w:snapToGrid w:val="0"/>
              <w:spacing w:line="360" w:lineRule="auto"/>
              <w:ind w:firstLine="1050" w:firstLineChars="500"/>
              <w:rPr>
                <w:szCs w:val="21"/>
              </w:rPr>
            </w:pPr>
            <w:r>
              <w:rPr>
                <w:szCs w:val="21"/>
              </w:rPr>
              <w:object>
                <v:shape id="_x0000_i1034" o:spt="75" type="#_x0000_t75" style="height:14pt;width:14pt;" o:ole="t" filled="f" o:preferrelative="t" stroked="f" coordsize="21600,21600">
                  <v:path/>
                  <v:fill on="f" focussize="0,0"/>
                  <v:stroke on="f" joinstyle="miter"/>
                  <v:imagedata r:id="rId37" o:title=""/>
                  <o:lock v:ext="edit" aspectratio="t"/>
                  <w10:wrap type="none"/>
                  <w10:anchorlock/>
                </v:shape>
                <o:OLEObject Type="Embed" ProgID="Equation.DSMT4" ShapeID="_x0000_i1034" DrawAspect="Content" ObjectID="_1468075734" r:id="rId36">
                  <o:LockedField>false</o:LockedField>
                </o:OLEObject>
              </w:object>
            </w:r>
            <w:r>
              <w:rPr>
                <w:szCs w:val="21"/>
              </w:rPr>
              <w:t>——室内声源总数。</w:t>
            </w:r>
          </w:p>
          <w:p w14:paraId="5410A1C4">
            <w:pPr>
              <w:adjustRightInd w:val="0"/>
              <w:snapToGrid w:val="0"/>
              <w:spacing w:line="360" w:lineRule="auto"/>
              <w:ind w:firstLine="420" w:firstLineChars="200"/>
              <w:rPr>
                <w:szCs w:val="21"/>
              </w:rPr>
            </w:pPr>
            <w:r>
              <w:rPr>
                <w:szCs w:val="21"/>
              </w:rPr>
              <w:t>在室内近似为扩散声场时，按式（B.4）计算出靠近室外围护结构处的声压级：</w:t>
            </w:r>
          </w:p>
          <w:p w14:paraId="1D1ACBC6">
            <w:pPr>
              <w:adjustRightInd w:val="0"/>
              <w:snapToGrid w:val="0"/>
              <w:spacing w:line="360" w:lineRule="auto"/>
              <w:ind w:firstLine="420" w:firstLineChars="200"/>
              <w:jc w:val="center"/>
              <w:rPr>
                <w:szCs w:val="21"/>
              </w:rPr>
            </w:pPr>
            <w:r>
              <w:rPr>
                <w:szCs w:val="21"/>
              </w:rPr>
              <w:drawing>
                <wp:inline distT="0" distB="0" distL="114300" distR="114300">
                  <wp:extent cx="1783080" cy="251460"/>
                  <wp:effectExtent l="0" t="0" r="7620" b="15875"/>
                  <wp:docPr id="3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6"/>
                          <pic:cNvPicPr>
                            <a:picLocks noChangeAspect="1"/>
                          </pic:cNvPicPr>
                        </pic:nvPicPr>
                        <pic:blipFill>
                          <a:blip r:embed="rId38"/>
                          <a:stretch>
                            <a:fillRect/>
                          </a:stretch>
                        </pic:blipFill>
                        <pic:spPr>
                          <a:xfrm>
                            <a:off x="0" y="0"/>
                            <a:ext cx="1783080" cy="251460"/>
                          </a:xfrm>
                          <a:prstGeom prst="rect">
                            <a:avLst/>
                          </a:prstGeom>
                          <a:noFill/>
                          <a:ln>
                            <a:noFill/>
                          </a:ln>
                        </pic:spPr>
                      </pic:pic>
                    </a:graphicData>
                  </a:graphic>
                </wp:inline>
              </w:drawing>
            </w:r>
            <w:r>
              <w:rPr>
                <w:szCs w:val="21"/>
              </w:rPr>
              <w:t xml:space="preserve">  （B.4）</w:t>
            </w:r>
          </w:p>
          <w:p w14:paraId="2808302A">
            <w:pPr>
              <w:adjustRightInd w:val="0"/>
              <w:snapToGrid w:val="0"/>
              <w:spacing w:line="360" w:lineRule="auto"/>
              <w:ind w:firstLine="420" w:firstLineChars="200"/>
              <w:rPr>
                <w:szCs w:val="21"/>
              </w:rPr>
            </w:pPr>
            <w:r>
              <w:rPr>
                <w:szCs w:val="21"/>
              </w:rPr>
              <w:t>式中：</w:t>
            </w:r>
            <w:r>
              <w:rPr>
                <w:szCs w:val="21"/>
              </w:rPr>
              <w:object>
                <v:shape id="_x0000_i1035" o:spt="75" type="#_x0000_t75" style="height:19pt;width:39.5pt;" o:ole="t" filled="f" o:preferrelative="t" stroked="f" coordsize="21600,21600">
                  <v:path/>
                  <v:fill on="f" focussize="0,0"/>
                  <v:stroke on="f" joinstyle="miter"/>
                  <v:imagedata r:id="rId40" o:title=""/>
                  <o:lock v:ext="edit" aspectratio="t"/>
                  <w10:wrap type="none"/>
                  <w10:anchorlock/>
                </v:shape>
                <o:OLEObject Type="Embed" ProgID="Equation.DSMT4" ShapeID="_x0000_i1035" DrawAspect="Content" ObjectID="_1468075735" r:id="rId39">
                  <o:LockedField>false</o:LockedField>
                </o:OLEObject>
              </w:object>
            </w:r>
            <w:r>
              <w:rPr>
                <w:szCs w:val="21"/>
              </w:rPr>
              <w:t>——靠近围护结构处室外N个声源i倍频带的叠加声压级，dB；</w:t>
            </w:r>
          </w:p>
          <w:p w14:paraId="5D2C8ECD">
            <w:pPr>
              <w:adjustRightInd w:val="0"/>
              <w:snapToGrid w:val="0"/>
              <w:spacing w:line="360" w:lineRule="auto"/>
              <w:ind w:firstLine="1050" w:firstLineChars="500"/>
              <w:rPr>
                <w:szCs w:val="21"/>
              </w:rPr>
            </w:pPr>
            <w:r>
              <w:rPr>
                <w:szCs w:val="21"/>
              </w:rPr>
              <w:object>
                <v:shape id="_x0000_i1036" o:spt="75" type="#_x0000_t75" style="height:19pt;width:37pt;" o:ole="t" filled="f" o:preferrelative="t" stroked="f" coordsize="21600,21600">
                  <v:path/>
                  <v:fill on="f" focussize="0,0"/>
                  <v:stroke on="f" joinstyle="miter"/>
                  <v:imagedata r:id="rId33" o:title=""/>
                  <o:lock v:ext="edit" aspectratio="t"/>
                  <w10:wrap type="none"/>
                  <w10:anchorlock/>
                </v:shape>
                <o:OLEObject Type="Embed" ProgID="Equation.DSMT4" ShapeID="_x0000_i1036" DrawAspect="Content" ObjectID="_1468075736" r:id="rId41">
                  <o:LockedField>false</o:LockedField>
                </o:OLEObject>
              </w:object>
            </w:r>
            <w:r>
              <w:rPr>
                <w:szCs w:val="21"/>
              </w:rPr>
              <w:t>——靠近围护结构处室内N个声源i倍频带的叠加声压级，dB；</w:t>
            </w:r>
          </w:p>
          <w:p w14:paraId="116F3C9F">
            <w:pPr>
              <w:adjustRightInd w:val="0"/>
              <w:snapToGrid w:val="0"/>
              <w:spacing w:line="360" w:lineRule="auto"/>
              <w:ind w:firstLine="1050" w:firstLineChars="500"/>
              <w:rPr>
                <w:szCs w:val="21"/>
              </w:rPr>
            </w:pPr>
            <w:r>
              <w:rPr>
                <w:szCs w:val="21"/>
              </w:rPr>
              <w:object>
                <v:shape id="_x0000_i1037" o:spt="75" type="#_x0000_t75" style="height:18pt;width:18pt;" o:ole="t" filled="f" o:preferrelative="t" stroked="f" coordsize="21600,21600">
                  <v:path/>
                  <v:fill on="f" focussize="0,0"/>
                  <v:stroke on="f" joinstyle="miter"/>
                  <v:imagedata r:id="rId43" o:title=""/>
                  <o:lock v:ext="edit" aspectratio="t"/>
                  <w10:wrap type="none"/>
                  <w10:anchorlock/>
                </v:shape>
                <o:OLEObject Type="Embed" ProgID="Equation.3" ShapeID="_x0000_i1037" DrawAspect="Content" ObjectID="_1468075737" r:id="rId42">
                  <o:LockedField>false</o:LockedField>
                </o:OLEObject>
              </w:object>
            </w:r>
            <w:r>
              <w:rPr>
                <w:szCs w:val="21"/>
              </w:rPr>
              <w:t>——围护结构i倍频带的隔声量，dB。</w:t>
            </w:r>
          </w:p>
          <w:p w14:paraId="737553AF">
            <w:pPr>
              <w:adjustRightInd w:val="0"/>
              <w:snapToGrid w:val="0"/>
              <w:spacing w:line="360" w:lineRule="auto"/>
              <w:ind w:firstLine="420" w:firstLineChars="200"/>
              <w:rPr>
                <w:szCs w:val="21"/>
              </w:rPr>
            </w:pPr>
            <w:r>
              <w:rPr>
                <w:szCs w:val="21"/>
              </w:rPr>
              <w:t>然后按式（B.5）将室外声源的声压级和透过面积换算成等效的室外声源，计算出中心位置位于透声面积（S）处的等效声源的倍频带声功率级：</w:t>
            </w:r>
          </w:p>
          <w:p w14:paraId="77185C0E">
            <w:pPr>
              <w:adjustRightInd w:val="0"/>
              <w:snapToGrid w:val="0"/>
              <w:spacing w:line="360" w:lineRule="auto"/>
              <w:ind w:firstLine="420" w:firstLineChars="200"/>
              <w:jc w:val="center"/>
              <w:rPr>
                <w:szCs w:val="21"/>
              </w:rPr>
            </w:pPr>
            <w:r>
              <w:rPr>
                <w:szCs w:val="21"/>
              </w:rPr>
              <w:drawing>
                <wp:inline distT="0" distB="0" distL="114300" distR="114300">
                  <wp:extent cx="1318260" cy="251460"/>
                  <wp:effectExtent l="0" t="0" r="0" b="15875"/>
                  <wp:docPr id="3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0"/>
                          <pic:cNvPicPr>
                            <a:picLocks noChangeAspect="1"/>
                          </pic:cNvPicPr>
                        </pic:nvPicPr>
                        <pic:blipFill>
                          <a:blip r:embed="rId44"/>
                          <a:stretch>
                            <a:fillRect/>
                          </a:stretch>
                        </pic:blipFill>
                        <pic:spPr>
                          <a:xfrm>
                            <a:off x="0" y="0"/>
                            <a:ext cx="1318260" cy="251460"/>
                          </a:xfrm>
                          <a:prstGeom prst="rect">
                            <a:avLst/>
                          </a:prstGeom>
                          <a:noFill/>
                          <a:ln>
                            <a:noFill/>
                          </a:ln>
                        </pic:spPr>
                      </pic:pic>
                    </a:graphicData>
                  </a:graphic>
                </wp:inline>
              </w:drawing>
            </w:r>
            <w:r>
              <w:rPr>
                <w:szCs w:val="21"/>
              </w:rPr>
              <w:t xml:space="preserve">    （B.5）</w:t>
            </w:r>
          </w:p>
          <w:p w14:paraId="7C906C1C">
            <w:pPr>
              <w:adjustRightInd w:val="0"/>
              <w:snapToGrid w:val="0"/>
              <w:spacing w:line="360" w:lineRule="auto"/>
              <w:ind w:firstLine="420" w:firstLineChars="200"/>
              <w:rPr>
                <w:szCs w:val="21"/>
              </w:rPr>
            </w:pPr>
            <w:r>
              <w:rPr>
                <w:szCs w:val="21"/>
              </w:rPr>
              <w:t>然后按室外声源预测方法计算预测点处的A声级。</w:t>
            </w:r>
          </w:p>
          <w:p w14:paraId="4B906515">
            <w:pPr>
              <w:adjustRightInd w:val="0"/>
              <w:snapToGrid w:val="0"/>
              <w:spacing w:line="360" w:lineRule="auto"/>
              <w:ind w:firstLine="420" w:firstLineChars="200"/>
              <w:rPr>
                <w:szCs w:val="21"/>
              </w:rPr>
            </w:pPr>
            <w:r>
              <w:rPr>
                <w:szCs w:val="21"/>
              </w:rPr>
              <w:t>式中：</w:t>
            </w:r>
            <w:r>
              <w:rPr>
                <w:szCs w:val="21"/>
              </w:rPr>
              <w:object>
                <v:shape id="_x0000_i1038" o:spt="75" type="#_x0000_t75" style="height:14pt;width:19pt;" o:ole="t" filled="f" o:preferrelative="t" stroked="f" coordsize="21600,21600">
                  <v:path/>
                  <v:fill on="f" focussize="0,0"/>
                  <v:stroke on="f" joinstyle="miter"/>
                  <v:imagedata r:id="rId46" o:title=""/>
                  <o:lock v:ext="edit" aspectratio="t"/>
                  <w10:wrap type="none"/>
                  <w10:anchorlock/>
                </v:shape>
                <o:OLEObject Type="Embed" ProgID="Equation.DSMT4" ShapeID="_x0000_i1038" DrawAspect="Content" ObjectID="_1468075738" r:id="rId45">
                  <o:LockedField>false</o:LockedField>
                </o:OLEObject>
              </w:object>
            </w:r>
            <w:r>
              <w:rPr>
                <w:szCs w:val="21"/>
              </w:rPr>
              <w:t>——中心位置位于透声面积（S）处的等效声源的倍频带声功率级，dB；</w:t>
            </w:r>
          </w:p>
          <w:p w14:paraId="7D82BAA8">
            <w:pPr>
              <w:adjustRightInd w:val="0"/>
              <w:snapToGrid w:val="0"/>
              <w:spacing w:line="360" w:lineRule="auto"/>
              <w:ind w:firstLine="960" w:firstLineChars="400"/>
              <w:rPr>
                <w:szCs w:val="21"/>
              </w:rPr>
            </w:pPr>
            <m:oMath>
              <m:sSub>
                <m:sSubPr>
                  <m:ctrlPr>
                    <w:rPr>
                      <w:rFonts w:ascii="Cambria Math" w:hAnsi="Cambria Math"/>
                      <w:i/>
                      <w:sz w:val="24"/>
                    </w:rPr>
                  </m:ctrlPr>
                </m:sSubPr>
                <m:e>
                  <m:r>
                    <m:rPr/>
                    <w:rPr>
                      <w:rFonts w:ascii="Cambria Math"/>
                      <w:sz w:val="24"/>
                    </w:rPr>
                    <m:t>L</m:t>
                  </m:r>
                  <m:ctrlPr>
                    <w:rPr>
                      <w:rFonts w:ascii="Cambria Math" w:hAnsi="Cambria Math"/>
                      <w:i/>
                      <w:sz w:val="24"/>
                    </w:rPr>
                  </m:ctrlPr>
                </m:e>
                <m:sub>
                  <m:r>
                    <m:rPr/>
                    <w:rPr>
                      <w:rFonts w:ascii="Cambria Math"/>
                      <w:sz w:val="24"/>
                    </w:rPr>
                    <m:t>p2</m:t>
                  </m:r>
                  <m:ctrlPr>
                    <w:rPr>
                      <w:rFonts w:ascii="Cambria Math" w:hAnsi="Cambria Math"/>
                      <w:i/>
                      <w:sz w:val="24"/>
                    </w:rPr>
                  </m:ctrlPr>
                </m:sub>
              </m:sSub>
              <m:r>
                <m:rPr/>
                <w:rPr>
                  <w:rFonts w:ascii="Cambria Math"/>
                  <w:sz w:val="24"/>
                </w:rPr>
                <m:t>(T)</m:t>
              </m:r>
            </m:oMath>
            <w:r>
              <w:rPr>
                <w:szCs w:val="21"/>
              </w:rPr>
              <w:t>——靠近围护结构处室外声源的声压级，dB；</w:t>
            </w:r>
          </w:p>
          <w:p w14:paraId="1B3FABAE">
            <w:pPr>
              <w:adjustRightInd w:val="0"/>
              <w:snapToGrid w:val="0"/>
              <w:spacing w:line="360" w:lineRule="auto"/>
              <w:ind w:firstLine="1050" w:firstLineChars="500"/>
              <w:rPr>
                <w:szCs w:val="21"/>
              </w:rPr>
            </w:pPr>
            <m:oMath>
              <m:r>
                <m:rPr/>
                <w:rPr>
                  <w:rFonts w:ascii="Cambria Math"/>
                </w:rPr>
                <m:t>S</m:t>
              </m:r>
            </m:oMath>
            <w:r>
              <w:rPr>
                <w:szCs w:val="21"/>
              </w:rPr>
              <w:t>——透声面积，m</w:t>
            </w:r>
            <w:r>
              <w:rPr>
                <w:szCs w:val="21"/>
                <w:vertAlign w:val="superscript"/>
              </w:rPr>
              <w:t>2</w:t>
            </w:r>
            <w:r>
              <w:rPr>
                <w:szCs w:val="21"/>
              </w:rPr>
              <w:t>。</w:t>
            </w:r>
          </w:p>
          <w:p w14:paraId="74A9F45F">
            <w:pPr>
              <w:adjustRightInd w:val="0"/>
              <w:snapToGrid w:val="0"/>
              <w:spacing w:line="360" w:lineRule="auto"/>
              <w:ind w:firstLine="420" w:firstLineChars="200"/>
              <w:rPr>
                <w:szCs w:val="21"/>
              </w:rPr>
            </w:pPr>
            <w:r>
              <w:rPr>
                <w:szCs w:val="21"/>
              </w:rPr>
              <w:t>然后按室外声源预测方法计算预测点处的A声级。</w:t>
            </w:r>
          </w:p>
          <w:p w14:paraId="3710C943">
            <w:pPr>
              <w:adjustRightInd w:val="0"/>
              <w:snapToGrid w:val="0"/>
              <w:spacing w:line="360" w:lineRule="auto"/>
              <w:ind w:firstLine="420" w:firstLineChars="200"/>
              <w:rPr>
                <w:szCs w:val="21"/>
              </w:rPr>
            </w:pPr>
            <w:r>
              <w:rPr>
                <w:szCs w:val="21"/>
              </w:rPr>
              <w:t>C．预测点噪声（贡献值）计算</w:t>
            </w:r>
          </w:p>
          <w:p w14:paraId="1A05E6C9">
            <w:pPr>
              <w:adjustRightInd w:val="0"/>
              <w:snapToGrid w:val="0"/>
              <w:spacing w:line="360" w:lineRule="auto"/>
              <w:ind w:firstLine="420" w:firstLineChars="200"/>
              <w:rPr>
                <w:szCs w:val="21"/>
              </w:rPr>
            </w:pPr>
            <w:r>
              <w:rPr>
                <w:szCs w:val="21"/>
              </w:rPr>
              <w:t>设第i个室外声源在预测点产生的A声级为L</w:t>
            </w:r>
            <w:r>
              <w:rPr>
                <w:szCs w:val="21"/>
                <w:vertAlign w:val="subscript"/>
              </w:rPr>
              <w:t>Ai</w:t>
            </w:r>
            <w:r>
              <w:rPr>
                <w:szCs w:val="21"/>
              </w:rPr>
              <w:t>，在T时间内该声源工作时间为t</w:t>
            </w:r>
            <w:r>
              <w:rPr>
                <w:szCs w:val="21"/>
                <w:vertAlign w:val="subscript"/>
              </w:rPr>
              <w:t>i</w:t>
            </w:r>
            <w:r>
              <w:rPr>
                <w:szCs w:val="21"/>
              </w:rPr>
              <w:t>；设第j个等效室外声源在预测点产生的A声级为L</w:t>
            </w:r>
            <w:r>
              <w:rPr>
                <w:szCs w:val="21"/>
                <w:vertAlign w:val="subscript"/>
              </w:rPr>
              <w:t>Aj</w:t>
            </w:r>
            <w:r>
              <w:rPr>
                <w:szCs w:val="21"/>
              </w:rPr>
              <w:t>，在T时间内该声源工作时间为t</w:t>
            </w:r>
            <w:r>
              <w:rPr>
                <w:szCs w:val="21"/>
                <w:vertAlign w:val="subscript"/>
              </w:rPr>
              <w:t>j</w:t>
            </w:r>
            <w:r>
              <w:rPr>
                <w:szCs w:val="21"/>
              </w:rPr>
              <w:t>，则拟建工程声源对预测点产生的贡献值L</w:t>
            </w:r>
            <w:r>
              <w:rPr>
                <w:szCs w:val="21"/>
                <w:vertAlign w:val="subscript"/>
              </w:rPr>
              <w:t>eqg</w:t>
            </w:r>
            <w:r>
              <w:rPr>
                <w:szCs w:val="21"/>
              </w:rPr>
              <w:t>为：</w:t>
            </w:r>
          </w:p>
          <w:p w14:paraId="6F735F85">
            <w:pPr>
              <w:adjustRightInd w:val="0"/>
              <w:snapToGrid w:val="0"/>
              <w:spacing w:line="360" w:lineRule="auto"/>
              <w:jc w:val="center"/>
              <w:rPr>
                <w:szCs w:val="21"/>
              </w:rPr>
            </w:pPr>
            <w:r>
              <w:rPr>
                <w:szCs w:val="21"/>
              </w:rPr>
              <w:drawing>
                <wp:inline distT="0" distB="0" distL="114300" distR="114300">
                  <wp:extent cx="2646680" cy="496570"/>
                  <wp:effectExtent l="0" t="0" r="1270" b="1778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47"/>
                          <a:stretch>
                            <a:fillRect/>
                          </a:stretch>
                        </pic:blipFill>
                        <pic:spPr>
                          <a:xfrm>
                            <a:off x="0" y="0"/>
                            <a:ext cx="2646680" cy="496570"/>
                          </a:xfrm>
                          <a:prstGeom prst="rect">
                            <a:avLst/>
                          </a:prstGeom>
                          <a:noFill/>
                          <a:ln>
                            <a:noFill/>
                          </a:ln>
                        </pic:spPr>
                      </pic:pic>
                    </a:graphicData>
                  </a:graphic>
                </wp:inline>
              </w:drawing>
            </w:r>
          </w:p>
          <w:p w14:paraId="38245B7E">
            <w:pPr>
              <w:adjustRightInd w:val="0"/>
              <w:snapToGrid w:val="0"/>
              <w:spacing w:line="360" w:lineRule="auto"/>
              <w:ind w:firstLine="420" w:firstLineChars="200"/>
              <w:rPr>
                <w:szCs w:val="21"/>
              </w:rPr>
            </w:pPr>
            <w:r>
              <w:rPr>
                <w:szCs w:val="21"/>
              </w:rPr>
              <w:t>式中：T—用于计算等效声级的时间，s；</w:t>
            </w:r>
          </w:p>
          <w:p w14:paraId="65D6B315">
            <w:pPr>
              <w:adjustRightInd w:val="0"/>
              <w:snapToGrid w:val="0"/>
              <w:spacing w:line="360" w:lineRule="auto"/>
              <w:ind w:firstLine="420" w:firstLineChars="200"/>
              <w:rPr>
                <w:szCs w:val="21"/>
              </w:rPr>
            </w:pPr>
            <w:r>
              <w:rPr>
                <w:szCs w:val="21"/>
              </w:rPr>
              <w:t xml:space="preserve">      N—室外声源个数；</w:t>
            </w:r>
          </w:p>
          <w:p w14:paraId="78A12350">
            <w:pPr>
              <w:adjustRightInd w:val="0"/>
              <w:snapToGrid w:val="0"/>
              <w:spacing w:line="360" w:lineRule="auto"/>
              <w:ind w:firstLine="420" w:firstLineChars="200"/>
              <w:rPr>
                <w:szCs w:val="21"/>
              </w:rPr>
            </w:pPr>
            <w:r>
              <w:rPr>
                <w:szCs w:val="21"/>
              </w:rPr>
              <w:t xml:space="preserve">      t</w:t>
            </w:r>
            <w:r>
              <w:rPr>
                <w:szCs w:val="21"/>
                <w:vertAlign w:val="subscript"/>
              </w:rPr>
              <w:t>i</w:t>
            </w:r>
            <w:r>
              <w:rPr>
                <w:szCs w:val="21"/>
              </w:rPr>
              <w:t>—在T时间内i声源工作时间，s；</w:t>
            </w:r>
          </w:p>
          <w:p w14:paraId="58D4A979">
            <w:pPr>
              <w:adjustRightInd w:val="0"/>
              <w:snapToGrid w:val="0"/>
              <w:spacing w:line="360" w:lineRule="auto"/>
              <w:ind w:firstLine="420" w:firstLineChars="200"/>
              <w:rPr>
                <w:szCs w:val="21"/>
              </w:rPr>
            </w:pPr>
            <w:r>
              <w:rPr>
                <w:szCs w:val="21"/>
              </w:rPr>
              <w:t xml:space="preserve">      M—等效室外声源个数；</w:t>
            </w:r>
          </w:p>
          <w:p w14:paraId="71767912">
            <w:pPr>
              <w:adjustRightInd w:val="0"/>
              <w:snapToGrid w:val="0"/>
              <w:spacing w:line="360" w:lineRule="auto"/>
              <w:ind w:firstLine="420" w:firstLineChars="200"/>
              <w:rPr>
                <w:szCs w:val="21"/>
              </w:rPr>
            </w:pPr>
            <w:r>
              <w:rPr>
                <w:szCs w:val="21"/>
              </w:rPr>
              <w:t xml:space="preserve">      t</w:t>
            </w:r>
            <w:r>
              <w:rPr>
                <w:szCs w:val="21"/>
                <w:vertAlign w:val="subscript"/>
              </w:rPr>
              <w:t>j</w:t>
            </w:r>
            <w:r>
              <w:rPr>
                <w:szCs w:val="21"/>
              </w:rPr>
              <w:t>—在T时间内j声源工作时间，s。</w:t>
            </w:r>
          </w:p>
          <w:p w14:paraId="690F99E1">
            <w:pPr>
              <w:adjustRightInd w:val="0"/>
              <w:snapToGrid w:val="0"/>
              <w:spacing w:line="360" w:lineRule="auto"/>
              <w:ind w:firstLine="420" w:firstLineChars="200"/>
              <w:rPr>
                <w:szCs w:val="21"/>
              </w:rPr>
            </w:pPr>
            <w:r>
              <w:rPr>
                <w:rFonts w:hint="eastAsia" w:ascii="宋体" w:hAnsi="宋体" w:cs="宋体"/>
                <w:szCs w:val="21"/>
              </w:rPr>
              <w:t>②</w:t>
            </w:r>
            <w:r>
              <w:rPr>
                <w:szCs w:val="21"/>
              </w:rPr>
              <w:t>预测结果</w:t>
            </w:r>
          </w:p>
          <w:p w14:paraId="168F2DC6">
            <w:pPr>
              <w:adjustRightInd w:val="0"/>
              <w:snapToGrid w:val="0"/>
              <w:spacing w:line="360" w:lineRule="auto"/>
              <w:ind w:firstLine="420" w:firstLineChars="200"/>
              <w:rPr>
                <w:szCs w:val="21"/>
              </w:rPr>
            </w:pPr>
            <w:r>
              <w:rPr>
                <w:szCs w:val="21"/>
              </w:rPr>
              <w:t>通过预测模型计算，项目厂界噪声预测结果与达标分析见表。</w:t>
            </w:r>
          </w:p>
          <w:p w14:paraId="0DDBC107">
            <w:pPr>
              <w:adjustRightInd w:val="0"/>
              <w:snapToGrid w:val="0"/>
              <w:jc w:val="center"/>
              <w:rPr>
                <w:b/>
                <w:szCs w:val="21"/>
              </w:rPr>
            </w:pPr>
            <w:r>
              <w:rPr>
                <w:b/>
                <w:szCs w:val="21"/>
              </w:rPr>
              <w:t>表4-</w:t>
            </w:r>
            <w:r>
              <w:rPr>
                <w:rFonts w:hint="eastAsia"/>
                <w:b/>
                <w:szCs w:val="21"/>
              </w:rPr>
              <w:t>2</w:t>
            </w:r>
            <w:r>
              <w:rPr>
                <w:rFonts w:hint="eastAsia"/>
                <w:b/>
                <w:szCs w:val="21"/>
                <w:lang w:val="en-US" w:eastAsia="zh-CN"/>
              </w:rPr>
              <w:t>2</w:t>
            </w:r>
            <w:r>
              <w:rPr>
                <w:b/>
                <w:szCs w:val="21"/>
              </w:rPr>
              <w:t xml:space="preserve">  厂界噪声贡献值及达标分析表</w:t>
            </w:r>
            <w:r>
              <w:rPr>
                <w:rFonts w:hint="eastAsia"/>
                <w:b/>
                <w:szCs w:val="21"/>
              </w:rPr>
              <w:t xml:space="preserve">   </w:t>
            </w:r>
            <w:r>
              <w:rPr>
                <w:b/>
                <w:szCs w:val="21"/>
              </w:rPr>
              <w:t>单位：dB</w:t>
            </w:r>
            <w:r>
              <w:rPr>
                <w:rFonts w:hint="eastAsia"/>
                <w:b/>
                <w:szCs w:val="21"/>
              </w:rPr>
              <w:t>(</w:t>
            </w:r>
            <w:r>
              <w:rPr>
                <w:b/>
                <w:szCs w:val="21"/>
              </w:rPr>
              <w:t>A）</w:t>
            </w:r>
          </w:p>
          <w:tbl>
            <w:tblPr>
              <w:tblStyle w:val="23"/>
              <w:tblW w:w="8796"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autofit"/>
              <w:tblCellMar>
                <w:top w:w="0" w:type="dxa"/>
                <w:left w:w="57" w:type="dxa"/>
                <w:bottom w:w="0" w:type="dxa"/>
                <w:right w:w="57" w:type="dxa"/>
              </w:tblCellMar>
            </w:tblPr>
            <w:tblGrid>
              <w:gridCol w:w="928"/>
              <w:gridCol w:w="1255"/>
              <w:gridCol w:w="1283"/>
              <w:gridCol w:w="1406"/>
              <w:gridCol w:w="1426"/>
              <w:gridCol w:w="1440"/>
              <w:gridCol w:w="1058"/>
            </w:tblGrid>
            <w:tr w14:paraId="2EB4B895">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388" w:hRule="atLeast"/>
                <w:jc w:val="center"/>
              </w:trPr>
              <w:tc>
                <w:tcPr>
                  <w:tcW w:w="527" w:type="pct"/>
                  <w:vAlign w:val="center"/>
                </w:tcPr>
                <w:p w14:paraId="4288D095">
                  <w:pPr>
                    <w:adjustRightInd w:val="0"/>
                    <w:snapToGrid w:val="0"/>
                    <w:spacing w:line="256" w:lineRule="auto"/>
                    <w:jc w:val="center"/>
                    <w:textAlignment w:val="baseline"/>
                    <w:rPr>
                      <w:b/>
                      <w:bCs/>
                      <w:kern w:val="0"/>
                      <w:sz w:val="18"/>
                      <w:szCs w:val="18"/>
                    </w:rPr>
                  </w:pPr>
                  <w:r>
                    <w:rPr>
                      <w:b/>
                      <w:bCs/>
                      <w:kern w:val="0"/>
                      <w:sz w:val="18"/>
                      <w:szCs w:val="18"/>
                      <w:lang w:bidi="ar"/>
                    </w:rPr>
                    <w:t>序号</w:t>
                  </w:r>
                </w:p>
              </w:tc>
              <w:tc>
                <w:tcPr>
                  <w:tcW w:w="713" w:type="pct"/>
                  <w:vAlign w:val="center"/>
                </w:tcPr>
                <w:p w14:paraId="15B6AFF6">
                  <w:pPr>
                    <w:adjustRightInd w:val="0"/>
                    <w:snapToGrid w:val="0"/>
                    <w:spacing w:line="256" w:lineRule="auto"/>
                    <w:jc w:val="center"/>
                    <w:textAlignment w:val="baseline"/>
                    <w:rPr>
                      <w:b/>
                      <w:bCs/>
                      <w:kern w:val="0"/>
                      <w:sz w:val="18"/>
                      <w:szCs w:val="18"/>
                    </w:rPr>
                  </w:pPr>
                  <w:r>
                    <w:rPr>
                      <w:b/>
                      <w:bCs/>
                      <w:kern w:val="0"/>
                      <w:sz w:val="18"/>
                      <w:szCs w:val="18"/>
                      <w:lang w:bidi="ar"/>
                    </w:rPr>
                    <w:t>预测方位</w:t>
                  </w:r>
                </w:p>
              </w:tc>
              <w:tc>
                <w:tcPr>
                  <w:tcW w:w="729" w:type="pct"/>
                  <w:vAlign w:val="center"/>
                </w:tcPr>
                <w:p w14:paraId="1C891CF4">
                  <w:pPr>
                    <w:adjustRightInd w:val="0"/>
                    <w:snapToGrid w:val="0"/>
                    <w:spacing w:line="256" w:lineRule="auto"/>
                    <w:jc w:val="center"/>
                    <w:textAlignment w:val="baseline"/>
                    <w:rPr>
                      <w:b/>
                      <w:kern w:val="0"/>
                      <w:sz w:val="18"/>
                      <w:szCs w:val="18"/>
                    </w:rPr>
                  </w:pPr>
                  <w:r>
                    <w:rPr>
                      <w:b/>
                      <w:kern w:val="0"/>
                      <w:sz w:val="18"/>
                      <w:szCs w:val="18"/>
                      <w:lang w:bidi="ar"/>
                    </w:rPr>
                    <w:t>昼间噪声标准</w:t>
                  </w:r>
                </w:p>
              </w:tc>
              <w:tc>
                <w:tcPr>
                  <w:tcW w:w="799" w:type="pct"/>
                  <w:vAlign w:val="center"/>
                </w:tcPr>
                <w:p w14:paraId="5328730A">
                  <w:pPr>
                    <w:adjustRightInd w:val="0"/>
                    <w:snapToGrid w:val="0"/>
                    <w:spacing w:line="256" w:lineRule="auto"/>
                    <w:jc w:val="center"/>
                    <w:textAlignment w:val="baseline"/>
                    <w:rPr>
                      <w:b/>
                      <w:kern w:val="0"/>
                      <w:sz w:val="18"/>
                      <w:szCs w:val="18"/>
                    </w:rPr>
                  </w:pPr>
                  <w:r>
                    <w:rPr>
                      <w:b/>
                      <w:kern w:val="0"/>
                      <w:sz w:val="18"/>
                      <w:szCs w:val="18"/>
                      <w:lang w:bidi="ar"/>
                    </w:rPr>
                    <w:t>昼间噪声贡献值</w:t>
                  </w:r>
                </w:p>
              </w:tc>
              <w:tc>
                <w:tcPr>
                  <w:tcW w:w="810" w:type="pct"/>
                  <w:vAlign w:val="center"/>
                </w:tcPr>
                <w:p w14:paraId="51D21B87">
                  <w:pPr>
                    <w:adjustRightInd w:val="0"/>
                    <w:snapToGrid w:val="0"/>
                    <w:spacing w:line="256" w:lineRule="auto"/>
                    <w:jc w:val="center"/>
                    <w:textAlignment w:val="baseline"/>
                    <w:rPr>
                      <w:b/>
                      <w:kern w:val="0"/>
                      <w:sz w:val="18"/>
                      <w:szCs w:val="18"/>
                    </w:rPr>
                  </w:pPr>
                  <w:r>
                    <w:rPr>
                      <w:rFonts w:hint="eastAsia"/>
                      <w:b/>
                      <w:kern w:val="0"/>
                      <w:sz w:val="18"/>
                      <w:szCs w:val="18"/>
                      <w:lang w:bidi="ar"/>
                    </w:rPr>
                    <w:t>夜</w:t>
                  </w:r>
                  <w:r>
                    <w:rPr>
                      <w:b/>
                      <w:kern w:val="0"/>
                      <w:sz w:val="18"/>
                      <w:szCs w:val="18"/>
                      <w:lang w:bidi="ar"/>
                    </w:rPr>
                    <w:t>间噪声标准</w:t>
                  </w:r>
                </w:p>
              </w:tc>
              <w:tc>
                <w:tcPr>
                  <w:tcW w:w="818" w:type="pct"/>
                  <w:vAlign w:val="center"/>
                </w:tcPr>
                <w:p w14:paraId="0476DC2B">
                  <w:pPr>
                    <w:adjustRightInd w:val="0"/>
                    <w:snapToGrid w:val="0"/>
                    <w:spacing w:line="256" w:lineRule="auto"/>
                    <w:jc w:val="center"/>
                    <w:textAlignment w:val="baseline"/>
                    <w:rPr>
                      <w:b/>
                      <w:kern w:val="0"/>
                      <w:sz w:val="18"/>
                      <w:szCs w:val="18"/>
                    </w:rPr>
                  </w:pPr>
                  <w:r>
                    <w:rPr>
                      <w:rFonts w:hint="eastAsia"/>
                      <w:b/>
                      <w:kern w:val="0"/>
                      <w:sz w:val="18"/>
                      <w:szCs w:val="18"/>
                      <w:lang w:bidi="ar"/>
                    </w:rPr>
                    <w:t>夜</w:t>
                  </w:r>
                  <w:r>
                    <w:rPr>
                      <w:b/>
                      <w:kern w:val="0"/>
                      <w:sz w:val="18"/>
                      <w:szCs w:val="18"/>
                      <w:lang w:bidi="ar"/>
                    </w:rPr>
                    <w:t>间噪声贡献值</w:t>
                  </w:r>
                </w:p>
              </w:tc>
              <w:tc>
                <w:tcPr>
                  <w:tcW w:w="601" w:type="pct"/>
                  <w:vAlign w:val="center"/>
                </w:tcPr>
                <w:p w14:paraId="5EE91418">
                  <w:pPr>
                    <w:adjustRightInd w:val="0"/>
                    <w:snapToGrid w:val="0"/>
                    <w:spacing w:line="256" w:lineRule="auto"/>
                    <w:jc w:val="center"/>
                    <w:textAlignment w:val="baseline"/>
                    <w:rPr>
                      <w:b/>
                      <w:kern w:val="0"/>
                      <w:sz w:val="18"/>
                      <w:szCs w:val="18"/>
                    </w:rPr>
                  </w:pPr>
                  <w:r>
                    <w:rPr>
                      <w:b/>
                      <w:kern w:val="0"/>
                      <w:sz w:val="18"/>
                      <w:szCs w:val="18"/>
                      <w:lang w:bidi="ar"/>
                    </w:rPr>
                    <w:t>达标情况</w:t>
                  </w:r>
                </w:p>
              </w:tc>
            </w:tr>
            <w:tr w14:paraId="28D6194E">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331" w:hRule="atLeast"/>
                <w:jc w:val="center"/>
              </w:trPr>
              <w:tc>
                <w:tcPr>
                  <w:tcW w:w="527" w:type="pct"/>
                  <w:vAlign w:val="center"/>
                </w:tcPr>
                <w:p w14:paraId="6619FA21">
                  <w:pPr>
                    <w:adjustRightInd w:val="0"/>
                    <w:snapToGrid w:val="0"/>
                    <w:spacing w:line="256" w:lineRule="auto"/>
                    <w:jc w:val="center"/>
                    <w:textAlignment w:val="baseline"/>
                    <w:rPr>
                      <w:kern w:val="0"/>
                      <w:sz w:val="18"/>
                      <w:szCs w:val="18"/>
                    </w:rPr>
                  </w:pPr>
                  <w:r>
                    <w:rPr>
                      <w:rFonts w:hint="eastAsia"/>
                      <w:kern w:val="0"/>
                      <w:sz w:val="18"/>
                      <w:szCs w:val="18"/>
                    </w:rPr>
                    <w:t>1</w:t>
                  </w:r>
                </w:p>
              </w:tc>
              <w:tc>
                <w:tcPr>
                  <w:tcW w:w="713" w:type="pct"/>
                  <w:vAlign w:val="center"/>
                </w:tcPr>
                <w:p w14:paraId="0D9DA134">
                  <w:pPr>
                    <w:snapToGrid w:val="0"/>
                    <w:jc w:val="center"/>
                    <w:rPr>
                      <w:bCs/>
                      <w:sz w:val="18"/>
                      <w:szCs w:val="18"/>
                    </w:rPr>
                  </w:pPr>
                  <w:r>
                    <w:rPr>
                      <w:bCs/>
                      <w:sz w:val="18"/>
                      <w:szCs w:val="18"/>
                    </w:rPr>
                    <w:t>东厂界</w:t>
                  </w:r>
                </w:p>
              </w:tc>
              <w:tc>
                <w:tcPr>
                  <w:tcW w:w="729" w:type="pct"/>
                  <w:vAlign w:val="center"/>
                </w:tcPr>
                <w:p w14:paraId="733DF9DD">
                  <w:pPr>
                    <w:jc w:val="center"/>
                    <w:rPr>
                      <w:sz w:val="18"/>
                      <w:szCs w:val="18"/>
                    </w:rPr>
                  </w:pPr>
                  <w:r>
                    <w:rPr>
                      <w:rFonts w:hint="eastAsia"/>
                      <w:sz w:val="18"/>
                      <w:szCs w:val="18"/>
                    </w:rPr>
                    <w:t>65</w:t>
                  </w:r>
                </w:p>
              </w:tc>
              <w:tc>
                <w:tcPr>
                  <w:tcW w:w="799" w:type="pct"/>
                  <w:vAlign w:val="center"/>
                </w:tcPr>
                <w:p w14:paraId="2BA79969">
                  <w:pPr>
                    <w:snapToGrid w:val="0"/>
                    <w:jc w:val="center"/>
                    <w:rPr>
                      <w:sz w:val="18"/>
                      <w:szCs w:val="18"/>
                    </w:rPr>
                  </w:pPr>
                  <w:r>
                    <w:rPr>
                      <w:rFonts w:hint="eastAsia"/>
                      <w:sz w:val="18"/>
                      <w:szCs w:val="18"/>
                    </w:rPr>
                    <w:t>48.5</w:t>
                  </w:r>
                </w:p>
              </w:tc>
              <w:tc>
                <w:tcPr>
                  <w:tcW w:w="810" w:type="pct"/>
                  <w:vAlign w:val="center"/>
                </w:tcPr>
                <w:p w14:paraId="57B50A04">
                  <w:pPr>
                    <w:snapToGrid w:val="0"/>
                    <w:jc w:val="center"/>
                    <w:rPr>
                      <w:sz w:val="18"/>
                      <w:szCs w:val="18"/>
                    </w:rPr>
                  </w:pPr>
                  <w:r>
                    <w:rPr>
                      <w:rFonts w:hint="eastAsia"/>
                      <w:sz w:val="18"/>
                      <w:szCs w:val="18"/>
                    </w:rPr>
                    <w:t>55</w:t>
                  </w:r>
                </w:p>
              </w:tc>
              <w:tc>
                <w:tcPr>
                  <w:tcW w:w="818" w:type="pct"/>
                  <w:vAlign w:val="center"/>
                </w:tcPr>
                <w:p w14:paraId="574E101F">
                  <w:pPr>
                    <w:widowControl/>
                    <w:jc w:val="center"/>
                    <w:textAlignment w:val="center"/>
                    <w:rPr>
                      <w:sz w:val="18"/>
                      <w:szCs w:val="18"/>
                    </w:rPr>
                  </w:pPr>
                  <w:r>
                    <w:rPr>
                      <w:rFonts w:hint="eastAsia"/>
                      <w:sz w:val="18"/>
                      <w:szCs w:val="18"/>
                    </w:rPr>
                    <w:t>36.4</w:t>
                  </w:r>
                </w:p>
              </w:tc>
              <w:tc>
                <w:tcPr>
                  <w:tcW w:w="601" w:type="pct"/>
                  <w:vAlign w:val="center"/>
                </w:tcPr>
                <w:p w14:paraId="68CD58D7">
                  <w:pPr>
                    <w:widowControl/>
                    <w:adjustRightInd w:val="0"/>
                    <w:snapToGrid w:val="0"/>
                    <w:spacing w:after="100" w:afterAutospacing="1"/>
                    <w:jc w:val="center"/>
                    <w:rPr>
                      <w:bCs/>
                      <w:sz w:val="18"/>
                      <w:szCs w:val="18"/>
                    </w:rPr>
                  </w:pPr>
                  <w:r>
                    <w:rPr>
                      <w:sz w:val="18"/>
                      <w:szCs w:val="18"/>
                    </w:rPr>
                    <w:t>达标</w:t>
                  </w:r>
                </w:p>
              </w:tc>
            </w:tr>
            <w:tr w14:paraId="7A913A2C">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331" w:hRule="atLeast"/>
                <w:jc w:val="center"/>
              </w:trPr>
              <w:tc>
                <w:tcPr>
                  <w:tcW w:w="527" w:type="pct"/>
                  <w:vAlign w:val="center"/>
                </w:tcPr>
                <w:p w14:paraId="3895A013">
                  <w:pPr>
                    <w:adjustRightInd w:val="0"/>
                    <w:snapToGrid w:val="0"/>
                    <w:spacing w:line="256" w:lineRule="auto"/>
                    <w:jc w:val="center"/>
                    <w:textAlignment w:val="baseline"/>
                    <w:rPr>
                      <w:kern w:val="0"/>
                      <w:sz w:val="18"/>
                      <w:szCs w:val="18"/>
                    </w:rPr>
                  </w:pPr>
                  <w:r>
                    <w:rPr>
                      <w:rFonts w:hint="eastAsia"/>
                      <w:kern w:val="0"/>
                      <w:sz w:val="18"/>
                      <w:szCs w:val="18"/>
                    </w:rPr>
                    <w:t>2</w:t>
                  </w:r>
                </w:p>
              </w:tc>
              <w:tc>
                <w:tcPr>
                  <w:tcW w:w="713" w:type="pct"/>
                  <w:vAlign w:val="center"/>
                </w:tcPr>
                <w:p w14:paraId="5F2AD177">
                  <w:pPr>
                    <w:snapToGrid w:val="0"/>
                    <w:jc w:val="center"/>
                    <w:rPr>
                      <w:bCs/>
                      <w:sz w:val="18"/>
                      <w:szCs w:val="18"/>
                    </w:rPr>
                  </w:pPr>
                  <w:r>
                    <w:rPr>
                      <w:bCs/>
                      <w:sz w:val="18"/>
                      <w:szCs w:val="18"/>
                    </w:rPr>
                    <w:t>南厂界</w:t>
                  </w:r>
                </w:p>
              </w:tc>
              <w:tc>
                <w:tcPr>
                  <w:tcW w:w="729" w:type="pct"/>
                  <w:vAlign w:val="center"/>
                </w:tcPr>
                <w:p w14:paraId="08B2B6E6">
                  <w:pPr>
                    <w:jc w:val="center"/>
                    <w:rPr>
                      <w:sz w:val="18"/>
                      <w:szCs w:val="18"/>
                    </w:rPr>
                  </w:pPr>
                  <w:r>
                    <w:rPr>
                      <w:rFonts w:hint="eastAsia"/>
                      <w:sz w:val="18"/>
                      <w:szCs w:val="18"/>
                    </w:rPr>
                    <w:t>65</w:t>
                  </w:r>
                </w:p>
              </w:tc>
              <w:tc>
                <w:tcPr>
                  <w:tcW w:w="799" w:type="pct"/>
                  <w:vAlign w:val="center"/>
                </w:tcPr>
                <w:p w14:paraId="4B1F41E9">
                  <w:pPr>
                    <w:snapToGrid w:val="0"/>
                    <w:jc w:val="center"/>
                    <w:rPr>
                      <w:sz w:val="18"/>
                      <w:szCs w:val="18"/>
                    </w:rPr>
                  </w:pPr>
                  <w:r>
                    <w:rPr>
                      <w:rFonts w:hint="eastAsia"/>
                      <w:sz w:val="18"/>
                      <w:szCs w:val="18"/>
                    </w:rPr>
                    <w:t>25.7</w:t>
                  </w:r>
                </w:p>
              </w:tc>
              <w:tc>
                <w:tcPr>
                  <w:tcW w:w="810" w:type="pct"/>
                  <w:vAlign w:val="center"/>
                </w:tcPr>
                <w:p w14:paraId="093075DE">
                  <w:pPr>
                    <w:snapToGrid w:val="0"/>
                    <w:jc w:val="center"/>
                    <w:rPr>
                      <w:sz w:val="18"/>
                      <w:szCs w:val="18"/>
                    </w:rPr>
                  </w:pPr>
                  <w:r>
                    <w:rPr>
                      <w:rFonts w:hint="eastAsia"/>
                      <w:sz w:val="18"/>
                      <w:szCs w:val="18"/>
                    </w:rPr>
                    <w:t>55</w:t>
                  </w:r>
                </w:p>
              </w:tc>
              <w:tc>
                <w:tcPr>
                  <w:tcW w:w="818" w:type="pct"/>
                  <w:vAlign w:val="center"/>
                </w:tcPr>
                <w:p w14:paraId="2326808B">
                  <w:pPr>
                    <w:widowControl/>
                    <w:jc w:val="center"/>
                    <w:textAlignment w:val="center"/>
                    <w:rPr>
                      <w:sz w:val="18"/>
                      <w:szCs w:val="18"/>
                    </w:rPr>
                  </w:pPr>
                  <w:r>
                    <w:rPr>
                      <w:rFonts w:hint="eastAsia"/>
                      <w:sz w:val="18"/>
                      <w:szCs w:val="18"/>
                    </w:rPr>
                    <w:t>12.5</w:t>
                  </w:r>
                </w:p>
              </w:tc>
              <w:tc>
                <w:tcPr>
                  <w:tcW w:w="601" w:type="pct"/>
                  <w:vAlign w:val="center"/>
                </w:tcPr>
                <w:p w14:paraId="171E257F">
                  <w:pPr>
                    <w:widowControl/>
                    <w:adjustRightInd w:val="0"/>
                    <w:snapToGrid w:val="0"/>
                    <w:spacing w:after="100" w:afterAutospacing="1"/>
                    <w:jc w:val="center"/>
                    <w:rPr>
                      <w:bCs/>
                      <w:sz w:val="18"/>
                      <w:szCs w:val="18"/>
                    </w:rPr>
                  </w:pPr>
                  <w:r>
                    <w:rPr>
                      <w:sz w:val="18"/>
                      <w:szCs w:val="18"/>
                    </w:rPr>
                    <w:t>达标</w:t>
                  </w:r>
                </w:p>
              </w:tc>
            </w:tr>
            <w:tr w14:paraId="3B5484E0">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331" w:hRule="atLeast"/>
                <w:jc w:val="center"/>
              </w:trPr>
              <w:tc>
                <w:tcPr>
                  <w:tcW w:w="527" w:type="pct"/>
                  <w:vAlign w:val="center"/>
                </w:tcPr>
                <w:p w14:paraId="30719D4D">
                  <w:pPr>
                    <w:adjustRightInd w:val="0"/>
                    <w:snapToGrid w:val="0"/>
                    <w:spacing w:line="256" w:lineRule="auto"/>
                    <w:jc w:val="center"/>
                    <w:textAlignment w:val="baseline"/>
                    <w:rPr>
                      <w:kern w:val="0"/>
                      <w:sz w:val="18"/>
                      <w:szCs w:val="18"/>
                    </w:rPr>
                  </w:pPr>
                  <w:r>
                    <w:rPr>
                      <w:rFonts w:hint="eastAsia"/>
                      <w:kern w:val="0"/>
                      <w:sz w:val="18"/>
                      <w:szCs w:val="18"/>
                    </w:rPr>
                    <w:t>3</w:t>
                  </w:r>
                </w:p>
              </w:tc>
              <w:tc>
                <w:tcPr>
                  <w:tcW w:w="713" w:type="pct"/>
                  <w:vAlign w:val="center"/>
                </w:tcPr>
                <w:p w14:paraId="11AC5B6E">
                  <w:pPr>
                    <w:snapToGrid w:val="0"/>
                    <w:jc w:val="center"/>
                    <w:rPr>
                      <w:bCs/>
                      <w:sz w:val="18"/>
                      <w:szCs w:val="18"/>
                    </w:rPr>
                  </w:pPr>
                  <w:r>
                    <w:rPr>
                      <w:bCs/>
                      <w:sz w:val="18"/>
                      <w:szCs w:val="18"/>
                    </w:rPr>
                    <w:t>西厂界</w:t>
                  </w:r>
                </w:p>
              </w:tc>
              <w:tc>
                <w:tcPr>
                  <w:tcW w:w="729" w:type="pct"/>
                  <w:vAlign w:val="center"/>
                </w:tcPr>
                <w:p w14:paraId="1C3C573E">
                  <w:pPr>
                    <w:jc w:val="center"/>
                    <w:rPr>
                      <w:sz w:val="18"/>
                      <w:szCs w:val="18"/>
                    </w:rPr>
                  </w:pPr>
                  <w:r>
                    <w:rPr>
                      <w:rFonts w:hint="eastAsia"/>
                      <w:sz w:val="18"/>
                      <w:szCs w:val="18"/>
                    </w:rPr>
                    <w:t>65</w:t>
                  </w:r>
                </w:p>
              </w:tc>
              <w:tc>
                <w:tcPr>
                  <w:tcW w:w="799" w:type="pct"/>
                  <w:vAlign w:val="center"/>
                </w:tcPr>
                <w:p w14:paraId="51EB958D">
                  <w:pPr>
                    <w:snapToGrid w:val="0"/>
                    <w:jc w:val="center"/>
                    <w:rPr>
                      <w:sz w:val="18"/>
                      <w:szCs w:val="18"/>
                    </w:rPr>
                  </w:pPr>
                  <w:r>
                    <w:rPr>
                      <w:rFonts w:hint="eastAsia"/>
                      <w:sz w:val="18"/>
                      <w:szCs w:val="18"/>
                    </w:rPr>
                    <w:t>47.5</w:t>
                  </w:r>
                </w:p>
              </w:tc>
              <w:tc>
                <w:tcPr>
                  <w:tcW w:w="810" w:type="pct"/>
                  <w:vAlign w:val="center"/>
                </w:tcPr>
                <w:p w14:paraId="55D52C9F">
                  <w:pPr>
                    <w:snapToGrid w:val="0"/>
                    <w:jc w:val="center"/>
                    <w:rPr>
                      <w:sz w:val="18"/>
                      <w:szCs w:val="18"/>
                    </w:rPr>
                  </w:pPr>
                  <w:r>
                    <w:rPr>
                      <w:rFonts w:hint="eastAsia"/>
                      <w:sz w:val="18"/>
                      <w:szCs w:val="18"/>
                    </w:rPr>
                    <w:t>55</w:t>
                  </w:r>
                </w:p>
              </w:tc>
              <w:tc>
                <w:tcPr>
                  <w:tcW w:w="818" w:type="pct"/>
                  <w:vAlign w:val="center"/>
                </w:tcPr>
                <w:p w14:paraId="6E1DA6E7">
                  <w:pPr>
                    <w:widowControl/>
                    <w:jc w:val="center"/>
                    <w:textAlignment w:val="center"/>
                    <w:rPr>
                      <w:sz w:val="18"/>
                      <w:szCs w:val="18"/>
                    </w:rPr>
                  </w:pPr>
                  <w:r>
                    <w:rPr>
                      <w:rFonts w:hint="eastAsia"/>
                      <w:sz w:val="18"/>
                      <w:szCs w:val="18"/>
                    </w:rPr>
                    <w:t>20.4</w:t>
                  </w:r>
                </w:p>
              </w:tc>
              <w:tc>
                <w:tcPr>
                  <w:tcW w:w="601" w:type="pct"/>
                  <w:vAlign w:val="center"/>
                </w:tcPr>
                <w:p w14:paraId="0298CF47">
                  <w:pPr>
                    <w:widowControl/>
                    <w:adjustRightInd w:val="0"/>
                    <w:snapToGrid w:val="0"/>
                    <w:spacing w:after="100" w:afterAutospacing="1"/>
                    <w:jc w:val="center"/>
                    <w:rPr>
                      <w:bCs/>
                      <w:sz w:val="18"/>
                      <w:szCs w:val="18"/>
                    </w:rPr>
                  </w:pPr>
                  <w:r>
                    <w:rPr>
                      <w:sz w:val="18"/>
                      <w:szCs w:val="18"/>
                    </w:rPr>
                    <w:t>达标</w:t>
                  </w:r>
                </w:p>
              </w:tc>
            </w:tr>
            <w:tr w14:paraId="3F9EBFCB">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351" w:hRule="atLeast"/>
                <w:jc w:val="center"/>
              </w:trPr>
              <w:tc>
                <w:tcPr>
                  <w:tcW w:w="527" w:type="pct"/>
                  <w:vAlign w:val="center"/>
                </w:tcPr>
                <w:p w14:paraId="347A540E">
                  <w:pPr>
                    <w:adjustRightInd w:val="0"/>
                    <w:snapToGrid w:val="0"/>
                    <w:spacing w:line="256" w:lineRule="auto"/>
                    <w:jc w:val="center"/>
                    <w:textAlignment w:val="baseline"/>
                    <w:rPr>
                      <w:kern w:val="0"/>
                      <w:sz w:val="18"/>
                      <w:szCs w:val="18"/>
                    </w:rPr>
                  </w:pPr>
                  <w:r>
                    <w:rPr>
                      <w:rFonts w:hint="eastAsia"/>
                      <w:kern w:val="0"/>
                      <w:sz w:val="18"/>
                      <w:szCs w:val="18"/>
                    </w:rPr>
                    <w:t>4</w:t>
                  </w:r>
                </w:p>
              </w:tc>
              <w:tc>
                <w:tcPr>
                  <w:tcW w:w="713" w:type="pct"/>
                  <w:vAlign w:val="center"/>
                </w:tcPr>
                <w:p w14:paraId="53F75CED">
                  <w:pPr>
                    <w:snapToGrid w:val="0"/>
                    <w:jc w:val="center"/>
                    <w:rPr>
                      <w:bCs/>
                      <w:sz w:val="18"/>
                      <w:szCs w:val="18"/>
                    </w:rPr>
                  </w:pPr>
                  <w:r>
                    <w:rPr>
                      <w:bCs/>
                      <w:sz w:val="18"/>
                      <w:szCs w:val="18"/>
                    </w:rPr>
                    <w:t>北厂界</w:t>
                  </w:r>
                </w:p>
              </w:tc>
              <w:tc>
                <w:tcPr>
                  <w:tcW w:w="729" w:type="pct"/>
                  <w:vAlign w:val="center"/>
                </w:tcPr>
                <w:p w14:paraId="53B4C0A5">
                  <w:pPr>
                    <w:jc w:val="center"/>
                    <w:rPr>
                      <w:sz w:val="18"/>
                      <w:szCs w:val="18"/>
                    </w:rPr>
                  </w:pPr>
                  <w:r>
                    <w:rPr>
                      <w:rFonts w:hint="eastAsia"/>
                      <w:sz w:val="18"/>
                      <w:szCs w:val="18"/>
                    </w:rPr>
                    <w:t>65</w:t>
                  </w:r>
                </w:p>
              </w:tc>
              <w:tc>
                <w:tcPr>
                  <w:tcW w:w="799" w:type="pct"/>
                  <w:vAlign w:val="center"/>
                </w:tcPr>
                <w:p w14:paraId="584F5DE5">
                  <w:pPr>
                    <w:snapToGrid w:val="0"/>
                    <w:jc w:val="center"/>
                    <w:rPr>
                      <w:sz w:val="18"/>
                      <w:szCs w:val="18"/>
                    </w:rPr>
                  </w:pPr>
                  <w:r>
                    <w:rPr>
                      <w:rFonts w:hint="eastAsia"/>
                      <w:sz w:val="18"/>
                      <w:szCs w:val="18"/>
                    </w:rPr>
                    <w:t>62.6</w:t>
                  </w:r>
                </w:p>
              </w:tc>
              <w:tc>
                <w:tcPr>
                  <w:tcW w:w="810" w:type="pct"/>
                  <w:vAlign w:val="center"/>
                </w:tcPr>
                <w:p w14:paraId="77D1FFDE">
                  <w:pPr>
                    <w:snapToGrid w:val="0"/>
                    <w:jc w:val="center"/>
                    <w:rPr>
                      <w:sz w:val="18"/>
                      <w:szCs w:val="18"/>
                    </w:rPr>
                  </w:pPr>
                  <w:r>
                    <w:rPr>
                      <w:rFonts w:hint="eastAsia"/>
                      <w:sz w:val="18"/>
                      <w:szCs w:val="18"/>
                    </w:rPr>
                    <w:t>55</w:t>
                  </w:r>
                </w:p>
              </w:tc>
              <w:tc>
                <w:tcPr>
                  <w:tcW w:w="818" w:type="pct"/>
                  <w:vAlign w:val="center"/>
                </w:tcPr>
                <w:p w14:paraId="4E51D425">
                  <w:pPr>
                    <w:widowControl/>
                    <w:jc w:val="center"/>
                    <w:textAlignment w:val="center"/>
                    <w:rPr>
                      <w:sz w:val="18"/>
                      <w:szCs w:val="18"/>
                    </w:rPr>
                  </w:pPr>
                  <w:r>
                    <w:rPr>
                      <w:rFonts w:hint="eastAsia"/>
                      <w:sz w:val="18"/>
                      <w:szCs w:val="18"/>
                    </w:rPr>
                    <w:t>38.9</w:t>
                  </w:r>
                </w:p>
              </w:tc>
              <w:tc>
                <w:tcPr>
                  <w:tcW w:w="601" w:type="pct"/>
                  <w:vAlign w:val="center"/>
                </w:tcPr>
                <w:p w14:paraId="344469E2">
                  <w:pPr>
                    <w:widowControl/>
                    <w:adjustRightInd w:val="0"/>
                    <w:snapToGrid w:val="0"/>
                    <w:spacing w:after="100" w:afterAutospacing="1"/>
                    <w:jc w:val="center"/>
                    <w:rPr>
                      <w:bCs/>
                      <w:sz w:val="18"/>
                      <w:szCs w:val="18"/>
                    </w:rPr>
                  </w:pPr>
                  <w:r>
                    <w:rPr>
                      <w:sz w:val="18"/>
                      <w:szCs w:val="18"/>
                    </w:rPr>
                    <w:t>达标</w:t>
                  </w:r>
                </w:p>
              </w:tc>
            </w:tr>
          </w:tbl>
          <w:p w14:paraId="4830AD88">
            <w:pPr>
              <w:widowControl/>
              <w:shd w:val="clear" w:color="auto" w:fill="FFFFFF"/>
              <w:spacing w:before="120" w:beforeLines="50" w:line="360" w:lineRule="auto"/>
              <w:ind w:firstLine="452" w:firstLineChars="200"/>
              <w:jc w:val="left"/>
              <w:rPr>
                <w:spacing w:val="8"/>
                <w:kern w:val="0"/>
                <w:szCs w:val="21"/>
              </w:rPr>
            </w:pPr>
            <w:r>
              <w:rPr>
                <w:spacing w:val="8"/>
                <w:kern w:val="0"/>
                <w:szCs w:val="21"/>
              </w:rPr>
              <w:t>本项目各厂界噪声贡献值满足《工业企业厂界环境噪声排放标准》（GB12348-2008）</w:t>
            </w:r>
            <w:r>
              <w:rPr>
                <w:rFonts w:hint="eastAsia"/>
                <w:spacing w:val="8"/>
                <w:kern w:val="0"/>
                <w:szCs w:val="21"/>
              </w:rPr>
              <w:t>3</w:t>
            </w:r>
            <w:r>
              <w:rPr>
                <w:spacing w:val="8"/>
                <w:kern w:val="0"/>
                <w:szCs w:val="21"/>
              </w:rPr>
              <w:t>类标准要求，因此本项目噪声对周围声环境影响较小。</w:t>
            </w:r>
          </w:p>
          <w:p w14:paraId="0E7E0BA2">
            <w:pPr>
              <w:widowControl/>
              <w:shd w:val="clear" w:color="auto" w:fill="FFFFFF"/>
              <w:spacing w:line="360" w:lineRule="auto"/>
              <w:ind w:firstLine="452" w:firstLineChars="200"/>
              <w:jc w:val="left"/>
              <w:rPr>
                <w:spacing w:val="8"/>
                <w:kern w:val="0"/>
                <w:szCs w:val="21"/>
              </w:rPr>
            </w:pPr>
            <w:r>
              <w:rPr>
                <w:spacing w:val="8"/>
                <w:kern w:val="0"/>
                <w:szCs w:val="21"/>
              </w:rPr>
              <w:t>综上所述，建设项目噪声排放对周围环境影响较小，噪声防治措施可行。</w:t>
            </w:r>
          </w:p>
          <w:p w14:paraId="1490F56F">
            <w:pPr>
              <w:widowControl/>
              <w:shd w:val="clear" w:color="auto" w:fill="FFFFFF"/>
              <w:spacing w:line="360" w:lineRule="auto"/>
              <w:ind w:firstLine="454" w:firstLineChars="200"/>
              <w:jc w:val="left"/>
              <w:rPr>
                <w:b/>
                <w:bCs/>
                <w:spacing w:val="8"/>
                <w:kern w:val="0"/>
                <w:szCs w:val="21"/>
              </w:rPr>
            </w:pPr>
            <w:r>
              <w:rPr>
                <w:b/>
                <w:bCs/>
                <w:spacing w:val="8"/>
                <w:kern w:val="0"/>
                <w:szCs w:val="21"/>
              </w:rPr>
              <w:t>（3）噪声监测计划</w:t>
            </w:r>
          </w:p>
          <w:p w14:paraId="182463EA">
            <w:pPr>
              <w:widowControl/>
              <w:shd w:val="clear" w:color="auto" w:fill="FFFFFF"/>
              <w:spacing w:line="360" w:lineRule="auto"/>
              <w:ind w:firstLine="452" w:firstLineChars="200"/>
              <w:jc w:val="left"/>
              <w:rPr>
                <w:spacing w:val="8"/>
                <w:kern w:val="0"/>
                <w:szCs w:val="21"/>
              </w:rPr>
            </w:pPr>
            <w:r>
              <w:rPr>
                <w:spacing w:val="8"/>
                <w:kern w:val="0"/>
                <w:szCs w:val="21"/>
              </w:rPr>
              <w:t>根据</w:t>
            </w:r>
            <w:r>
              <w:rPr>
                <w:rFonts w:hint="eastAsia"/>
                <w:spacing w:val="8"/>
                <w:kern w:val="0"/>
                <w:szCs w:val="21"/>
              </w:rPr>
              <w:t>《排污单位自行监测技术指南 总则》（HJ819-2017）</w:t>
            </w:r>
            <w:r>
              <w:rPr>
                <w:spacing w:val="8"/>
                <w:kern w:val="0"/>
                <w:szCs w:val="21"/>
              </w:rPr>
              <w:t>，厂界噪声监测频次为一季度开展一次，并在噪声监测点附近醒目处设置环境保护图形标志牌。</w:t>
            </w:r>
          </w:p>
          <w:p w14:paraId="4719D183">
            <w:pPr>
              <w:widowControl/>
              <w:shd w:val="clear" w:color="auto" w:fill="FFFFFF"/>
              <w:jc w:val="center"/>
              <w:rPr>
                <w:b/>
                <w:bCs/>
                <w:spacing w:val="8"/>
                <w:kern w:val="0"/>
                <w:szCs w:val="21"/>
              </w:rPr>
            </w:pPr>
            <w:r>
              <w:rPr>
                <w:b/>
                <w:bCs/>
                <w:spacing w:val="8"/>
                <w:kern w:val="0"/>
                <w:szCs w:val="21"/>
              </w:rPr>
              <w:t>表4-</w:t>
            </w:r>
            <w:r>
              <w:rPr>
                <w:rFonts w:hint="eastAsia"/>
                <w:b/>
                <w:bCs/>
                <w:spacing w:val="8"/>
                <w:kern w:val="0"/>
                <w:szCs w:val="21"/>
              </w:rPr>
              <w:t>2</w:t>
            </w:r>
            <w:r>
              <w:rPr>
                <w:rFonts w:hint="eastAsia"/>
                <w:b/>
                <w:bCs/>
                <w:spacing w:val="8"/>
                <w:kern w:val="0"/>
                <w:szCs w:val="21"/>
                <w:lang w:val="en-US" w:eastAsia="zh-CN"/>
              </w:rPr>
              <w:t>3</w:t>
            </w:r>
            <w:r>
              <w:rPr>
                <w:b/>
                <w:bCs/>
                <w:spacing w:val="8"/>
                <w:kern w:val="0"/>
                <w:szCs w:val="21"/>
              </w:rPr>
              <w:t xml:space="preserve"> 噪声环境监测计划</w:t>
            </w:r>
          </w:p>
          <w:tbl>
            <w:tblPr>
              <w:tblStyle w:val="23"/>
              <w:tblpPr w:leftFromText="180" w:rightFromText="180" w:vertAnchor="text" w:tblpXSpec="center" w:tblpY="1"/>
              <w:tblOverlap w:val="never"/>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942"/>
              <w:gridCol w:w="1512"/>
              <w:gridCol w:w="1410"/>
              <w:gridCol w:w="1056"/>
              <w:gridCol w:w="3876"/>
            </w:tblGrid>
            <w:tr w14:paraId="16EEA4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36" w:type="pct"/>
                  <w:vAlign w:val="center"/>
                </w:tcPr>
                <w:p w14:paraId="44876FB2">
                  <w:pPr>
                    <w:pStyle w:val="109"/>
                    <w:adjustRightInd w:val="0"/>
                    <w:snapToGrid w:val="0"/>
                    <w:ind w:firstLine="0" w:firstLineChars="0"/>
                    <w:jc w:val="center"/>
                    <w:rPr>
                      <w:rFonts w:eastAsia="宋体" w:cs="Times New Roman"/>
                      <w:b/>
                      <w:bCs/>
                      <w:snapToGrid w:val="0"/>
                      <w:kern w:val="0"/>
                      <w:sz w:val="18"/>
                      <w:szCs w:val="18"/>
                    </w:rPr>
                  </w:pPr>
                  <w:r>
                    <w:rPr>
                      <w:rFonts w:eastAsia="宋体" w:cs="Times New Roman"/>
                      <w:b/>
                      <w:bCs/>
                      <w:snapToGrid w:val="0"/>
                      <w:kern w:val="0"/>
                      <w:sz w:val="18"/>
                      <w:szCs w:val="18"/>
                    </w:rPr>
                    <w:t>类别</w:t>
                  </w:r>
                </w:p>
              </w:tc>
              <w:tc>
                <w:tcPr>
                  <w:tcW w:w="859" w:type="pct"/>
                  <w:vAlign w:val="center"/>
                </w:tcPr>
                <w:p w14:paraId="1AD4E917">
                  <w:pPr>
                    <w:pStyle w:val="109"/>
                    <w:adjustRightInd w:val="0"/>
                    <w:snapToGrid w:val="0"/>
                    <w:ind w:firstLine="0" w:firstLineChars="0"/>
                    <w:jc w:val="center"/>
                    <w:rPr>
                      <w:rFonts w:eastAsia="宋体" w:cs="Times New Roman"/>
                      <w:b/>
                      <w:bCs/>
                      <w:snapToGrid w:val="0"/>
                      <w:kern w:val="0"/>
                      <w:sz w:val="18"/>
                      <w:szCs w:val="18"/>
                    </w:rPr>
                  </w:pPr>
                  <w:r>
                    <w:rPr>
                      <w:rFonts w:eastAsia="宋体" w:cs="Times New Roman"/>
                      <w:b/>
                      <w:bCs/>
                      <w:snapToGrid w:val="0"/>
                      <w:kern w:val="0"/>
                      <w:sz w:val="18"/>
                      <w:szCs w:val="18"/>
                    </w:rPr>
                    <w:t>监测位置</w:t>
                  </w:r>
                </w:p>
              </w:tc>
              <w:tc>
                <w:tcPr>
                  <w:tcW w:w="801" w:type="pct"/>
                  <w:vAlign w:val="center"/>
                </w:tcPr>
                <w:p w14:paraId="74FEE0A2">
                  <w:pPr>
                    <w:pStyle w:val="109"/>
                    <w:adjustRightInd w:val="0"/>
                    <w:snapToGrid w:val="0"/>
                    <w:ind w:firstLine="0" w:firstLineChars="0"/>
                    <w:jc w:val="center"/>
                    <w:rPr>
                      <w:rFonts w:eastAsia="宋体" w:cs="Times New Roman"/>
                      <w:b/>
                      <w:bCs/>
                      <w:snapToGrid w:val="0"/>
                      <w:kern w:val="0"/>
                      <w:sz w:val="18"/>
                      <w:szCs w:val="18"/>
                    </w:rPr>
                  </w:pPr>
                  <w:r>
                    <w:rPr>
                      <w:rFonts w:eastAsia="宋体" w:cs="Times New Roman"/>
                      <w:b/>
                      <w:bCs/>
                      <w:snapToGrid w:val="0"/>
                      <w:kern w:val="0"/>
                      <w:sz w:val="18"/>
                      <w:szCs w:val="18"/>
                    </w:rPr>
                    <w:t>监测项目</w:t>
                  </w:r>
                </w:p>
              </w:tc>
              <w:tc>
                <w:tcPr>
                  <w:tcW w:w="600" w:type="pct"/>
                  <w:vAlign w:val="center"/>
                </w:tcPr>
                <w:p w14:paraId="70FC996A">
                  <w:pPr>
                    <w:pStyle w:val="109"/>
                    <w:adjustRightInd w:val="0"/>
                    <w:snapToGrid w:val="0"/>
                    <w:ind w:firstLine="0" w:firstLineChars="0"/>
                    <w:jc w:val="center"/>
                    <w:rPr>
                      <w:rFonts w:eastAsia="宋体" w:cs="Times New Roman"/>
                      <w:b/>
                      <w:bCs/>
                      <w:snapToGrid w:val="0"/>
                      <w:kern w:val="0"/>
                      <w:sz w:val="18"/>
                      <w:szCs w:val="18"/>
                    </w:rPr>
                  </w:pPr>
                  <w:r>
                    <w:rPr>
                      <w:rFonts w:eastAsia="宋体" w:cs="Times New Roman"/>
                      <w:b/>
                      <w:bCs/>
                      <w:snapToGrid w:val="0"/>
                      <w:kern w:val="0"/>
                      <w:sz w:val="18"/>
                      <w:szCs w:val="18"/>
                    </w:rPr>
                    <w:t>监测频次</w:t>
                  </w:r>
                </w:p>
              </w:tc>
              <w:tc>
                <w:tcPr>
                  <w:tcW w:w="2202" w:type="pct"/>
                  <w:vAlign w:val="center"/>
                </w:tcPr>
                <w:p w14:paraId="25966D5F">
                  <w:pPr>
                    <w:pStyle w:val="109"/>
                    <w:adjustRightInd w:val="0"/>
                    <w:snapToGrid w:val="0"/>
                    <w:ind w:firstLine="0" w:firstLineChars="0"/>
                    <w:jc w:val="center"/>
                    <w:rPr>
                      <w:rFonts w:eastAsia="宋体" w:cs="Times New Roman"/>
                      <w:b/>
                      <w:bCs/>
                      <w:snapToGrid w:val="0"/>
                      <w:kern w:val="0"/>
                      <w:sz w:val="18"/>
                      <w:szCs w:val="18"/>
                    </w:rPr>
                  </w:pPr>
                  <w:r>
                    <w:rPr>
                      <w:rFonts w:eastAsia="宋体" w:cs="Times New Roman"/>
                      <w:b/>
                      <w:bCs/>
                      <w:snapToGrid w:val="0"/>
                      <w:kern w:val="0"/>
                      <w:sz w:val="18"/>
                      <w:szCs w:val="18"/>
                    </w:rPr>
                    <w:t>执行排放标准</w:t>
                  </w:r>
                </w:p>
              </w:tc>
            </w:tr>
            <w:tr w14:paraId="5E880B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36" w:type="pct"/>
                  <w:vAlign w:val="center"/>
                </w:tcPr>
                <w:p w14:paraId="5C31B3BB">
                  <w:pPr>
                    <w:pStyle w:val="109"/>
                    <w:adjustRightInd w:val="0"/>
                    <w:snapToGrid w:val="0"/>
                    <w:ind w:firstLine="0" w:firstLineChars="0"/>
                    <w:jc w:val="center"/>
                    <w:rPr>
                      <w:rFonts w:eastAsia="宋体" w:cs="Times New Roman"/>
                      <w:snapToGrid w:val="0"/>
                      <w:kern w:val="0"/>
                      <w:sz w:val="18"/>
                      <w:szCs w:val="18"/>
                    </w:rPr>
                  </w:pPr>
                  <w:r>
                    <w:rPr>
                      <w:rFonts w:eastAsia="宋体" w:cs="Times New Roman"/>
                      <w:snapToGrid w:val="0"/>
                      <w:kern w:val="0"/>
                      <w:sz w:val="18"/>
                      <w:szCs w:val="18"/>
                    </w:rPr>
                    <w:t>噪声</w:t>
                  </w:r>
                </w:p>
              </w:tc>
              <w:tc>
                <w:tcPr>
                  <w:tcW w:w="859" w:type="pct"/>
                  <w:vAlign w:val="center"/>
                </w:tcPr>
                <w:p w14:paraId="79C8F00F">
                  <w:pPr>
                    <w:pStyle w:val="109"/>
                    <w:adjustRightInd w:val="0"/>
                    <w:snapToGrid w:val="0"/>
                    <w:ind w:firstLine="0" w:firstLineChars="0"/>
                    <w:jc w:val="center"/>
                    <w:rPr>
                      <w:rFonts w:eastAsia="宋体" w:cs="Times New Roman"/>
                      <w:snapToGrid w:val="0"/>
                      <w:kern w:val="0"/>
                      <w:sz w:val="18"/>
                      <w:szCs w:val="18"/>
                    </w:rPr>
                  </w:pPr>
                  <w:r>
                    <w:rPr>
                      <w:rFonts w:eastAsia="宋体" w:cs="Times New Roman"/>
                      <w:snapToGrid w:val="0"/>
                      <w:kern w:val="0"/>
                      <w:sz w:val="18"/>
                      <w:szCs w:val="18"/>
                    </w:rPr>
                    <w:t>厂界外1m</w:t>
                  </w:r>
                </w:p>
              </w:tc>
              <w:tc>
                <w:tcPr>
                  <w:tcW w:w="801" w:type="pct"/>
                  <w:vAlign w:val="center"/>
                </w:tcPr>
                <w:p w14:paraId="2CAE7B91">
                  <w:pPr>
                    <w:pStyle w:val="21"/>
                    <w:adjustRightInd w:val="0"/>
                    <w:snapToGrid w:val="0"/>
                    <w:spacing w:before="24" w:after="24"/>
                    <w:ind w:firstLine="0" w:firstLineChars="0"/>
                    <w:jc w:val="center"/>
                    <w:rPr>
                      <w:snapToGrid w:val="0"/>
                      <w:kern w:val="0"/>
                      <w:sz w:val="18"/>
                      <w:szCs w:val="18"/>
                    </w:rPr>
                  </w:pPr>
                  <w:r>
                    <w:rPr>
                      <w:snapToGrid w:val="0"/>
                      <w:kern w:val="0"/>
                      <w:sz w:val="18"/>
                      <w:szCs w:val="18"/>
                    </w:rPr>
                    <w:t>连续等效A声级</w:t>
                  </w:r>
                </w:p>
              </w:tc>
              <w:tc>
                <w:tcPr>
                  <w:tcW w:w="600" w:type="pct"/>
                  <w:vAlign w:val="center"/>
                </w:tcPr>
                <w:p w14:paraId="3CC736ED">
                  <w:pPr>
                    <w:pStyle w:val="109"/>
                    <w:adjustRightInd w:val="0"/>
                    <w:snapToGrid w:val="0"/>
                    <w:ind w:firstLine="0" w:firstLineChars="0"/>
                    <w:jc w:val="center"/>
                    <w:rPr>
                      <w:rFonts w:eastAsia="宋体" w:cs="Times New Roman"/>
                      <w:snapToGrid w:val="0"/>
                      <w:kern w:val="0"/>
                      <w:sz w:val="18"/>
                      <w:szCs w:val="18"/>
                    </w:rPr>
                  </w:pPr>
                  <w:r>
                    <w:rPr>
                      <w:rFonts w:eastAsia="宋体" w:cs="Times New Roman"/>
                      <w:snapToGrid w:val="0"/>
                      <w:kern w:val="0"/>
                      <w:sz w:val="18"/>
                      <w:szCs w:val="18"/>
                    </w:rPr>
                    <w:t>一季一次</w:t>
                  </w:r>
                </w:p>
              </w:tc>
              <w:tc>
                <w:tcPr>
                  <w:tcW w:w="2202" w:type="pct"/>
                  <w:vAlign w:val="center"/>
                </w:tcPr>
                <w:p w14:paraId="4193065A">
                  <w:pPr>
                    <w:pStyle w:val="109"/>
                    <w:adjustRightInd w:val="0"/>
                    <w:snapToGrid w:val="0"/>
                    <w:ind w:firstLine="0" w:firstLineChars="0"/>
                    <w:jc w:val="center"/>
                    <w:rPr>
                      <w:rFonts w:eastAsia="宋体" w:cs="Times New Roman"/>
                      <w:snapToGrid w:val="0"/>
                      <w:kern w:val="0"/>
                      <w:sz w:val="18"/>
                      <w:szCs w:val="18"/>
                    </w:rPr>
                  </w:pPr>
                  <w:r>
                    <w:rPr>
                      <w:rFonts w:eastAsia="宋体" w:cs="Times New Roman"/>
                      <w:snapToGrid w:val="0"/>
                      <w:kern w:val="0"/>
                      <w:sz w:val="18"/>
                      <w:szCs w:val="18"/>
                    </w:rPr>
                    <w:t>《工业企业厂界环境噪声排放标准》</w:t>
                  </w:r>
                </w:p>
                <w:p w14:paraId="406785E2">
                  <w:pPr>
                    <w:pStyle w:val="109"/>
                    <w:adjustRightInd w:val="0"/>
                    <w:snapToGrid w:val="0"/>
                    <w:ind w:firstLine="0" w:firstLineChars="0"/>
                    <w:jc w:val="center"/>
                    <w:rPr>
                      <w:rFonts w:eastAsia="宋体" w:cs="Times New Roman"/>
                      <w:snapToGrid w:val="0"/>
                      <w:kern w:val="0"/>
                      <w:sz w:val="18"/>
                      <w:szCs w:val="18"/>
                    </w:rPr>
                  </w:pPr>
                  <w:r>
                    <w:rPr>
                      <w:rFonts w:eastAsia="宋体" w:cs="Times New Roman"/>
                      <w:snapToGrid w:val="0"/>
                      <w:kern w:val="0"/>
                      <w:sz w:val="18"/>
                      <w:szCs w:val="18"/>
                    </w:rPr>
                    <w:t>（GB12348-2008）</w:t>
                  </w:r>
                  <w:r>
                    <w:rPr>
                      <w:rFonts w:hint="eastAsia" w:eastAsia="宋体" w:cs="Times New Roman"/>
                      <w:snapToGrid w:val="0"/>
                      <w:kern w:val="0"/>
                      <w:sz w:val="18"/>
                      <w:szCs w:val="18"/>
                    </w:rPr>
                    <w:t>3</w:t>
                  </w:r>
                  <w:r>
                    <w:rPr>
                      <w:rFonts w:eastAsia="宋体" w:cs="Times New Roman"/>
                      <w:snapToGrid w:val="0"/>
                      <w:kern w:val="0"/>
                      <w:sz w:val="18"/>
                      <w:szCs w:val="18"/>
                    </w:rPr>
                    <w:t>类标准</w:t>
                  </w:r>
                </w:p>
              </w:tc>
            </w:tr>
          </w:tbl>
          <w:p w14:paraId="241F3379">
            <w:pPr>
              <w:widowControl/>
              <w:shd w:val="clear" w:color="auto" w:fill="FFFFFF"/>
              <w:spacing w:line="360" w:lineRule="auto"/>
              <w:ind w:firstLine="454" w:firstLineChars="200"/>
              <w:jc w:val="left"/>
              <w:rPr>
                <w:b/>
                <w:bCs/>
                <w:spacing w:val="8"/>
                <w:kern w:val="0"/>
                <w:szCs w:val="21"/>
              </w:rPr>
            </w:pPr>
            <w:r>
              <w:rPr>
                <w:b/>
                <w:bCs/>
                <w:spacing w:val="8"/>
                <w:kern w:val="0"/>
                <w:szCs w:val="21"/>
              </w:rPr>
              <w:t>4.固体废物</w:t>
            </w:r>
          </w:p>
          <w:p w14:paraId="5C067DED">
            <w:pPr>
              <w:widowControl/>
              <w:shd w:val="clear" w:color="auto" w:fill="FFFFFF"/>
              <w:spacing w:line="360" w:lineRule="auto"/>
              <w:ind w:firstLine="454" w:firstLineChars="200"/>
              <w:jc w:val="left"/>
              <w:rPr>
                <w:b/>
                <w:bCs/>
                <w:spacing w:val="8"/>
                <w:kern w:val="0"/>
                <w:szCs w:val="21"/>
              </w:rPr>
            </w:pPr>
            <w:r>
              <w:rPr>
                <w:b/>
                <w:bCs/>
                <w:spacing w:val="8"/>
                <w:kern w:val="0"/>
                <w:szCs w:val="21"/>
              </w:rPr>
              <w:t>（1）固体废物产生情况</w:t>
            </w:r>
          </w:p>
          <w:p w14:paraId="0019C631">
            <w:pPr>
              <w:widowControl/>
              <w:shd w:val="clear" w:color="auto" w:fill="FFFFFF"/>
              <w:spacing w:line="360" w:lineRule="auto"/>
              <w:ind w:firstLine="452" w:firstLineChars="200"/>
              <w:jc w:val="left"/>
              <w:rPr>
                <w:spacing w:val="8"/>
                <w:kern w:val="0"/>
                <w:szCs w:val="21"/>
              </w:rPr>
            </w:pPr>
            <w:r>
              <w:rPr>
                <w:spacing w:val="8"/>
                <w:kern w:val="0"/>
                <w:szCs w:val="21"/>
              </w:rPr>
              <w:t>建设项目在生产过程中产生的固体废弃物主要为</w:t>
            </w:r>
            <w:r>
              <w:rPr>
                <w:rFonts w:hint="eastAsia"/>
                <w:spacing w:val="8"/>
                <w:kern w:val="0"/>
                <w:szCs w:val="21"/>
              </w:rPr>
              <w:t>原料使用产生的废试剂包装、</w:t>
            </w:r>
            <w:r>
              <w:rPr>
                <w:rFonts w:hint="eastAsia"/>
              </w:rPr>
              <w:t>研发及检测过程产生的实验废液、清洗废水、废气喷淋废液、</w:t>
            </w:r>
            <w:r>
              <w:rPr>
                <w:rFonts w:hint="eastAsia"/>
                <w:spacing w:val="8"/>
                <w:kern w:val="0"/>
                <w:szCs w:val="21"/>
              </w:rPr>
              <w:t>废实验耗材、废气处理产生的废活性炭、</w:t>
            </w:r>
            <w:r>
              <w:rPr>
                <w:rFonts w:hint="eastAsia"/>
                <w:spacing w:val="8"/>
                <w:kern w:val="0"/>
                <w:szCs w:val="21"/>
                <w:lang w:val="en-US" w:eastAsia="zh-CN"/>
              </w:rPr>
              <w:t>废水处理产生的污泥、废过滤介质和</w:t>
            </w:r>
            <w:r>
              <w:rPr>
                <w:rFonts w:hint="eastAsia"/>
                <w:spacing w:val="8"/>
                <w:kern w:val="0"/>
                <w:szCs w:val="21"/>
              </w:rPr>
              <w:t>日常产生的生活</w:t>
            </w:r>
            <w:r>
              <w:rPr>
                <w:spacing w:val="8"/>
                <w:kern w:val="0"/>
                <w:szCs w:val="21"/>
              </w:rPr>
              <w:t>垃圾。</w:t>
            </w:r>
          </w:p>
          <w:p w14:paraId="77D4F826">
            <w:pPr>
              <w:widowControl/>
              <w:shd w:val="clear" w:color="auto" w:fill="FFFFFF"/>
              <w:spacing w:line="360" w:lineRule="auto"/>
              <w:ind w:firstLine="452" w:firstLineChars="200"/>
              <w:rPr>
                <w:spacing w:val="8"/>
                <w:kern w:val="0"/>
                <w:szCs w:val="21"/>
              </w:rPr>
            </w:pPr>
            <w:r>
              <w:rPr>
                <w:spacing w:val="8"/>
                <w:kern w:val="0"/>
                <w:szCs w:val="21"/>
              </w:rPr>
              <w:fldChar w:fldCharType="begin"/>
            </w:r>
            <w:r>
              <w:rPr>
                <w:spacing w:val="8"/>
                <w:kern w:val="0"/>
                <w:szCs w:val="21"/>
              </w:rPr>
              <w:instrText xml:space="preserve"> = 1 \* GB3 </w:instrText>
            </w:r>
            <w:r>
              <w:rPr>
                <w:spacing w:val="8"/>
                <w:kern w:val="0"/>
                <w:szCs w:val="21"/>
              </w:rPr>
              <w:fldChar w:fldCharType="separate"/>
            </w:r>
            <w:r>
              <w:rPr>
                <w:spacing w:val="8"/>
                <w:kern w:val="0"/>
                <w:szCs w:val="21"/>
              </w:rPr>
              <w:t>①</w:t>
            </w:r>
            <w:r>
              <w:rPr>
                <w:spacing w:val="8"/>
                <w:kern w:val="0"/>
                <w:szCs w:val="21"/>
              </w:rPr>
              <w:fldChar w:fldCharType="end"/>
            </w:r>
            <w:r>
              <w:rPr>
                <w:spacing w:val="8"/>
                <w:kern w:val="0"/>
                <w:szCs w:val="21"/>
              </w:rPr>
              <w:t>废试剂包装</w:t>
            </w:r>
          </w:p>
          <w:p w14:paraId="4040CC68">
            <w:pPr>
              <w:widowControl/>
              <w:shd w:val="clear" w:color="auto" w:fill="FFFFFF"/>
              <w:spacing w:line="360" w:lineRule="auto"/>
              <w:ind w:firstLine="452" w:firstLineChars="200"/>
              <w:rPr>
                <w:spacing w:val="8"/>
                <w:kern w:val="0"/>
                <w:szCs w:val="21"/>
              </w:rPr>
            </w:pPr>
            <w:r>
              <w:rPr>
                <w:spacing w:val="8"/>
                <w:kern w:val="0"/>
                <w:szCs w:val="21"/>
              </w:rPr>
              <w:t>项目实验原辅料等使用后有废包装产生，根据原料使用量及包装方式估算，废包装产生量 0.</w:t>
            </w:r>
            <w:r>
              <w:rPr>
                <w:rFonts w:hint="eastAsia"/>
                <w:spacing w:val="8"/>
                <w:kern w:val="0"/>
                <w:szCs w:val="21"/>
              </w:rPr>
              <w:t>9</w:t>
            </w:r>
            <w:r>
              <w:rPr>
                <w:spacing w:val="8"/>
                <w:kern w:val="0"/>
                <w:szCs w:val="21"/>
              </w:rPr>
              <w:t>t/a，对照《</w:t>
            </w:r>
            <w:r>
              <w:rPr>
                <w:rFonts w:hint="eastAsia"/>
                <w:spacing w:val="8"/>
                <w:kern w:val="0"/>
                <w:szCs w:val="21"/>
                <w:lang w:val="en-US" w:eastAsia="zh-CN"/>
              </w:rPr>
              <w:t>江苏省实验室危险废物环境管理指南</w:t>
            </w:r>
            <w:r>
              <w:rPr>
                <w:spacing w:val="8"/>
                <w:kern w:val="0"/>
                <w:szCs w:val="21"/>
              </w:rPr>
              <w:t>》，废物代码：900-047-49</w:t>
            </w:r>
            <w:r>
              <w:rPr>
                <w:rFonts w:hint="eastAsia"/>
                <w:spacing w:val="8"/>
                <w:kern w:val="0"/>
                <w:szCs w:val="21"/>
              </w:rPr>
              <w:t>，委托有资质的单位处置。</w:t>
            </w:r>
          </w:p>
          <w:p w14:paraId="10EE89FA">
            <w:pPr>
              <w:widowControl/>
              <w:shd w:val="clear" w:color="auto" w:fill="FFFFFF"/>
              <w:spacing w:line="360" w:lineRule="auto"/>
              <w:ind w:firstLine="452" w:firstLineChars="200"/>
              <w:rPr>
                <w:spacing w:val="8"/>
                <w:kern w:val="0"/>
                <w:szCs w:val="21"/>
              </w:rPr>
            </w:pPr>
            <w:r>
              <w:rPr>
                <w:spacing w:val="8"/>
                <w:kern w:val="0"/>
                <w:szCs w:val="21"/>
              </w:rPr>
              <w:fldChar w:fldCharType="begin"/>
            </w:r>
            <w:r>
              <w:rPr>
                <w:spacing w:val="8"/>
                <w:kern w:val="0"/>
                <w:szCs w:val="21"/>
              </w:rPr>
              <w:instrText xml:space="preserve"> = 2 \* GB3 </w:instrText>
            </w:r>
            <w:r>
              <w:rPr>
                <w:spacing w:val="8"/>
                <w:kern w:val="0"/>
                <w:szCs w:val="21"/>
              </w:rPr>
              <w:fldChar w:fldCharType="separate"/>
            </w:r>
            <w:r>
              <w:rPr>
                <w:spacing w:val="8"/>
                <w:kern w:val="0"/>
                <w:szCs w:val="21"/>
              </w:rPr>
              <w:t>②</w:t>
            </w:r>
            <w:r>
              <w:rPr>
                <w:spacing w:val="8"/>
                <w:kern w:val="0"/>
                <w:szCs w:val="21"/>
              </w:rPr>
              <w:fldChar w:fldCharType="end"/>
            </w:r>
            <w:r>
              <w:rPr>
                <w:spacing w:val="8"/>
                <w:kern w:val="0"/>
                <w:szCs w:val="21"/>
              </w:rPr>
              <w:t>实验废液</w:t>
            </w:r>
          </w:p>
          <w:p w14:paraId="2A2FE748">
            <w:pPr>
              <w:widowControl/>
              <w:shd w:val="clear" w:color="auto" w:fill="FFFFFF"/>
              <w:spacing w:line="360" w:lineRule="auto"/>
              <w:ind w:firstLine="452" w:firstLineChars="200"/>
              <w:rPr>
                <w:spacing w:val="8"/>
                <w:kern w:val="0"/>
                <w:szCs w:val="21"/>
              </w:rPr>
            </w:pPr>
            <w:r>
              <w:rPr>
                <w:spacing w:val="8"/>
                <w:kern w:val="0"/>
                <w:szCs w:val="21"/>
              </w:rPr>
              <w:t>项目实验检测过程有实验废液产生，</w:t>
            </w:r>
            <w:r>
              <w:rPr>
                <w:rFonts w:hint="eastAsia"/>
                <w:spacing w:val="8"/>
                <w:kern w:val="0"/>
                <w:szCs w:val="21"/>
              </w:rPr>
              <w:t>实验废液的产生量约</w:t>
            </w:r>
            <w:r>
              <w:rPr>
                <w:rFonts w:hint="eastAsia"/>
                <w:spacing w:val="8"/>
                <w:kern w:val="0"/>
                <w:szCs w:val="21"/>
                <w:lang w:val="en-US" w:eastAsia="zh-CN"/>
              </w:rPr>
              <w:t>0.5</w:t>
            </w:r>
            <w:r>
              <w:rPr>
                <w:rFonts w:hint="eastAsia"/>
                <w:spacing w:val="8"/>
                <w:kern w:val="0"/>
                <w:szCs w:val="21"/>
              </w:rPr>
              <w:t>3t/a，</w:t>
            </w:r>
            <w:r>
              <w:rPr>
                <w:spacing w:val="8"/>
                <w:kern w:val="0"/>
                <w:szCs w:val="21"/>
              </w:rPr>
              <w:t>对照《</w:t>
            </w:r>
            <w:r>
              <w:rPr>
                <w:rFonts w:hint="eastAsia"/>
                <w:spacing w:val="8"/>
                <w:kern w:val="0"/>
                <w:szCs w:val="21"/>
                <w:lang w:val="en-US" w:eastAsia="zh-CN"/>
              </w:rPr>
              <w:t>江苏省实验室危险废物环境管理指南</w:t>
            </w:r>
            <w:r>
              <w:rPr>
                <w:spacing w:val="8"/>
                <w:kern w:val="0"/>
                <w:szCs w:val="21"/>
              </w:rPr>
              <w:t>》，废物代码：900-047-49</w:t>
            </w:r>
            <w:r>
              <w:rPr>
                <w:rFonts w:hint="eastAsia"/>
                <w:spacing w:val="8"/>
                <w:kern w:val="0"/>
                <w:szCs w:val="21"/>
              </w:rPr>
              <w:t>，委托有资质的单位处置</w:t>
            </w:r>
            <w:r>
              <w:rPr>
                <w:spacing w:val="8"/>
                <w:kern w:val="0"/>
                <w:szCs w:val="21"/>
              </w:rPr>
              <w:t>。</w:t>
            </w:r>
          </w:p>
          <w:p w14:paraId="02D0F6F3">
            <w:pPr>
              <w:widowControl/>
              <w:shd w:val="clear" w:color="auto" w:fill="FFFFFF"/>
              <w:spacing w:line="360" w:lineRule="auto"/>
              <w:ind w:firstLine="452" w:firstLineChars="200"/>
              <w:rPr>
                <w:spacing w:val="8"/>
                <w:kern w:val="0"/>
                <w:szCs w:val="21"/>
              </w:rPr>
            </w:pPr>
            <w:r>
              <w:rPr>
                <w:spacing w:val="8"/>
                <w:kern w:val="0"/>
                <w:szCs w:val="21"/>
              </w:rPr>
              <w:fldChar w:fldCharType="begin"/>
            </w:r>
            <w:r>
              <w:rPr>
                <w:spacing w:val="8"/>
                <w:kern w:val="0"/>
                <w:szCs w:val="21"/>
              </w:rPr>
              <w:instrText xml:space="preserve"> = 3 \* GB3 </w:instrText>
            </w:r>
            <w:r>
              <w:rPr>
                <w:spacing w:val="8"/>
                <w:kern w:val="0"/>
                <w:szCs w:val="21"/>
              </w:rPr>
              <w:fldChar w:fldCharType="separate"/>
            </w:r>
            <w:r>
              <w:rPr>
                <w:spacing w:val="8"/>
                <w:kern w:val="0"/>
                <w:szCs w:val="21"/>
              </w:rPr>
              <w:t>③</w:t>
            </w:r>
            <w:r>
              <w:rPr>
                <w:spacing w:val="8"/>
                <w:kern w:val="0"/>
                <w:szCs w:val="21"/>
              </w:rPr>
              <w:fldChar w:fldCharType="end"/>
            </w:r>
            <w:r>
              <w:rPr>
                <w:rFonts w:hint="eastAsia"/>
                <w:spacing w:val="8"/>
                <w:kern w:val="0"/>
                <w:szCs w:val="21"/>
                <w:lang w:val="en-US" w:eastAsia="zh-CN"/>
              </w:rPr>
              <w:t>初道</w:t>
            </w:r>
            <w:r>
              <w:rPr>
                <w:rFonts w:hint="eastAsia"/>
                <w:spacing w:val="8"/>
                <w:kern w:val="0"/>
                <w:szCs w:val="21"/>
              </w:rPr>
              <w:t>清洗废水</w:t>
            </w:r>
          </w:p>
          <w:p w14:paraId="509D4635">
            <w:pPr>
              <w:widowControl/>
              <w:shd w:val="clear" w:color="auto" w:fill="FFFFFF"/>
              <w:spacing w:line="360" w:lineRule="auto"/>
              <w:ind w:firstLine="452" w:firstLineChars="200"/>
              <w:rPr>
                <w:spacing w:val="8"/>
                <w:kern w:val="0"/>
                <w:szCs w:val="21"/>
              </w:rPr>
            </w:pPr>
            <w:r>
              <w:rPr>
                <w:rFonts w:hint="eastAsia"/>
                <w:spacing w:val="8"/>
                <w:kern w:val="0"/>
                <w:szCs w:val="21"/>
              </w:rPr>
              <w:t>项</w:t>
            </w:r>
            <w:r>
              <w:rPr>
                <w:rFonts w:hint="eastAsia"/>
                <w:spacing w:val="8"/>
                <w:kern w:val="0"/>
                <w:szCs w:val="21"/>
                <w:lang w:val="en-US" w:eastAsia="zh-CN"/>
              </w:rPr>
              <w:t>目初道</w:t>
            </w:r>
            <w:r>
              <w:rPr>
                <w:rFonts w:hint="eastAsia"/>
                <w:spacing w:val="8"/>
                <w:kern w:val="0"/>
                <w:szCs w:val="21"/>
              </w:rPr>
              <w:t>清洗废水产生量约为</w:t>
            </w:r>
            <w:r>
              <w:rPr>
                <w:rFonts w:hint="eastAsia"/>
                <w:spacing w:val="8"/>
                <w:kern w:val="0"/>
                <w:szCs w:val="21"/>
                <w:lang w:val="en-US" w:eastAsia="zh-CN"/>
              </w:rPr>
              <w:t>2</w:t>
            </w:r>
            <w:r>
              <w:rPr>
                <w:rFonts w:hint="eastAsia"/>
                <w:spacing w:val="8"/>
                <w:kern w:val="0"/>
                <w:szCs w:val="21"/>
              </w:rPr>
              <w:t>t/a，</w:t>
            </w:r>
            <w:r>
              <w:rPr>
                <w:spacing w:val="8"/>
                <w:kern w:val="0"/>
                <w:szCs w:val="21"/>
              </w:rPr>
              <w:t>对照《</w:t>
            </w:r>
            <w:r>
              <w:rPr>
                <w:rFonts w:hint="eastAsia"/>
                <w:spacing w:val="8"/>
                <w:kern w:val="0"/>
                <w:szCs w:val="21"/>
                <w:lang w:val="en-US" w:eastAsia="zh-CN"/>
              </w:rPr>
              <w:t>江苏省实验室危险废物环境管理指南</w:t>
            </w:r>
            <w:r>
              <w:rPr>
                <w:spacing w:val="8"/>
                <w:kern w:val="0"/>
                <w:szCs w:val="21"/>
              </w:rPr>
              <w:t>》，废物代码：900-047-49</w:t>
            </w:r>
            <w:r>
              <w:rPr>
                <w:rFonts w:hint="eastAsia"/>
                <w:spacing w:val="8"/>
                <w:kern w:val="0"/>
                <w:szCs w:val="21"/>
              </w:rPr>
              <w:t>，委托有资质的单位进行处置。</w:t>
            </w:r>
          </w:p>
          <w:p w14:paraId="13FE2870">
            <w:pPr>
              <w:widowControl/>
              <w:shd w:val="clear" w:color="auto" w:fill="FFFFFF"/>
              <w:spacing w:line="360" w:lineRule="auto"/>
              <w:ind w:firstLine="452" w:firstLineChars="200"/>
              <w:rPr>
                <w:spacing w:val="8"/>
                <w:kern w:val="0"/>
                <w:szCs w:val="21"/>
              </w:rPr>
            </w:pPr>
            <w:r>
              <w:rPr>
                <w:spacing w:val="8"/>
                <w:kern w:val="0"/>
                <w:szCs w:val="21"/>
              </w:rPr>
              <w:fldChar w:fldCharType="begin"/>
            </w:r>
            <w:r>
              <w:rPr>
                <w:spacing w:val="8"/>
                <w:kern w:val="0"/>
                <w:szCs w:val="21"/>
              </w:rPr>
              <w:instrText xml:space="preserve"> = 4 \* GB3 </w:instrText>
            </w:r>
            <w:r>
              <w:rPr>
                <w:spacing w:val="8"/>
                <w:kern w:val="0"/>
                <w:szCs w:val="21"/>
              </w:rPr>
              <w:fldChar w:fldCharType="separate"/>
            </w:r>
            <w:r>
              <w:rPr>
                <w:rFonts w:hint="eastAsia"/>
                <w:spacing w:val="8"/>
                <w:kern w:val="0"/>
                <w:szCs w:val="21"/>
              </w:rPr>
              <w:t>④</w:t>
            </w:r>
            <w:r>
              <w:rPr>
                <w:spacing w:val="8"/>
                <w:kern w:val="0"/>
                <w:szCs w:val="21"/>
              </w:rPr>
              <w:fldChar w:fldCharType="end"/>
            </w:r>
            <w:r>
              <w:rPr>
                <w:rFonts w:hint="eastAsia"/>
                <w:spacing w:val="8"/>
                <w:kern w:val="0"/>
                <w:szCs w:val="21"/>
              </w:rPr>
              <w:t>喷淋废液</w:t>
            </w:r>
          </w:p>
          <w:p w14:paraId="5794D2D3">
            <w:pPr>
              <w:widowControl/>
              <w:shd w:val="clear" w:color="auto" w:fill="FFFFFF"/>
              <w:spacing w:line="360" w:lineRule="auto"/>
              <w:rPr>
                <w:spacing w:val="8"/>
                <w:kern w:val="0"/>
                <w:szCs w:val="21"/>
              </w:rPr>
            </w:pPr>
            <w:r>
              <w:rPr>
                <w:rFonts w:hint="eastAsia"/>
                <w:spacing w:val="8"/>
                <w:kern w:val="0"/>
                <w:szCs w:val="21"/>
              </w:rPr>
              <w:t xml:space="preserve">    项目使用水喷淋+除雾器+二级活性炭吸附装置处理实验室废气，年产生喷淋废液0.4t，</w:t>
            </w:r>
            <w:r>
              <w:rPr>
                <w:spacing w:val="8"/>
                <w:kern w:val="0"/>
                <w:szCs w:val="21"/>
              </w:rPr>
              <w:t>对照《</w:t>
            </w:r>
            <w:r>
              <w:rPr>
                <w:rFonts w:hint="eastAsia"/>
                <w:spacing w:val="8"/>
                <w:kern w:val="0"/>
                <w:szCs w:val="21"/>
                <w:lang w:val="en-US" w:eastAsia="zh-CN"/>
              </w:rPr>
              <w:t>江苏省实验室危险废物环境管理指南</w:t>
            </w:r>
            <w:r>
              <w:rPr>
                <w:spacing w:val="8"/>
                <w:kern w:val="0"/>
                <w:szCs w:val="21"/>
              </w:rPr>
              <w:t>》，废物代码：900-047-49</w:t>
            </w:r>
            <w:r>
              <w:rPr>
                <w:rFonts w:hint="eastAsia"/>
                <w:spacing w:val="8"/>
                <w:kern w:val="0"/>
                <w:szCs w:val="21"/>
              </w:rPr>
              <w:t>，委托有资质的单位处置</w:t>
            </w:r>
            <w:r>
              <w:rPr>
                <w:spacing w:val="8"/>
                <w:kern w:val="0"/>
                <w:szCs w:val="21"/>
              </w:rPr>
              <w:t>。</w:t>
            </w:r>
          </w:p>
          <w:p w14:paraId="0AC8761F">
            <w:pPr>
              <w:widowControl/>
              <w:shd w:val="clear" w:color="auto" w:fill="FFFFFF"/>
              <w:spacing w:line="360" w:lineRule="auto"/>
              <w:ind w:firstLine="452" w:firstLineChars="200"/>
              <w:rPr>
                <w:szCs w:val="21"/>
              </w:rPr>
            </w:pPr>
            <w:r>
              <w:rPr>
                <w:spacing w:val="8"/>
                <w:kern w:val="0"/>
                <w:szCs w:val="21"/>
              </w:rPr>
              <w:fldChar w:fldCharType="begin"/>
            </w:r>
            <w:r>
              <w:rPr>
                <w:spacing w:val="8"/>
                <w:kern w:val="0"/>
                <w:szCs w:val="21"/>
              </w:rPr>
              <w:instrText xml:space="preserve"> = 5 \* GB3 </w:instrText>
            </w:r>
            <w:r>
              <w:rPr>
                <w:spacing w:val="8"/>
                <w:kern w:val="0"/>
                <w:szCs w:val="21"/>
              </w:rPr>
              <w:fldChar w:fldCharType="separate"/>
            </w:r>
            <w:r>
              <w:rPr>
                <w:rFonts w:hint="eastAsia"/>
                <w:spacing w:val="8"/>
                <w:kern w:val="0"/>
                <w:szCs w:val="21"/>
              </w:rPr>
              <w:t>⑤</w:t>
            </w:r>
            <w:r>
              <w:rPr>
                <w:spacing w:val="8"/>
                <w:kern w:val="0"/>
                <w:szCs w:val="21"/>
              </w:rPr>
              <w:fldChar w:fldCharType="end"/>
            </w:r>
            <w:r>
              <w:rPr>
                <w:szCs w:val="21"/>
              </w:rPr>
              <w:t>废活性炭</w:t>
            </w:r>
          </w:p>
          <w:p w14:paraId="4768493F">
            <w:pPr>
              <w:widowControl/>
              <w:shd w:val="clear" w:color="auto" w:fill="FFFFFF"/>
              <w:spacing w:line="360" w:lineRule="auto"/>
              <w:ind w:firstLine="420" w:firstLineChars="200"/>
              <w:rPr>
                <w:spacing w:val="8"/>
                <w:kern w:val="0"/>
                <w:szCs w:val="21"/>
              </w:rPr>
            </w:pPr>
            <w:r>
              <w:rPr>
                <w:szCs w:val="21"/>
              </w:rPr>
              <w:t>本项目使用活性炭吸</w:t>
            </w:r>
            <w:r>
              <w:rPr>
                <w:color w:val="auto"/>
                <w:szCs w:val="21"/>
              </w:rPr>
              <w:t>附装置吸附的有机废气量为0.0</w:t>
            </w:r>
            <w:r>
              <w:rPr>
                <w:rFonts w:hint="eastAsia"/>
                <w:color w:val="auto"/>
                <w:szCs w:val="21"/>
              </w:rPr>
              <w:t>5</w:t>
            </w:r>
            <w:r>
              <w:rPr>
                <w:rFonts w:hint="eastAsia"/>
                <w:color w:val="auto"/>
                <w:szCs w:val="21"/>
                <w:lang w:val="en-US" w:eastAsia="zh-CN"/>
              </w:rPr>
              <w:t>55</w:t>
            </w:r>
            <w:r>
              <w:rPr>
                <w:color w:val="auto"/>
                <w:szCs w:val="21"/>
              </w:rPr>
              <w:t>t/a，根据废气处理效果可行性分析可知，活性炭吸附装置装填量为</w:t>
            </w:r>
            <w:r>
              <w:rPr>
                <w:rFonts w:hint="eastAsia"/>
                <w:color w:val="auto"/>
                <w:szCs w:val="21"/>
                <w:lang w:val="en-US" w:eastAsia="zh-CN"/>
              </w:rPr>
              <w:t>1.097</w:t>
            </w:r>
            <w:r>
              <w:rPr>
                <w:color w:val="auto"/>
                <w:szCs w:val="21"/>
              </w:rPr>
              <w:t>t，每3个月更换一次，则产生废活性炭为</w:t>
            </w:r>
            <w:r>
              <w:rPr>
                <w:rFonts w:hint="eastAsia"/>
                <w:color w:val="auto"/>
                <w:szCs w:val="21"/>
                <w:lang w:val="en-US" w:eastAsia="zh-CN"/>
              </w:rPr>
              <w:t>4.4435</w:t>
            </w:r>
            <w:r>
              <w:rPr>
                <w:color w:val="auto"/>
                <w:szCs w:val="21"/>
              </w:rPr>
              <w:t>t/a</w:t>
            </w:r>
            <w:r>
              <w:rPr>
                <w:rFonts w:hint="eastAsia"/>
                <w:color w:val="auto"/>
                <w:szCs w:val="21"/>
                <w:lang w:eastAsia="zh-CN"/>
              </w:rPr>
              <w:t>；</w:t>
            </w:r>
            <w:r>
              <w:rPr>
                <w:spacing w:val="8"/>
                <w:kern w:val="0"/>
                <w:szCs w:val="21"/>
              </w:rPr>
              <w:t>对照《</w:t>
            </w:r>
            <w:r>
              <w:rPr>
                <w:rFonts w:hint="eastAsia"/>
                <w:spacing w:val="8"/>
                <w:kern w:val="0"/>
                <w:szCs w:val="21"/>
                <w:lang w:val="en-US" w:eastAsia="zh-CN"/>
              </w:rPr>
              <w:t>江苏省实验室危险废物环境管理指南</w:t>
            </w:r>
            <w:r>
              <w:rPr>
                <w:spacing w:val="8"/>
                <w:kern w:val="0"/>
                <w:szCs w:val="21"/>
              </w:rPr>
              <w:t>》，废物代码：900-047-49</w:t>
            </w:r>
            <w:r>
              <w:rPr>
                <w:rFonts w:hint="eastAsia"/>
                <w:spacing w:val="8"/>
                <w:kern w:val="0"/>
                <w:szCs w:val="21"/>
              </w:rPr>
              <w:t>，</w:t>
            </w:r>
            <w:r>
              <w:rPr>
                <w:szCs w:val="21"/>
              </w:rPr>
              <w:t>委托有资质单位处置。</w:t>
            </w:r>
          </w:p>
          <w:p w14:paraId="06CEC264">
            <w:pPr>
              <w:widowControl/>
              <w:shd w:val="clear" w:color="auto" w:fill="FFFFFF"/>
              <w:spacing w:line="360" w:lineRule="auto"/>
              <w:ind w:firstLine="452" w:firstLineChars="200"/>
              <w:rPr>
                <w:shd w:val="clear" w:color="auto" w:fill="FFFFFF"/>
              </w:rPr>
            </w:pPr>
            <w:r>
              <w:rPr>
                <w:rFonts w:hint="eastAsia"/>
                <w:spacing w:val="8"/>
                <w:kern w:val="0"/>
                <w:szCs w:val="21"/>
              </w:rPr>
              <w:t>⑥</w:t>
            </w:r>
            <w:r>
              <w:rPr>
                <w:rFonts w:hint="eastAsia"/>
                <w:shd w:val="clear" w:color="auto" w:fill="FFFFFF"/>
              </w:rPr>
              <w:t>废实验耗材</w:t>
            </w:r>
          </w:p>
          <w:p w14:paraId="45043B43">
            <w:pPr>
              <w:widowControl/>
              <w:shd w:val="clear" w:color="auto" w:fill="FFFFFF"/>
              <w:spacing w:line="360" w:lineRule="auto"/>
              <w:ind w:firstLine="420" w:firstLineChars="200"/>
              <w:rPr>
                <w:spacing w:val="8"/>
                <w:kern w:val="0"/>
                <w:szCs w:val="21"/>
              </w:rPr>
            </w:pPr>
            <w:r>
              <w:rPr>
                <w:shd w:val="clear" w:color="auto" w:fill="FFFFFF"/>
              </w:rPr>
              <w:t>根据同行业类比分析及企业提供的资料，本项目</w:t>
            </w:r>
            <w:r>
              <w:rPr>
                <w:rFonts w:hint="eastAsia"/>
                <w:shd w:val="clear" w:color="auto" w:fill="FFFFFF"/>
              </w:rPr>
              <w:t>废实验耗材</w:t>
            </w:r>
            <w:r>
              <w:rPr>
                <w:rFonts w:hint="eastAsia"/>
                <w:spacing w:val="6"/>
                <w:szCs w:val="21"/>
                <w:shd w:val="clear" w:color="auto" w:fill="FFFFFF"/>
              </w:rPr>
              <w:t>（含一次性手套、口罩、沾有药品的纸张、破损的玻璃器皿等）</w:t>
            </w:r>
            <w:r>
              <w:rPr>
                <w:shd w:val="clear" w:color="auto" w:fill="FFFFFF"/>
              </w:rPr>
              <w:t>产生量约0.</w:t>
            </w:r>
            <w:r>
              <w:rPr>
                <w:rFonts w:hint="eastAsia"/>
                <w:shd w:val="clear" w:color="auto" w:fill="FFFFFF"/>
              </w:rPr>
              <w:t>1</w:t>
            </w:r>
            <w:r>
              <w:rPr>
                <w:shd w:val="clear" w:color="auto" w:fill="FFFFFF"/>
              </w:rPr>
              <w:t>t/a，</w:t>
            </w:r>
            <w:r>
              <w:rPr>
                <w:spacing w:val="8"/>
                <w:kern w:val="0"/>
                <w:szCs w:val="21"/>
              </w:rPr>
              <w:t>对照《</w:t>
            </w:r>
            <w:r>
              <w:rPr>
                <w:rFonts w:hint="eastAsia"/>
                <w:spacing w:val="8"/>
                <w:kern w:val="0"/>
                <w:szCs w:val="21"/>
                <w:lang w:val="en-US" w:eastAsia="zh-CN"/>
              </w:rPr>
              <w:t>江苏省实验室危险废物环境管理指南</w:t>
            </w:r>
            <w:r>
              <w:rPr>
                <w:spacing w:val="8"/>
                <w:kern w:val="0"/>
                <w:szCs w:val="21"/>
              </w:rPr>
              <w:t>》，废物代码：900-047-49</w:t>
            </w:r>
            <w:r>
              <w:rPr>
                <w:rFonts w:hint="eastAsia"/>
                <w:spacing w:val="8"/>
                <w:kern w:val="0"/>
                <w:szCs w:val="21"/>
              </w:rPr>
              <w:t>，</w:t>
            </w:r>
            <w:r>
              <w:rPr>
                <w:shd w:val="clear" w:color="auto" w:fill="FFFFFF"/>
              </w:rPr>
              <w:t>委托有资质单位处置。</w:t>
            </w:r>
          </w:p>
          <w:p w14:paraId="23BEC4B8">
            <w:pPr>
              <w:widowControl/>
              <w:shd w:val="clear" w:color="auto" w:fill="FFFFFF"/>
              <w:spacing w:line="360" w:lineRule="auto"/>
              <w:ind w:firstLine="452" w:firstLineChars="200"/>
              <w:rPr>
                <w:rFonts w:hint="default"/>
                <w:color w:val="0000FF"/>
                <w:shd w:val="clear" w:color="auto" w:fill="FFFFFF"/>
                <w:lang w:val="en-US" w:eastAsia="zh-CN"/>
              </w:rPr>
            </w:pPr>
            <w:r>
              <w:rPr>
                <w:rFonts w:hint="eastAsia"/>
                <w:color w:val="0000FF"/>
                <w:spacing w:val="8"/>
                <w:kern w:val="0"/>
                <w:szCs w:val="21"/>
              </w:rPr>
              <w:t>⑦</w:t>
            </w:r>
            <w:r>
              <w:rPr>
                <w:rFonts w:hint="eastAsia"/>
                <w:color w:val="0000FF"/>
                <w:shd w:val="clear" w:color="auto" w:fill="FFFFFF"/>
                <w:lang w:val="en-US" w:eastAsia="zh-CN"/>
              </w:rPr>
              <w:t>废水处理污泥</w:t>
            </w:r>
          </w:p>
          <w:p w14:paraId="3B0DA1B2">
            <w:pPr>
              <w:widowControl/>
              <w:shd w:val="clear" w:color="auto" w:fill="FFFFFF"/>
              <w:spacing w:line="360" w:lineRule="auto"/>
              <w:ind w:firstLine="420" w:firstLineChars="200"/>
              <w:rPr>
                <w:color w:val="0000FF"/>
                <w:spacing w:val="8"/>
                <w:kern w:val="0"/>
                <w:szCs w:val="21"/>
              </w:rPr>
            </w:pPr>
            <w:r>
              <w:rPr>
                <w:rFonts w:hint="eastAsia"/>
                <w:color w:val="0000FF"/>
                <w:shd w:val="clear" w:color="auto" w:fill="FFFFFF"/>
                <w:lang w:val="en-US" w:eastAsia="zh-CN"/>
              </w:rPr>
              <w:t>根据同行业类比分析，本项目废水处理污泥的产生量为0.1t/a</w:t>
            </w:r>
            <w:r>
              <w:rPr>
                <w:rFonts w:hint="eastAsia"/>
                <w:color w:val="0000FF"/>
                <w:spacing w:val="8"/>
                <w:kern w:val="0"/>
                <w:szCs w:val="21"/>
                <w:lang w:eastAsia="zh-CN"/>
              </w:rPr>
              <w:t>，</w:t>
            </w:r>
            <w:r>
              <w:rPr>
                <w:color w:val="0000FF"/>
                <w:spacing w:val="8"/>
                <w:kern w:val="0"/>
                <w:szCs w:val="21"/>
              </w:rPr>
              <w:t>对照《</w:t>
            </w:r>
            <w:r>
              <w:rPr>
                <w:rFonts w:hint="eastAsia"/>
                <w:color w:val="0000FF"/>
                <w:spacing w:val="8"/>
                <w:kern w:val="0"/>
                <w:szCs w:val="21"/>
                <w:lang w:val="en-US" w:eastAsia="zh-CN"/>
              </w:rPr>
              <w:t>江苏省实验室危险废物环境管理指南</w:t>
            </w:r>
            <w:r>
              <w:rPr>
                <w:color w:val="0000FF"/>
                <w:spacing w:val="8"/>
                <w:kern w:val="0"/>
                <w:szCs w:val="21"/>
              </w:rPr>
              <w:t>》，废物代码：900-047-49</w:t>
            </w:r>
            <w:r>
              <w:rPr>
                <w:rFonts w:hint="eastAsia"/>
                <w:color w:val="0000FF"/>
                <w:spacing w:val="8"/>
                <w:kern w:val="0"/>
                <w:szCs w:val="21"/>
              </w:rPr>
              <w:t>，</w:t>
            </w:r>
            <w:r>
              <w:rPr>
                <w:color w:val="0000FF"/>
                <w:shd w:val="clear" w:color="auto" w:fill="FFFFFF"/>
              </w:rPr>
              <w:t>委托有资质单位处置。</w:t>
            </w:r>
          </w:p>
          <w:p w14:paraId="15E1FF68">
            <w:pPr>
              <w:widowControl/>
              <w:shd w:val="clear" w:color="auto" w:fill="FFFFFF"/>
              <w:spacing w:line="360" w:lineRule="auto"/>
              <w:ind w:firstLine="420" w:firstLineChars="200"/>
              <w:rPr>
                <w:rFonts w:hint="eastAsia"/>
                <w:color w:val="0000FF"/>
                <w:shd w:val="clear" w:color="auto" w:fill="FFFFFF"/>
                <w:lang w:val="en-US" w:eastAsia="zh-CN"/>
              </w:rPr>
            </w:pPr>
            <w:r>
              <w:rPr>
                <w:rFonts w:hint="eastAsia"/>
                <w:color w:val="0000FF"/>
                <w:shd w:val="clear" w:color="auto" w:fill="FFFFFF"/>
                <w:lang w:val="en-US" w:eastAsia="zh-CN"/>
              </w:rPr>
              <w:t>⑧废过滤介质</w:t>
            </w:r>
          </w:p>
          <w:p w14:paraId="35075297">
            <w:pPr>
              <w:widowControl/>
              <w:shd w:val="clear" w:color="auto" w:fill="FFFFFF"/>
              <w:spacing w:line="360" w:lineRule="auto"/>
              <w:ind w:firstLine="420" w:firstLineChars="200"/>
              <w:rPr>
                <w:spacing w:val="8"/>
                <w:kern w:val="0"/>
                <w:szCs w:val="21"/>
              </w:rPr>
            </w:pPr>
            <w:r>
              <w:rPr>
                <w:rFonts w:hint="eastAsia"/>
                <w:color w:val="0000FF"/>
                <w:shd w:val="clear" w:color="auto" w:fill="FFFFFF"/>
                <w:lang w:val="en-US" w:eastAsia="zh-CN"/>
              </w:rPr>
              <w:t>根据同行业类比分析，本项目废水处理废过滤介质每年更换1次，产生量为0.1t/a，</w:t>
            </w:r>
            <w:r>
              <w:rPr>
                <w:color w:val="0000FF"/>
                <w:spacing w:val="8"/>
                <w:kern w:val="0"/>
                <w:szCs w:val="21"/>
              </w:rPr>
              <w:t>对照《</w:t>
            </w:r>
            <w:r>
              <w:rPr>
                <w:rFonts w:hint="eastAsia"/>
                <w:color w:val="0000FF"/>
                <w:spacing w:val="8"/>
                <w:kern w:val="0"/>
                <w:szCs w:val="21"/>
                <w:lang w:val="en-US" w:eastAsia="zh-CN"/>
              </w:rPr>
              <w:t>江苏省实验室危险废物环境管理指南</w:t>
            </w:r>
            <w:r>
              <w:rPr>
                <w:color w:val="0000FF"/>
                <w:spacing w:val="8"/>
                <w:kern w:val="0"/>
                <w:szCs w:val="21"/>
              </w:rPr>
              <w:t>》，废物代码：900-047-49</w:t>
            </w:r>
            <w:r>
              <w:rPr>
                <w:rFonts w:hint="eastAsia"/>
                <w:color w:val="0000FF"/>
                <w:spacing w:val="8"/>
                <w:kern w:val="0"/>
                <w:szCs w:val="21"/>
              </w:rPr>
              <w:t>，</w:t>
            </w:r>
            <w:r>
              <w:rPr>
                <w:color w:val="0000FF"/>
                <w:shd w:val="clear" w:color="auto" w:fill="FFFFFF"/>
              </w:rPr>
              <w:t>委托有资质单位处置。</w:t>
            </w:r>
          </w:p>
          <w:p w14:paraId="4E625760">
            <w:pPr>
              <w:widowControl/>
              <w:shd w:val="clear" w:color="auto" w:fill="FFFFFF"/>
              <w:spacing w:line="360" w:lineRule="auto"/>
              <w:ind w:firstLine="420" w:firstLineChars="200"/>
              <w:rPr>
                <w:szCs w:val="21"/>
              </w:rPr>
            </w:pPr>
            <w:r>
              <w:rPr>
                <w:rFonts w:hint="eastAsia"/>
                <w:shd w:val="clear" w:color="auto" w:fill="FFFFFF"/>
                <w:lang w:val="en-US" w:eastAsia="zh-CN"/>
              </w:rPr>
              <w:t>⑨</w:t>
            </w:r>
            <w:r>
              <w:rPr>
                <w:szCs w:val="21"/>
              </w:rPr>
              <w:t>生活垃圾</w:t>
            </w:r>
          </w:p>
          <w:p w14:paraId="2DBED624">
            <w:pPr>
              <w:widowControl/>
              <w:shd w:val="clear" w:color="auto" w:fill="FFFFFF"/>
              <w:spacing w:line="360" w:lineRule="auto"/>
              <w:ind w:firstLine="452" w:firstLineChars="200"/>
              <w:rPr>
                <w:spacing w:val="8"/>
                <w:kern w:val="0"/>
                <w:szCs w:val="21"/>
              </w:rPr>
            </w:pPr>
            <w:r>
              <w:rPr>
                <w:spacing w:val="8"/>
                <w:kern w:val="0"/>
                <w:szCs w:val="21"/>
              </w:rPr>
              <w:t>按每人0.5kg/d，项目职工人数为</w:t>
            </w:r>
            <w:r>
              <w:rPr>
                <w:rFonts w:hint="eastAsia"/>
                <w:spacing w:val="8"/>
                <w:kern w:val="0"/>
                <w:szCs w:val="21"/>
              </w:rPr>
              <w:t>1</w:t>
            </w:r>
            <w:r>
              <w:rPr>
                <w:spacing w:val="8"/>
                <w:kern w:val="0"/>
                <w:szCs w:val="21"/>
              </w:rPr>
              <w:t>0人，全年工作</w:t>
            </w:r>
            <w:r>
              <w:rPr>
                <w:rFonts w:hint="eastAsia"/>
                <w:spacing w:val="8"/>
                <w:kern w:val="0"/>
                <w:szCs w:val="21"/>
              </w:rPr>
              <w:t>250</w:t>
            </w:r>
            <w:r>
              <w:rPr>
                <w:spacing w:val="8"/>
                <w:kern w:val="0"/>
                <w:szCs w:val="21"/>
              </w:rPr>
              <w:t>天，则生活垃圾产生量为</w:t>
            </w:r>
            <w:r>
              <w:rPr>
                <w:rFonts w:hint="eastAsia"/>
                <w:spacing w:val="8"/>
                <w:kern w:val="0"/>
                <w:szCs w:val="21"/>
              </w:rPr>
              <w:t>1.25</w:t>
            </w:r>
            <w:r>
              <w:rPr>
                <w:spacing w:val="8"/>
                <w:kern w:val="0"/>
                <w:szCs w:val="21"/>
              </w:rPr>
              <w:t>t/a。</w:t>
            </w:r>
          </w:p>
          <w:p w14:paraId="0D29FBDF">
            <w:pPr>
              <w:widowControl/>
              <w:shd w:val="clear" w:color="auto" w:fill="FFFFFF"/>
              <w:spacing w:line="360" w:lineRule="auto"/>
              <w:ind w:firstLine="454" w:firstLineChars="200"/>
              <w:jc w:val="left"/>
              <w:rPr>
                <w:b/>
                <w:bCs/>
                <w:spacing w:val="8"/>
                <w:kern w:val="0"/>
                <w:szCs w:val="21"/>
              </w:rPr>
            </w:pPr>
            <w:r>
              <w:rPr>
                <w:b/>
                <w:bCs/>
                <w:spacing w:val="8"/>
                <w:kern w:val="0"/>
                <w:szCs w:val="21"/>
              </w:rPr>
              <w:t>（2）固体废物</w:t>
            </w:r>
            <w:r>
              <w:rPr>
                <w:rFonts w:hint="eastAsia"/>
                <w:b/>
                <w:bCs/>
                <w:spacing w:val="8"/>
                <w:kern w:val="0"/>
                <w:szCs w:val="21"/>
              </w:rPr>
              <w:t>属性判定</w:t>
            </w:r>
          </w:p>
          <w:p w14:paraId="1EB056DB">
            <w:pPr>
              <w:widowControl/>
              <w:shd w:val="clear" w:color="auto" w:fill="FFFFFF"/>
              <w:spacing w:line="360" w:lineRule="auto"/>
              <w:ind w:firstLine="452" w:firstLineChars="200"/>
              <w:jc w:val="left"/>
              <w:rPr>
                <w:spacing w:val="8"/>
                <w:kern w:val="0"/>
                <w:szCs w:val="21"/>
              </w:rPr>
            </w:pPr>
            <w:r>
              <w:rPr>
                <w:spacing w:val="8"/>
                <w:kern w:val="0"/>
                <w:szCs w:val="21"/>
              </w:rPr>
              <w:t>建设项目固体废物产生情况见下表。</w:t>
            </w:r>
          </w:p>
          <w:p w14:paraId="01C3A61D">
            <w:pPr>
              <w:widowControl/>
              <w:shd w:val="clear" w:color="auto" w:fill="FFFFFF"/>
              <w:jc w:val="center"/>
              <w:rPr>
                <w:b/>
                <w:bCs/>
                <w:spacing w:val="8"/>
                <w:kern w:val="0"/>
                <w:szCs w:val="21"/>
              </w:rPr>
            </w:pPr>
          </w:p>
          <w:p w14:paraId="49D5695C">
            <w:pPr>
              <w:widowControl/>
              <w:shd w:val="clear" w:color="auto" w:fill="FFFFFF"/>
              <w:jc w:val="center"/>
              <w:rPr>
                <w:b/>
                <w:bCs/>
                <w:spacing w:val="8"/>
                <w:kern w:val="0"/>
                <w:szCs w:val="21"/>
              </w:rPr>
            </w:pPr>
          </w:p>
          <w:p w14:paraId="6E00D5EA">
            <w:pPr>
              <w:widowControl/>
              <w:shd w:val="clear" w:color="auto" w:fill="FFFFFF"/>
              <w:jc w:val="center"/>
              <w:rPr>
                <w:b/>
                <w:bCs/>
                <w:spacing w:val="8"/>
                <w:kern w:val="0"/>
                <w:szCs w:val="21"/>
              </w:rPr>
            </w:pPr>
            <w:r>
              <w:rPr>
                <w:b/>
                <w:bCs/>
                <w:spacing w:val="8"/>
                <w:kern w:val="0"/>
                <w:szCs w:val="21"/>
              </w:rPr>
              <w:t>表4-</w:t>
            </w:r>
            <w:r>
              <w:rPr>
                <w:rFonts w:hint="eastAsia"/>
                <w:b/>
                <w:bCs/>
                <w:spacing w:val="8"/>
                <w:kern w:val="0"/>
                <w:szCs w:val="21"/>
              </w:rPr>
              <w:t>2</w:t>
            </w:r>
            <w:r>
              <w:rPr>
                <w:rFonts w:hint="eastAsia"/>
                <w:b/>
                <w:bCs/>
                <w:spacing w:val="8"/>
                <w:kern w:val="0"/>
                <w:szCs w:val="21"/>
                <w:lang w:val="en-US" w:eastAsia="zh-CN"/>
              </w:rPr>
              <w:t>4</w:t>
            </w:r>
            <w:r>
              <w:rPr>
                <w:b/>
                <w:bCs/>
                <w:spacing w:val="8"/>
                <w:kern w:val="0"/>
                <w:szCs w:val="21"/>
              </w:rPr>
              <w:t>建设项目固废物</w:t>
            </w:r>
            <w:r>
              <w:rPr>
                <w:rFonts w:hint="eastAsia"/>
                <w:b/>
                <w:bCs/>
                <w:spacing w:val="8"/>
                <w:kern w:val="0"/>
                <w:szCs w:val="21"/>
              </w:rPr>
              <w:t>属性判定</w:t>
            </w:r>
            <w:r>
              <w:rPr>
                <w:b/>
                <w:bCs/>
                <w:spacing w:val="8"/>
                <w:kern w:val="0"/>
                <w:szCs w:val="21"/>
              </w:rPr>
              <w:t>表</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69"/>
              <w:gridCol w:w="1031"/>
              <w:gridCol w:w="1153"/>
              <w:gridCol w:w="558"/>
              <w:gridCol w:w="1408"/>
              <w:gridCol w:w="889"/>
              <w:gridCol w:w="857"/>
              <w:gridCol w:w="743"/>
              <w:gridCol w:w="1688"/>
            </w:tblGrid>
            <w:tr w14:paraId="05D25E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00" w:hRule="atLeast"/>
                <w:jc w:val="center"/>
              </w:trPr>
              <w:tc>
                <w:tcPr>
                  <w:tcW w:w="267" w:type="pct"/>
                  <w:vMerge w:val="restart"/>
                  <w:vAlign w:val="center"/>
                </w:tcPr>
                <w:p w14:paraId="311B615A">
                  <w:pPr>
                    <w:jc w:val="center"/>
                    <w:rPr>
                      <w:b/>
                      <w:bCs/>
                      <w:sz w:val="18"/>
                      <w:szCs w:val="18"/>
                    </w:rPr>
                  </w:pPr>
                  <w:r>
                    <w:rPr>
                      <w:b/>
                      <w:bCs/>
                      <w:sz w:val="18"/>
                      <w:szCs w:val="18"/>
                    </w:rPr>
                    <w:t>序号</w:t>
                  </w:r>
                </w:p>
              </w:tc>
              <w:tc>
                <w:tcPr>
                  <w:tcW w:w="586" w:type="pct"/>
                  <w:vMerge w:val="restart"/>
                  <w:vAlign w:val="center"/>
                </w:tcPr>
                <w:p w14:paraId="0272908B">
                  <w:pPr>
                    <w:jc w:val="center"/>
                    <w:rPr>
                      <w:b/>
                      <w:bCs/>
                      <w:sz w:val="18"/>
                      <w:szCs w:val="18"/>
                    </w:rPr>
                  </w:pPr>
                  <w:r>
                    <w:rPr>
                      <w:b/>
                      <w:bCs/>
                      <w:sz w:val="18"/>
                      <w:szCs w:val="18"/>
                    </w:rPr>
                    <w:t>名称</w:t>
                  </w:r>
                </w:p>
              </w:tc>
              <w:tc>
                <w:tcPr>
                  <w:tcW w:w="655" w:type="pct"/>
                  <w:vMerge w:val="restart"/>
                  <w:vAlign w:val="center"/>
                </w:tcPr>
                <w:p w14:paraId="001FC59E">
                  <w:pPr>
                    <w:jc w:val="center"/>
                    <w:rPr>
                      <w:b/>
                      <w:bCs/>
                      <w:sz w:val="18"/>
                      <w:szCs w:val="18"/>
                    </w:rPr>
                  </w:pPr>
                  <w:r>
                    <w:rPr>
                      <w:b/>
                      <w:bCs/>
                      <w:sz w:val="18"/>
                      <w:szCs w:val="18"/>
                    </w:rPr>
                    <w:t>产生工序</w:t>
                  </w:r>
                </w:p>
              </w:tc>
              <w:tc>
                <w:tcPr>
                  <w:tcW w:w="317" w:type="pct"/>
                  <w:vMerge w:val="restart"/>
                  <w:vAlign w:val="center"/>
                </w:tcPr>
                <w:p w14:paraId="5DECFCD1">
                  <w:pPr>
                    <w:jc w:val="center"/>
                    <w:rPr>
                      <w:b/>
                      <w:bCs/>
                      <w:sz w:val="18"/>
                      <w:szCs w:val="18"/>
                    </w:rPr>
                  </w:pPr>
                  <w:r>
                    <w:rPr>
                      <w:b/>
                      <w:bCs/>
                      <w:sz w:val="18"/>
                      <w:szCs w:val="18"/>
                    </w:rPr>
                    <w:t>形态</w:t>
                  </w:r>
                </w:p>
              </w:tc>
              <w:tc>
                <w:tcPr>
                  <w:tcW w:w="800" w:type="pct"/>
                  <w:vMerge w:val="restart"/>
                  <w:vAlign w:val="center"/>
                </w:tcPr>
                <w:p w14:paraId="67ABB429">
                  <w:pPr>
                    <w:jc w:val="center"/>
                    <w:rPr>
                      <w:b/>
                      <w:bCs/>
                      <w:sz w:val="18"/>
                      <w:szCs w:val="18"/>
                    </w:rPr>
                  </w:pPr>
                  <w:r>
                    <w:rPr>
                      <w:b/>
                      <w:bCs/>
                      <w:sz w:val="18"/>
                      <w:szCs w:val="18"/>
                    </w:rPr>
                    <w:t>主要成分</w:t>
                  </w:r>
                </w:p>
              </w:tc>
              <w:tc>
                <w:tcPr>
                  <w:tcW w:w="505" w:type="pct"/>
                  <w:vMerge w:val="restart"/>
                  <w:vAlign w:val="center"/>
                </w:tcPr>
                <w:p w14:paraId="412B7B76">
                  <w:pPr>
                    <w:jc w:val="center"/>
                    <w:rPr>
                      <w:b/>
                      <w:bCs/>
                      <w:sz w:val="18"/>
                      <w:szCs w:val="18"/>
                    </w:rPr>
                  </w:pPr>
                  <w:r>
                    <w:rPr>
                      <w:b/>
                      <w:bCs/>
                      <w:sz w:val="18"/>
                      <w:szCs w:val="18"/>
                    </w:rPr>
                    <w:t>预测产生量（t/a）</w:t>
                  </w:r>
                </w:p>
              </w:tc>
              <w:tc>
                <w:tcPr>
                  <w:tcW w:w="1868" w:type="pct"/>
                  <w:gridSpan w:val="3"/>
                  <w:vAlign w:val="center"/>
                </w:tcPr>
                <w:p w14:paraId="3C2C2D4B">
                  <w:pPr>
                    <w:jc w:val="center"/>
                    <w:rPr>
                      <w:b/>
                      <w:bCs/>
                      <w:sz w:val="18"/>
                      <w:szCs w:val="18"/>
                    </w:rPr>
                  </w:pPr>
                  <w:r>
                    <w:rPr>
                      <w:b/>
                      <w:bCs/>
                      <w:sz w:val="18"/>
                      <w:szCs w:val="18"/>
                    </w:rPr>
                    <w:t>种类判断</w:t>
                  </w:r>
                </w:p>
              </w:tc>
            </w:tr>
            <w:tr w14:paraId="6F21C5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67" w:type="pct"/>
                  <w:vMerge w:val="continue"/>
                  <w:vAlign w:val="center"/>
                </w:tcPr>
                <w:p w14:paraId="727C6C2F">
                  <w:pPr>
                    <w:jc w:val="center"/>
                    <w:rPr>
                      <w:b/>
                      <w:bCs/>
                      <w:sz w:val="18"/>
                      <w:szCs w:val="18"/>
                    </w:rPr>
                  </w:pPr>
                </w:p>
              </w:tc>
              <w:tc>
                <w:tcPr>
                  <w:tcW w:w="586" w:type="pct"/>
                  <w:vMerge w:val="continue"/>
                  <w:vAlign w:val="center"/>
                </w:tcPr>
                <w:p w14:paraId="2A4F2DF4">
                  <w:pPr>
                    <w:jc w:val="center"/>
                    <w:rPr>
                      <w:b/>
                      <w:bCs/>
                      <w:sz w:val="18"/>
                      <w:szCs w:val="18"/>
                    </w:rPr>
                  </w:pPr>
                </w:p>
              </w:tc>
              <w:tc>
                <w:tcPr>
                  <w:tcW w:w="655" w:type="pct"/>
                  <w:vMerge w:val="continue"/>
                  <w:vAlign w:val="center"/>
                </w:tcPr>
                <w:p w14:paraId="3AA2AC41">
                  <w:pPr>
                    <w:jc w:val="center"/>
                    <w:rPr>
                      <w:b/>
                      <w:bCs/>
                      <w:sz w:val="18"/>
                      <w:szCs w:val="18"/>
                    </w:rPr>
                  </w:pPr>
                </w:p>
              </w:tc>
              <w:tc>
                <w:tcPr>
                  <w:tcW w:w="317" w:type="pct"/>
                  <w:vMerge w:val="continue"/>
                  <w:vAlign w:val="center"/>
                </w:tcPr>
                <w:p w14:paraId="0DB6FF73">
                  <w:pPr>
                    <w:jc w:val="center"/>
                    <w:rPr>
                      <w:b/>
                      <w:bCs/>
                      <w:sz w:val="18"/>
                      <w:szCs w:val="18"/>
                    </w:rPr>
                  </w:pPr>
                </w:p>
              </w:tc>
              <w:tc>
                <w:tcPr>
                  <w:tcW w:w="800" w:type="pct"/>
                  <w:vMerge w:val="continue"/>
                  <w:vAlign w:val="center"/>
                </w:tcPr>
                <w:p w14:paraId="40729D58">
                  <w:pPr>
                    <w:jc w:val="center"/>
                    <w:rPr>
                      <w:b/>
                      <w:bCs/>
                      <w:sz w:val="18"/>
                      <w:szCs w:val="18"/>
                    </w:rPr>
                  </w:pPr>
                </w:p>
              </w:tc>
              <w:tc>
                <w:tcPr>
                  <w:tcW w:w="505" w:type="pct"/>
                  <w:vMerge w:val="continue"/>
                  <w:vAlign w:val="center"/>
                </w:tcPr>
                <w:p w14:paraId="080B0626">
                  <w:pPr>
                    <w:jc w:val="center"/>
                    <w:rPr>
                      <w:b/>
                      <w:bCs/>
                      <w:sz w:val="18"/>
                      <w:szCs w:val="18"/>
                    </w:rPr>
                  </w:pPr>
                </w:p>
              </w:tc>
              <w:tc>
                <w:tcPr>
                  <w:tcW w:w="487" w:type="pct"/>
                  <w:vAlign w:val="center"/>
                </w:tcPr>
                <w:p w14:paraId="29F796BB">
                  <w:pPr>
                    <w:jc w:val="center"/>
                    <w:rPr>
                      <w:b/>
                      <w:bCs/>
                      <w:sz w:val="18"/>
                      <w:szCs w:val="18"/>
                    </w:rPr>
                  </w:pPr>
                  <w:r>
                    <w:rPr>
                      <w:b/>
                      <w:bCs/>
                      <w:sz w:val="18"/>
                      <w:szCs w:val="18"/>
                    </w:rPr>
                    <w:t>固体废物</w:t>
                  </w:r>
                </w:p>
              </w:tc>
              <w:tc>
                <w:tcPr>
                  <w:tcW w:w="422" w:type="pct"/>
                  <w:vAlign w:val="center"/>
                </w:tcPr>
                <w:p w14:paraId="1A5E3CE2">
                  <w:pPr>
                    <w:jc w:val="center"/>
                    <w:rPr>
                      <w:b/>
                      <w:bCs/>
                      <w:sz w:val="18"/>
                      <w:szCs w:val="18"/>
                    </w:rPr>
                  </w:pPr>
                  <w:r>
                    <w:rPr>
                      <w:b/>
                      <w:bCs/>
                      <w:sz w:val="18"/>
                      <w:szCs w:val="18"/>
                    </w:rPr>
                    <w:t>副产品</w:t>
                  </w:r>
                </w:p>
              </w:tc>
              <w:tc>
                <w:tcPr>
                  <w:tcW w:w="958" w:type="pct"/>
                  <w:vAlign w:val="center"/>
                </w:tcPr>
                <w:p w14:paraId="2C525F61">
                  <w:pPr>
                    <w:jc w:val="center"/>
                    <w:rPr>
                      <w:b/>
                      <w:bCs/>
                      <w:sz w:val="18"/>
                      <w:szCs w:val="18"/>
                    </w:rPr>
                  </w:pPr>
                  <w:r>
                    <w:rPr>
                      <w:b/>
                      <w:bCs/>
                      <w:sz w:val="18"/>
                      <w:szCs w:val="18"/>
                    </w:rPr>
                    <w:t>判定依据</w:t>
                  </w:r>
                </w:p>
              </w:tc>
            </w:tr>
            <w:tr w14:paraId="43104B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67" w:type="pct"/>
                  <w:vAlign w:val="center"/>
                </w:tcPr>
                <w:p w14:paraId="7D9C3773">
                  <w:pPr>
                    <w:widowControl/>
                    <w:jc w:val="center"/>
                    <w:rPr>
                      <w:sz w:val="18"/>
                      <w:szCs w:val="18"/>
                    </w:rPr>
                  </w:pPr>
                  <w:r>
                    <w:rPr>
                      <w:sz w:val="18"/>
                      <w:szCs w:val="18"/>
                    </w:rPr>
                    <w:t>1</w:t>
                  </w:r>
                </w:p>
              </w:tc>
              <w:tc>
                <w:tcPr>
                  <w:tcW w:w="586" w:type="pct"/>
                  <w:vAlign w:val="center"/>
                </w:tcPr>
                <w:p w14:paraId="6D08346E">
                  <w:pPr>
                    <w:jc w:val="center"/>
                    <w:rPr>
                      <w:sz w:val="18"/>
                      <w:szCs w:val="18"/>
                    </w:rPr>
                  </w:pPr>
                  <w:r>
                    <w:rPr>
                      <w:sz w:val="18"/>
                      <w:szCs w:val="18"/>
                    </w:rPr>
                    <w:t>废试剂包装</w:t>
                  </w:r>
                </w:p>
              </w:tc>
              <w:tc>
                <w:tcPr>
                  <w:tcW w:w="655" w:type="pct"/>
                  <w:vAlign w:val="center"/>
                </w:tcPr>
                <w:p w14:paraId="6ED05153">
                  <w:pPr>
                    <w:jc w:val="center"/>
                    <w:rPr>
                      <w:sz w:val="18"/>
                      <w:szCs w:val="18"/>
                    </w:rPr>
                  </w:pPr>
                  <w:r>
                    <w:rPr>
                      <w:rFonts w:hint="eastAsia"/>
                      <w:sz w:val="18"/>
                      <w:szCs w:val="18"/>
                    </w:rPr>
                    <w:t>均质</w:t>
                  </w:r>
                </w:p>
              </w:tc>
              <w:tc>
                <w:tcPr>
                  <w:tcW w:w="317" w:type="pct"/>
                  <w:vAlign w:val="center"/>
                </w:tcPr>
                <w:p w14:paraId="48CCD69C">
                  <w:pPr>
                    <w:jc w:val="center"/>
                    <w:rPr>
                      <w:sz w:val="18"/>
                      <w:szCs w:val="18"/>
                    </w:rPr>
                  </w:pPr>
                  <w:r>
                    <w:rPr>
                      <w:sz w:val="18"/>
                      <w:szCs w:val="18"/>
                    </w:rPr>
                    <w:t>固态</w:t>
                  </w:r>
                </w:p>
              </w:tc>
              <w:tc>
                <w:tcPr>
                  <w:tcW w:w="800" w:type="pct"/>
                  <w:vAlign w:val="center"/>
                </w:tcPr>
                <w:p w14:paraId="75520971">
                  <w:pPr>
                    <w:jc w:val="center"/>
                    <w:rPr>
                      <w:sz w:val="18"/>
                      <w:szCs w:val="18"/>
                    </w:rPr>
                  </w:pPr>
                  <w:r>
                    <w:rPr>
                      <w:sz w:val="18"/>
                      <w:szCs w:val="18"/>
                    </w:rPr>
                    <w:t>塑料、</w:t>
                  </w:r>
                  <w:r>
                    <w:rPr>
                      <w:rFonts w:hint="eastAsia"/>
                      <w:sz w:val="18"/>
                      <w:szCs w:val="18"/>
                    </w:rPr>
                    <w:t>玻璃</w:t>
                  </w:r>
                  <w:r>
                    <w:rPr>
                      <w:sz w:val="18"/>
                      <w:szCs w:val="18"/>
                    </w:rPr>
                    <w:t>等</w:t>
                  </w:r>
                </w:p>
              </w:tc>
              <w:tc>
                <w:tcPr>
                  <w:tcW w:w="505" w:type="pct"/>
                  <w:vAlign w:val="center"/>
                </w:tcPr>
                <w:p w14:paraId="67412E08">
                  <w:pPr>
                    <w:jc w:val="center"/>
                    <w:rPr>
                      <w:sz w:val="18"/>
                      <w:szCs w:val="18"/>
                    </w:rPr>
                  </w:pPr>
                  <w:r>
                    <w:rPr>
                      <w:rFonts w:hint="eastAsia"/>
                      <w:sz w:val="18"/>
                      <w:szCs w:val="18"/>
                    </w:rPr>
                    <w:t>0.9</w:t>
                  </w:r>
                </w:p>
              </w:tc>
              <w:tc>
                <w:tcPr>
                  <w:tcW w:w="487" w:type="pct"/>
                  <w:vAlign w:val="center"/>
                </w:tcPr>
                <w:p w14:paraId="4A8FDE05">
                  <w:pPr>
                    <w:jc w:val="center"/>
                    <w:rPr>
                      <w:sz w:val="18"/>
                      <w:szCs w:val="18"/>
                    </w:rPr>
                  </w:pPr>
                  <w:r>
                    <w:rPr>
                      <w:sz w:val="18"/>
                      <w:szCs w:val="18"/>
                    </w:rPr>
                    <w:t>√</w:t>
                  </w:r>
                </w:p>
              </w:tc>
              <w:tc>
                <w:tcPr>
                  <w:tcW w:w="422" w:type="pct"/>
                  <w:vAlign w:val="center"/>
                </w:tcPr>
                <w:p w14:paraId="0C453BFD">
                  <w:pPr>
                    <w:jc w:val="center"/>
                    <w:rPr>
                      <w:sz w:val="18"/>
                      <w:szCs w:val="18"/>
                    </w:rPr>
                  </w:pPr>
                  <w:r>
                    <w:rPr>
                      <w:sz w:val="18"/>
                      <w:szCs w:val="18"/>
                    </w:rPr>
                    <w:t>/</w:t>
                  </w:r>
                </w:p>
              </w:tc>
              <w:tc>
                <w:tcPr>
                  <w:tcW w:w="958" w:type="pct"/>
                  <w:vMerge w:val="restart"/>
                  <w:vAlign w:val="center"/>
                </w:tcPr>
                <w:p w14:paraId="571B080A">
                  <w:pPr>
                    <w:jc w:val="center"/>
                    <w:rPr>
                      <w:sz w:val="18"/>
                      <w:szCs w:val="18"/>
                    </w:rPr>
                  </w:pPr>
                  <w:r>
                    <w:rPr>
                      <w:sz w:val="18"/>
                      <w:szCs w:val="18"/>
                    </w:rPr>
                    <w:t>《固体废物鉴别标准</w:t>
                  </w:r>
                  <w:r>
                    <w:rPr>
                      <w:rFonts w:hint="eastAsia"/>
                      <w:sz w:val="18"/>
                      <w:szCs w:val="18"/>
                    </w:rPr>
                    <w:t xml:space="preserve"> </w:t>
                  </w:r>
                  <w:r>
                    <w:rPr>
                      <w:sz w:val="18"/>
                      <w:szCs w:val="18"/>
                    </w:rPr>
                    <w:t xml:space="preserve"> 通则》（GB34330-2017）</w:t>
                  </w:r>
                </w:p>
              </w:tc>
            </w:tr>
            <w:tr w14:paraId="6C2BDA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67" w:type="pct"/>
                  <w:vAlign w:val="center"/>
                </w:tcPr>
                <w:p w14:paraId="631F5FF2">
                  <w:pPr>
                    <w:jc w:val="center"/>
                    <w:rPr>
                      <w:sz w:val="18"/>
                      <w:szCs w:val="18"/>
                    </w:rPr>
                  </w:pPr>
                </w:p>
                <w:p w14:paraId="73009A95">
                  <w:pPr>
                    <w:jc w:val="center"/>
                    <w:rPr>
                      <w:sz w:val="18"/>
                      <w:szCs w:val="18"/>
                    </w:rPr>
                  </w:pPr>
                  <w:r>
                    <w:rPr>
                      <w:rFonts w:hint="eastAsia"/>
                      <w:sz w:val="18"/>
                      <w:szCs w:val="18"/>
                    </w:rPr>
                    <w:t>2</w:t>
                  </w:r>
                </w:p>
              </w:tc>
              <w:tc>
                <w:tcPr>
                  <w:tcW w:w="586" w:type="pct"/>
                  <w:vAlign w:val="center"/>
                </w:tcPr>
                <w:p w14:paraId="45B0A5C6">
                  <w:pPr>
                    <w:jc w:val="center"/>
                    <w:rPr>
                      <w:sz w:val="18"/>
                      <w:szCs w:val="18"/>
                    </w:rPr>
                  </w:pPr>
                  <w:r>
                    <w:rPr>
                      <w:rFonts w:hint="eastAsia"/>
                      <w:sz w:val="18"/>
                      <w:szCs w:val="18"/>
                    </w:rPr>
                    <w:t>实验废液</w:t>
                  </w:r>
                </w:p>
              </w:tc>
              <w:tc>
                <w:tcPr>
                  <w:tcW w:w="655" w:type="pct"/>
                  <w:vAlign w:val="center"/>
                </w:tcPr>
                <w:p w14:paraId="24D4751F">
                  <w:pPr>
                    <w:jc w:val="center"/>
                    <w:rPr>
                      <w:sz w:val="18"/>
                      <w:szCs w:val="18"/>
                    </w:rPr>
                  </w:pPr>
                  <w:r>
                    <w:rPr>
                      <w:rFonts w:hint="eastAsia"/>
                      <w:sz w:val="18"/>
                      <w:szCs w:val="18"/>
                    </w:rPr>
                    <w:t>均质、均匀性初检、稳定性评估</w:t>
                  </w:r>
                </w:p>
              </w:tc>
              <w:tc>
                <w:tcPr>
                  <w:tcW w:w="317" w:type="pct"/>
                  <w:vAlign w:val="center"/>
                </w:tcPr>
                <w:p w14:paraId="059DF816">
                  <w:pPr>
                    <w:jc w:val="center"/>
                    <w:rPr>
                      <w:sz w:val="18"/>
                      <w:szCs w:val="18"/>
                    </w:rPr>
                  </w:pPr>
                  <w:r>
                    <w:rPr>
                      <w:rFonts w:hint="eastAsia"/>
                      <w:sz w:val="18"/>
                      <w:szCs w:val="18"/>
                    </w:rPr>
                    <w:t>液态</w:t>
                  </w:r>
                </w:p>
              </w:tc>
              <w:tc>
                <w:tcPr>
                  <w:tcW w:w="800" w:type="pct"/>
                  <w:vAlign w:val="center"/>
                </w:tcPr>
                <w:p w14:paraId="184324F5">
                  <w:pPr>
                    <w:jc w:val="center"/>
                    <w:rPr>
                      <w:sz w:val="18"/>
                      <w:szCs w:val="18"/>
                    </w:rPr>
                  </w:pPr>
                  <w:r>
                    <w:rPr>
                      <w:rFonts w:hint="eastAsia"/>
                      <w:sz w:val="18"/>
                      <w:szCs w:val="18"/>
                    </w:rPr>
                    <w:t>有机溶剂等</w:t>
                  </w:r>
                </w:p>
              </w:tc>
              <w:tc>
                <w:tcPr>
                  <w:tcW w:w="505" w:type="pct"/>
                  <w:vAlign w:val="center"/>
                </w:tcPr>
                <w:p w14:paraId="62ED90FC">
                  <w:pPr>
                    <w:jc w:val="center"/>
                    <w:rPr>
                      <w:rFonts w:hint="eastAsia" w:eastAsia="宋体"/>
                      <w:sz w:val="18"/>
                      <w:szCs w:val="18"/>
                      <w:lang w:eastAsia="zh-CN"/>
                    </w:rPr>
                  </w:pPr>
                  <w:r>
                    <w:rPr>
                      <w:rFonts w:hint="eastAsia"/>
                      <w:sz w:val="18"/>
                      <w:szCs w:val="18"/>
                      <w:lang w:eastAsia="zh-CN"/>
                    </w:rPr>
                    <w:t>0.53</w:t>
                  </w:r>
                </w:p>
              </w:tc>
              <w:tc>
                <w:tcPr>
                  <w:tcW w:w="487" w:type="pct"/>
                  <w:vAlign w:val="center"/>
                </w:tcPr>
                <w:p w14:paraId="4EE00669">
                  <w:pPr>
                    <w:jc w:val="center"/>
                    <w:rPr>
                      <w:sz w:val="18"/>
                      <w:szCs w:val="18"/>
                    </w:rPr>
                  </w:pPr>
                  <w:r>
                    <w:rPr>
                      <w:sz w:val="18"/>
                      <w:szCs w:val="18"/>
                    </w:rPr>
                    <w:t>√</w:t>
                  </w:r>
                </w:p>
              </w:tc>
              <w:tc>
                <w:tcPr>
                  <w:tcW w:w="422" w:type="pct"/>
                  <w:vAlign w:val="center"/>
                </w:tcPr>
                <w:p w14:paraId="0362D572">
                  <w:pPr>
                    <w:jc w:val="center"/>
                    <w:rPr>
                      <w:sz w:val="18"/>
                      <w:szCs w:val="18"/>
                    </w:rPr>
                  </w:pPr>
                  <w:r>
                    <w:rPr>
                      <w:sz w:val="18"/>
                      <w:szCs w:val="18"/>
                    </w:rPr>
                    <w:t>/</w:t>
                  </w:r>
                </w:p>
              </w:tc>
              <w:tc>
                <w:tcPr>
                  <w:tcW w:w="958" w:type="pct"/>
                  <w:vMerge w:val="continue"/>
                  <w:vAlign w:val="center"/>
                </w:tcPr>
                <w:p w14:paraId="01A32E17">
                  <w:pPr>
                    <w:jc w:val="center"/>
                    <w:rPr>
                      <w:sz w:val="18"/>
                      <w:szCs w:val="18"/>
                    </w:rPr>
                  </w:pPr>
                </w:p>
              </w:tc>
            </w:tr>
            <w:tr w14:paraId="56B0A2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67" w:type="pct"/>
                  <w:vAlign w:val="center"/>
                </w:tcPr>
                <w:p w14:paraId="2D131C25">
                  <w:pPr>
                    <w:jc w:val="center"/>
                    <w:rPr>
                      <w:sz w:val="18"/>
                      <w:szCs w:val="18"/>
                    </w:rPr>
                  </w:pPr>
                  <w:r>
                    <w:rPr>
                      <w:sz w:val="18"/>
                      <w:szCs w:val="18"/>
                    </w:rPr>
                    <w:t>3</w:t>
                  </w:r>
                </w:p>
              </w:tc>
              <w:tc>
                <w:tcPr>
                  <w:tcW w:w="586" w:type="pct"/>
                  <w:vAlign w:val="center"/>
                </w:tcPr>
                <w:p w14:paraId="4D0C46AB">
                  <w:pPr>
                    <w:jc w:val="center"/>
                    <w:rPr>
                      <w:sz w:val="18"/>
                      <w:szCs w:val="18"/>
                    </w:rPr>
                  </w:pPr>
                  <w:r>
                    <w:rPr>
                      <w:rFonts w:hint="eastAsia"/>
                      <w:sz w:val="18"/>
                      <w:szCs w:val="18"/>
                      <w:lang w:val="en-US" w:eastAsia="zh-CN"/>
                    </w:rPr>
                    <w:t>初道</w:t>
                  </w:r>
                  <w:r>
                    <w:rPr>
                      <w:rFonts w:hint="eastAsia"/>
                      <w:sz w:val="18"/>
                      <w:szCs w:val="18"/>
                    </w:rPr>
                    <w:t>清洗废水</w:t>
                  </w:r>
                </w:p>
              </w:tc>
              <w:tc>
                <w:tcPr>
                  <w:tcW w:w="655" w:type="pct"/>
                  <w:vAlign w:val="center"/>
                </w:tcPr>
                <w:p w14:paraId="199C6C3A">
                  <w:pPr>
                    <w:jc w:val="center"/>
                    <w:rPr>
                      <w:sz w:val="18"/>
                      <w:szCs w:val="18"/>
                    </w:rPr>
                  </w:pPr>
                  <w:r>
                    <w:rPr>
                      <w:rFonts w:hint="eastAsia"/>
                      <w:sz w:val="18"/>
                      <w:szCs w:val="18"/>
                    </w:rPr>
                    <w:t>玻璃器皿清洗</w:t>
                  </w:r>
                </w:p>
              </w:tc>
              <w:tc>
                <w:tcPr>
                  <w:tcW w:w="317" w:type="pct"/>
                  <w:vAlign w:val="center"/>
                </w:tcPr>
                <w:p w14:paraId="5640C36E">
                  <w:pPr>
                    <w:jc w:val="center"/>
                    <w:rPr>
                      <w:sz w:val="18"/>
                      <w:szCs w:val="18"/>
                    </w:rPr>
                  </w:pPr>
                  <w:r>
                    <w:rPr>
                      <w:rFonts w:hint="eastAsia"/>
                      <w:sz w:val="18"/>
                      <w:szCs w:val="18"/>
                    </w:rPr>
                    <w:t>液态</w:t>
                  </w:r>
                </w:p>
              </w:tc>
              <w:tc>
                <w:tcPr>
                  <w:tcW w:w="800" w:type="pct"/>
                  <w:vAlign w:val="center"/>
                </w:tcPr>
                <w:p w14:paraId="18FBDCF6">
                  <w:pPr>
                    <w:jc w:val="center"/>
                    <w:rPr>
                      <w:sz w:val="18"/>
                      <w:szCs w:val="18"/>
                    </w:rPr>
                  </w:pPr>
                  <w:r>
                    <w:rPr>
                      <w:rFonts w:hint="eastAsia"/>
                      <w:sz w:val="18"/>
                      <w:szCs w:val="18"/>
                    </w:rPr>
                    <w:t>有机溶剂等</w:t>
                  </w:r>
                </w:p>
              </w:tc>
              <w:tc>
                <w:tcPr>
                  <w:tcW w:w="505" w:type="pct"/>
                  <w:vAlign w:val="center"/>
                </w:tcPr>
                <w:p w14:paraId="72CB084A">
                  <w:pPr>
                    <w:jc w:val="center"/>
                    <w:rPr>
                      <w:rFonts w:hint="eastAsia" w:eastAsia="宋体"/>
                      <w:sz w:val="18"/>
                      <w:szCs w:val="18"/>
                      <w:lang w:eastAsia="zh-CN"/>
                    </w:rPr>
                  </w:pPr>
                  <w:r>
                    <w:rPr>
                      <w:rFonts w:hint="eastAsia"/>
                      <w:sz w:val="18"/>
                      <w:szCs w:val="18"/>
                      <w:lang w:val="en-US" w:eastAsia="zh-CN"/>
                    </w:rPr>
                    <w:t>2</w:t>
                  </w:r>
                </w:p>
              </w:tc>
              <w:tc>
                <w:tcPr>
                  <w:tcW w:w="487" w:type="pct"/>
                  <w:vAlign w:val="center"/>
                </w:tcPr>
                <w:p w14:paraId="600AA288">
                  <w:pPr>
                    <w:jc w:val="center"/>
                    <w:rPr>
                      <w:sz w:val="18"/>
                      <w:szCs w:val="18"/>
                    </w:rPr>
                  </w:pPr>
                  <w:r>
                    <w:rPr>
                      <w:sz w:val="18"/>
                      <w:szCs w:val="18"/>
                    </w:rPr>
                    <w:t>√</w:t>
                  </w:r>
                </w:p>
              </w:tc>
              <w:tc>
                <w:tcPr>
                  <w:tcW w:w="422" w:type="pct"/>
                  <w:vAlign w:val="center"/>
                </w:tcPr>
                <w:p w14:paraId="6A86D9A8">
                  <w:pPr>
                    <w:jc w:val="center"/>
                    <w:rPr>
                      <w:sz w:val="18"/>
                      <w:szCs w:val="18"/>
                    </w:rPr>
                  </w:pPr>
                  <w:r>
                    <w:rPr>
                      <w:sz w:val="18"/>
                      <w:szCs w:val="18"/>
                    </w:rPr>
                    <w:t>/</w:t>
                  </w:r>
                </w:p>
              </w:tc>
              <w:tc>
                <w:tcPr>
                  <w:tcW w:w="958" w:type="pct"/>
                  <w:vMerge w:val="continue"/>
                  <w:vAlign w:val="center"/>
                </w:tcPr>
                <w:p w14:paraId="6780F42D">
                  <w:pPr>
                    <w:jc w:val="center"/>
                    <w:rPr>
                      <w:sz w:val="18"/>
                      <w:szCs w:val="18"/>
                    </w:rPr>
                  </w:pPr>
                </w:p>
              </w:tc>
            </w:tr>
            <w:tr w14:paraId="2ECF59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67" w:type="pct"/>
                  <w:vAlign w:val="center"/>
                </w:tcPr>
                <w:p w14:paraId="6960EEC4">
                  <w:pPr>
                    <w:jc w:val="center"/>
                    <w:rPr>
                      <w:sz w:val="18"/>
                      <w:szCs w:val="18"/>
                    </w:rPr>
                  </w:pPr>
                  <w:r>
                    <w:rPr>
                      <w:sz w:val="18"/>
                      <w:szCs w:val="18"/>
                    </w:rPr>
                    <w:t>4</w:t>
                  </w:r>
                </w:p>
              </w:tc>
              <w:tc>
                <w:tcPr>
                  <w:tcW w:w="586" w:type="pct"/>
                  <w:vAlign w:val="center"/>
                </w:tcPr>
                <w:p w14:paraId="46B4C406">
                  <w:pPr>
                    <w:jc w:val="center"/>
                    <w:rPr>
                      <w:sz w:val="18"/>
                      <w:szCs w:val="18"/>
                    </w:rPr>
                  </w:pPr>
                  <w:r>
                    <w:rPr>
                      <w:rFonts w:hint="eastAsia"/>
                      <w:sz w:val="18"/>
                      <w:szCs w:val="18"/>
                    </w:rPr>
                    <w:t>废活性炭</w:t>
                  </w:r>
                </w:p>
              </w:tc>
              <w:tc>
                <w:tcPr>
                  <w:tcW w:w="655" w:type="pct"/>
                  <w:vAlign w:val="center"/>
                </w:tcPr>
                <w:p w14:paraId="1FD0E675">
                  <w:pPr>
                    <w:jc w:val="center"/>
                    <w:rPr>
                      <w:sz w:val="18"/>
                      <w:szCs w:val="18"/>
                    </w:rPr>
                  </w:pPr>
                  <w:r>
                    <w:rPr>
                      <w:rFonts w:hint="eastAsia"/>
                      <w:sz w:val="18"/>
                      <w:szCs w:val="18"/>
                    </w:rPr>
                    <w:t>废气处理</w:t>
                  </w:r>
                </w:p>
              </w:tc>
              <w:tc>
                <w:tcPr>
                  <w:tcW w:w="317" w:type="pct"/>
                  <w:vAlign w:val="center"/>
                </w:tcPr>
                <w:p w14:paraId="2C25ECE6">
                  <w:pPr>
                    <w:jc w:val="center"/>
                    <w:rPr>
                      <w:sz w:val="18"/>
                      <w:szCs w:val="18"/>
                    </w:rPr>
                  </w:pPr>
                  <w:r>
                    <w:rPr>
                      <w:rFonts w:hint="eastAsia"/>
                      <w:sz w:val="18"/>
                      <w:szCs w:val="18"/>
                    </w:rPr>
                    <w:t>固态</w:t>
                  </w:r>
                </w:p>
              </w:tc>
              <w:tc>
                <w:tcPr>
                  <w:tcW w:w="800" w:type="pct"/>
                  <w:vAlign w:val="center"/>
                </w:tcPr>
                <w:p w14:paraId="45FDF797">
                  <w:pPr>
                    <w:jc w:val="center"/>
                    <w:rPr>
                      <w:sz w:val="18"/>
                      <w:szCs w:val="18"/>
                    </w:rPr>
                  </w:pPr>
                  <w:r>
                    <w:rPr>
                      <w:rFonts w:hint="eastAsia"/>
                      <w:sz w:val="18"/>
                      <w:szCs w:val="18"/>
                    </w:rPr>
                    <w:t>有机物等</w:t>
                  </w:r>
                </w:p>
              </w:tc>
              <w:tc>
                <w:tcPr>
                  <w:tcW w:w="505" w:type="pct"/>
                  <w:vAlign w:val="center"/>
                </w:tcPr>
                <w:p w14:paraId="3B1032FF">
                  <w:pPr>
                    <w:jc w:val="center"/>
                    <w:rPr>
                      <w:rFonts w:hint="eastAsia" w:eastAsia="宋体"/>
                      <w:sz w:val="18"/>
                      <w:szCs w:val="18"/>
                      <w:lang w:eastAsia="zh-CN"/>
                    </w:rPr>
                  </w:pPr>
                  <w:r>
                    <w:rPr>
                      <w:rFonts w:hint="eastAsia"/>
                      <w:sz w:val="18"/>
                      <w:szCs w:val="18"/>
                      <w:lang w:eastAsia="zh-CN"/>
                    </w:rPr>
                    <w:t>4.4435</w:t>
                  </w:r>
                </w:p>
              </w:tc>
              <w:tc>
                <w:tcPr>
                  <w:tcW w:w="487" w:type="pct"/>
                  <w:vAlign w:val="center"/>
                </w:tcPr>
                <w:p w14:paraId="778143FD">
                  <w:pPr>
                    <w:jc w:val="center"/>
                    <w:rPr>
                      <w:sz w:val="18"/>
                      <w:szCs w:val="18"/>
                    </w:rPr>
                  </w:pPr>
                  <w:r>
                    <w:rPr>
                      <w:sz w:val="18"/>
                      <w:szCs w:val="18"/>
                    </w:rPr>
                    <w:t>√</w:t>
                  </w:r>
                </w:p>
              </w:tc>
              <w:tc>
                <w:tcPr>
                  <w:tcW w:w="422" w:type="pct"/>
                  <w:vAlign w:val="center"/>
                </w:tcPr>
                <w:p w14:paraId="351A3B92">
                  <w:pPr>
                    <w:jc w:val="center"/>
                    <w:rPr>
                      <w:sz w:val="18"/>
                      <w:szCs w:val="18"/>
                    </w:rPr>
                  </w:pPr>
                  <w:r>
                    <w:rPr>
                      <w:sz w:val="18"/>
                      <w:szCs w:val="18"/>
                    </w:rPr>
                    <w:t>/</w:t>
                  </w:r>
                </w:p>
              </w:tc>
              <w:tc>
                <w:tcPr>
                  <w:tcW w:w="958" w:type="pct"/>
                  <w:vMerge w:val="continue"/>
                  <w:vAlign w:val="center"/>
                </w:tcPr>
                <w:p w14:paraId="4A6C10DA">
                  <w:pPr>
                    <w:jc w:val="center"/>
                    <w:rPr>
                      <w:sz w:val="18"/>
                      <w:szCs w:val="18"/>
                    </w:rPr>
                  </w:pPr>
                </w:p>
              </w:tc>
            </w:tr>
            <w:tr w14:paraId="7A66CC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67" w:type="pct"/>
                  <w:vAlign w:val="center"/>
                </w:tcPr>
                <w:p w14:paraId="2F294719">
                  <w:pPr>
                    <w:jc w:val="center"/>
                    <w:rPr>
                      <w:sz w:val="18"/>
                      <w:szCs w:val="18"/>
                    </w:rPr>
                  </w:pPr>
                  <w:r>
                    <w:rPr>
                      <w:rFonts w:hint="eastAsia"/>
                      <w:sz w:val="18"/>
                      <w:szCs w:val="18"/>
                    </w:rPr>
                    <w:t>5</w:t>
                  </w:r>
                </w:p>
              </w:tc>
              <w:tc>
                <w:tcPr>
                  <w:tcW w:w="586" w:type="pct"/>
                  <w:vAlign w:val="center"/>
                </w:tcPr>
                <w:p w14:paraId="5D994CFE">
                  <w:pPr>
                    <w:jc w:val="center"/>
                    <w:rPr>
                      <w:sz w:val="18"/>
                      <w:szCs w:val="18"/>
                    </w:rPr>
                  </w:pPr>
                  <w:r>
                    <w:rPr>
                      <w:rFonts w:hint="eastAsia"/>
                      <w:sz w:val="18"/>
                      <w:szCs w:val="18"/>
                    </w:rPr>
                    <w:t>喷淋废液</w:t>
                  </w:r>
                </w:p>
              </w:tc>
              <w:tc>
                <w:tcPr>
                  <w:tcW w:w="655" w:type="pct"/>
                  <w:vAlign w:val="center"/>
                </w:tcPr>
                <w:p w14:paraId="5D2B8DFA">
                  <w:pPr>
                    <w:jc w:val="center"/>
                    <w:rPr>
                      <w:sz w:val="18"/>
                      <w:szCs w:val="18"/>
                    </w:rPr>
                  </w:pPr>
                  <w:r>
                    <w:rPr>
                      <w:rFonts w:hint="eastAsia"/>
                      <w:sz w:val="18"/>
                      <w:szCs w:val="18"/>
                    </w:rPr>
                    <w:t>废气处理</w:t>
                  </w:r>
                </w:p>
              </w:tc>
              <w:tc>
                <w:tcPr>
                  <w:tcW w:w="317" w:type="pct"/>
                  <w:vAlign w:val="center"/>
                </w:tcPr>
                <w:p w14:paraId="6AF2AAA0">
                  <w:pPr>
                    <w:jc w:val="center"/>
                    <w:rPr>
                      <w:sz w:val="18"/>
                      <w:szCs w:val="18"/>
                    </w:rPr>
                  </w:pPr>
                  <w:r>
                    <w:rPr>
                      <w:rFonts w:hint="eastAsia"/>
                      <w:sz w:val="18"/>
                      <w:szCs w:val="18"/>
                    </w:rPr>
                    <w:t>液态</w:t>
                  </w:r>
                </w:p>
              </w:tc>
              <w:tc>
                <w:tcPr>
                  <w:tcW w:w="800" w:type="pct"/>
                  <w:vAlign w:val="center"/>
                </w:tcPr>
                <w:p w14:paraId="7A88B129">
                  <w:pPr>
                    <w:jc w:val="center"/>
                    <w:rPr>
                      <w:sz w:val="18"/>
                      <w:szCs w:val="18"/>
                    </w:rPr>
                  </w:pPr>
                  <w:r>
                    <w:rPr>
                      <w:rFonts w:hint="eastAsia"/>
                      <w:sz w:val="18"/>
                      <w:szCs w:val="18"/>
                    </w:rPr>
                    <w:t>氨、酸等</w:t>
                  </w:r>
                </w:p>
              </w:tc>
              <w:tc>
                <w:tcPr>
                  <w:tcW w:w="505" w:type="pct"/>
                  <w:vAlign w:val="center"/>
                </w:tcPr>
                <w:p w14:paraId="6901679B">
                  <w:pPr>
                    <w:jc w:val="center"/>
                    <w:rPr>
                      <w:sz w:val="18"/>
                      <w:szCs w:val="18"/>
                    </w:rPr>
                  </w:pPr>
                  <w:r>
                    <w:rPr>
                      <w:rFonts w:hint="eastAsia"/>
                      <w:sz w:val="18"/>
                      <w:szCs w:val="18"/>
                    </w:rPr>
                    <w:t>0.4</w:t>
                  </w:r>
                </w:p>
              </w:tc>
              <w:tc>
                <w:tcPr>
                  <w:tcW w:w="487" w:type="pct"/>
                  <w:vAlign w:val="center"/>
                </w:tcPr>
                <w:p w14:paraId="75F08CEE">
                  <w:pPr>
                    <w:jc w:val="center"/>
                    <w:rPr>
                      <w:sz w:val="18"/>
                      <w:szCs w:val="18"/>
                    </w:rPr>
                  </w:pPr>
                  <w:r>
                    <w:rPr>
                      <w:sz w:val="18"/>
                      <w:szCs w:val="18"/>
                    </w:rPr>
                    <w:t>√</w:t>
                  </w:r>
                </w:p>
              </w:tc>
              <w:tc>
                <w:tcPr>
                  <w:tcW w:w="422" w:type="pct"/>
                  <w:vAlign w:val="center"/>
                </w:tcPr>
                <w:p w14:paraId="285B8EAF">
                  <w:pPr>
                    <w:jc w:val="center"/>
                    <w:rPr>
                      <w:sz w:val="18"/>
                      <w:szCs w:val="18"/>
                    </w:rPr>
                  </w:pPr>
                  <w:r>
                    <w:rPr>
                      <w:sz w:val="18"/>
                      <w:szCs w:val="18"/>
                    </w:rPr>
                    <w:t>/</w:t>
                  </w:r>
                </w:p>
              </w:tc>
              <w:tc>
                <w:tcPr>
                  <w:tcW w:w="958" w:type="pct"/>
                  <w:vMerge w:val="continue"/>
                  <w:vAlign w:val="center"/>
                </w:tcPr>
                <w:p w14:paraId="5B7D8BBE">
                  <w:pPr>
                    <w:jc w:val="center"/>
                    <w:rPr>
                      <w:sz w:val="18"/>
                      <w:szCs w:val="18"/>
                    </w:rPr>
                  </w:pPr>
                </w:p>
              </w:tc>
            </w:tr>
            <w:tr w14:paraId="20F8EB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67" w:type="pct"/>
                  <w:vAlign w:val="center"/>
                </w:tcPr>
                <w:p w14:paraId="63AD640D">
                  <w:pPr>
                    <w:jc w:val="center"/>
                    <w:rPr>
                      <w:sz w:val="18"/>
                      <w:szCs w:val="18"/>
                    </w:rPr>
                  </w:pPr>
                  <w:r>
                    <w:rPr>
                      <w:rFonts w:hint="eastAsia"/>
                      <w:sz w:val="18"/>
                      <w:szCs w:val="18"/>
                    </w:rPr>
                    <w:t>6</w:t>
                  </w:r>
                </w:p>
              </w:tc>
              <w:tc>
                <w:tcPr>
                  <w:tcW w:w="586" w:type="pct"/>
                  <w:vAlign w:val="center"/>
                </w:tcPr>
                <w:p w14:paraId="0DE43146">
                  <w:pPr>
                    <w:pStyle w:val="55"/>
                    <w:spacing w:before="24" w:after="24"/>
                    <w:rPr>
                      <w:bCs/>
                      <w:kern w:val="2"/>
                      <w:sz w:val="18"/>
                      <w:szCs w:val="18"/>
                    </w:rPr>
                  </w:pPr>
                  <w:r>
                    <w:rPr>
                      <w:rFonts w:hint="eastAsia"/>
                      <w:bCs/>
                      <w:kern w:val="2"/>
                      <w:sz w:val="18"/>
                      <w:szCs w:val="18"/>
                    </w:rPr>
                    <w:t>废实验耗材</w:t>
                  </w:r>
                </w:p>
              </w:tc>
              <w:tc>
                <w:tcPr>
                  <w:tcW w:w="655" w:type="pct"/>
                  <w:vAlign w:val="center"/>
                </w:tcPr>
                <w:p w14:paraId="06430926">
                  <w:pPr>
                    <w:pStyle w:val="55"/>
                    <w:spacing w:before="24" w:after="24"/>
                    <w:rPr>
                      <w:kern w:val="2"/>
                      <w:sz w:val="18"/>
                      <w:szCs w:val="18"/>
                    </w:rPr>
                  </w:pPr>
                  <w:r>
                    <w:rPr>
                      <w:rFonts w:hint="eastAsia"/>
                      <w:kern w:val="2"/>
                      <w:sz w:val="18"/>
                      <w:szCs w:val="18"/>
                    </w:rPr>
                    <w:t>职工生产</w:t>
                  </w:r>
                </w:p>
              </w:tc>
              <w:tc>
                <w:tcPr>
                  <w:tcW w:w="317" w:type="pct"/>
                  <w:vAlign w:val="center"/>
                </w:tcPr>
                <w:p w14:paraId="54C2AB8E">
                  <w:pPr>
                    <w:pStyle w:val="55"/>
                    <w:spacing w:before="24" w:after="24"/>
                    <w:rPr>
                      <w:kern w:val="2"/>
                      <w:sz w:val="18"/>
                      <w:szCs w:val="18"/>
                    </w:rPr>
                  </w:pPr>
                  <w:r>
                    <w:rPr>
                      <w:kern w:val="2"/>
                      <w:sz w:val="18"/>
                      <w:szCs w:val="18"/>
                    </w:rPr>
                    <w:t>固态</w:t>
                  </w:r>
                </w:p>
              </w:tc>
              <w:tc>
                <w:tcPr>
                  <w:tcW w:w="800" w:type="pct"/>
                  <w:vAlign w:val="center"/>
                </w:tcPr>
                <w:p w14:paraId="4B3C3BA1">
                  <w:pPr>
                    <w:pStyle w:val="55"/>
                    <w:spacing w:before="24" w:after="24"/>
                    <w:rPr>
                      <w:kern w:val="2"/>
                      <w:sz w:val="18"/>
                      <w:szCs w:val="18"/>
                    </w:rPr>
                  </w:pPr>
                  <w:r>
                    <w:rPr>
                      <w:rFonts w:hint="eastAsia"/>
                      <w:kern w:val="2"/>
                      <w:sz w:val="18"/>
                      <w:szCs w:val="18"/>
                    </w:rPr>
                    <w:t>手套、口罩、纸张、玻璃等</w:t>
                  </w:r>
                </w:p>
              </w:tc>
              <w:tc>
                <w:tcPr>
                  <w:tcW w:w="505" w:type="pct"/>
                  <w:vAlign w:val="center"/>
                </w:tcPr>
                <w:p w14:paraId="60C86F8B">
                  <w:pPr>
                    <w:jc w:val="center"/>
                    <w:rPr>
                      <w:sz w:val="18"/>
                      <w:szCs w:val="18"/>
                    </w:rPr>
                  </w:pPr>
                  <w:r>
                    <w:rPr>
                      <w:rFonts w:hint="eastAsia"/>
                      <w:sz w:val="18"/>
                      <w:szCs w:val="18"/>
                    </w:rPr>
                    <w:t>0.1</w:t>
                  </w:r>
                </w:p>
              </w:tc>
              <w:tc>
                <w:tcPr>
                  <w:tcW w:w="487" w:type="pct"/>
                  <w:vAlign w:val="center"/>
                </w:tcPr>
                <w:p w14:paraId="046C2275">
                  <w:pPr>
                    <w:jc w:val="center"/>
                    <w:rPr>
                      <w:sz w:val="18"/>
                      <w:szCs w:val="18"/>
                    </w:rPr>
                  </w:pPr>
                  <w:r>
                    <w:rPr>
                      <w:sz w:val="18"/>
                      <w:szCs w:val="18"/>
                    </w:rPr>
                    <w:t>√</w:t>
                  </w:r>
                </w:p>
              </w:tc>
              <w:tc>
                <w:tcPr>
                  <w:tcW w:w="422" w:type="pct"/>
                  <w:vAlign w:val="center"/>
                </w:tcPr>
                <w:p w14:paraId="437298C1">
                  <w:pPr>
                    <w:jc w:val="center"/>
                    <w:rPr>
                      <w:sz w:val="18"/>
                      <w:szCs w:val="18"/>
                    </w:rPr>
                  </w:pPr>
                  <w:r>
                    <w:rPr>
                      <w:sz w:val="18"/>
                      <w:szCs w:val="18"/>
                    </w:rPr>
                    <w:t>/</w:t>
                  </w:r>
                </w:p>
              </w:tc>
              <w:tc>
                <w:tcPr>
                  <w:tcW w:w="958" w:type="pct"/>
                  <w:vMerge w:val="continue"/>
                  <w:vAlign w:val="center"/>
                </w:tcPr>
                <w:p w14:paraId="1E5AEB13">
                  <w:pPr>
                    <w:jc w:val="center"/>
                    <w:rPr>
                      <w:sz w:val="18"/>
                      <w:szCs w:val="18"/>
                    </w:rPr>
                  </w:pPr>
                </w:p>
              </w:tc>
            </w:tr>
            <w:tr w14:paraId="3F7A00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67" w:type="pct"/>
                  <w:vAlign w:val="center"/>
                </w:tcPr>
                <w:p w14:paraId="1725EDE5">
                  <w:pPr>
                    <w:jc w:val="center"/>
                    <w:rPr>
                      <w:rFonts w:hint="eastAsia"/>
                      <w:sz w:val="18"/>
                      <w:szCs w:val="18"/>
                    </w:rPr>
                  </w:pPr>
                  <w:r>
                    <w:rPr>
                      <w:rFonts w:hint="eastAsia"/>
                      <w:sz w:val="18"/>
                      <w:szCs w:val="18"/>
                    </w:rPr>
                    <w:t>7</w:t>
                  </w:r>
                </w:p>
              </w:tc>
              <w:tc>
                <w:tcPr>
                  <w:tcW w:w="586" w:type="pct"/>
                  <w:vAlign w:val="center"/>
                </w:tcPr>
                <w:p w14:paraId="60100612">
                  <w:pPr>
                    <w:pStyle w:val="55"/>
                    <w:spacing w:before="24" w:after="24"/>
                    <w:rPr>
                      <w:rFonts w:hint="eastAsia"/>
                      <w:bCs/>
                      <w:kern w:val="2"/>
                      <w:sz w:val="18"/>
                      <w:szCs w:val="18"/>
                    </w:rPr>
                  </w:pPr>
                  <w:r>
                    <w:rPr>
                      <w:rFonts w:hint="eastAsia"/>
                      <w:bCs/>
                      <w:kern w:val="2"/>
                      <w:sz w:val="18"/>
                      <w:szCs w:val="18"/>
                      <w:lang w:val="en-US" w:eastAsia="zh-CN"/>
                    </w:rPr>
                    <w:t>废水处理污泥</w:t>
                  </w:r>
                </w:p>
              </w:tc>
              <w:tc>
                <w:tcPr>
                  <w:tcW w:w="655" w:type="pct"/>
                  <w:vAlign w:val="center"/>
                </w:tcPr>
                <w:p w14:paraId="3BCEE05C">
                  <w:pPr>
                    <w:pStyle w:val="55"/>
                    <w:spacing w:before="24" w:after="24"/>
                    <w:rPr>
                      <w:rFonts w:hint="eastAsia" w:eastAsia="宋体"/>
                      <w:kern w:val="2"/>
                      <w:sz w:val="18"/>
                      <w:szCs w:val="18"/>
                      <w:lang w:val="en-US" w:eastAsia="zh-CN"/>
                    </w:rPr>
                  </w:pPr>
                  <w:r>
                    <w:rPr>
                      <w:rFonts w:hint="eastAsia"/>
                      <w:kern w:val="2"/>
                      <w:sz w:val="18"/>
                      <w:szCs w:val="18"/>
                      <w:lang w:val="en-US" w:eastAsia="zh-CN"/>
                    </w:rPr>
                    <w:t>废水处理</w:t>
                  </w:r>
                </w:p>
              </w:tc>
              <w:tc>
                <w:tcPr>
                  <w:tcW w:w="317" w:type="pct"/>
                  <w:vAlign w:val="center"/>
                </w:tcPr>
                <w:p w14:paraId="50FE0B7E">
                  <w:pPr>
                    <w:pStyle w:val="55"/>
                    <w:spacing w:before="24" w:after="24"/>
                    <w:rPr>
                      <w:kern w:val="2"/>
                      <w:sz w:val="18"/>
                      <w:szCs w:val="18"/>
                    </w:rPr>
                  </w:pPr>
                  <w:r>
                    <w:rPr>
                      <w:kern w:val="2"/>
                      <w:sz w:val="18"/>
                      <w:szCs w:val="18"/>
                    </w:rPr>
                    <w:t>固态</w:t>
                  </w:r>
                </w:p>
              </w:tc>
              <w:tc>
                <w:tcPr>
                  <w:tcW w:w="800" w:type="pct"/>
                  <w:vAlign w:val="center"/>
                </w:tcPr>
                <w:p w14:paraId="7ABC9F8C">
                  <w:pPr>
                    <w:pStyle w:val="55"/>
                    <w:spacing w:before="24" w:after="24"/>
                    <w:rPr>
                      <w:rFonts w:hint="eastAsia" w:eastAsia="宋体"/>
                      <w:kern w:val="2"/>
                      <w:sz w:val="18"/>
                      <w:szCs w:val="18"/>
                      <w:lang w:val="en-US" w:eastAsia="zh-CN"/>
                    </w:rPr>
                  </w:pPr>
                  <w:r>
                    <w:rPr>
                      <w:rFonts w:hint="eastAsia"/>
                      <w:kern w:val="2"/>
                      <w:sz w:val="18"/>
                      <w:szCs w:val="18"/>
                      <w:lang w:val="en-US" w:eastAsia="zh-CN"/>
                    </w:rPr>
                    <w:t>污泥</w:t>
                  </w:r>
                </w:p>
              </w:tc>
              <w:tc>
                <w:tcPr>
                  <w:tcW w:w="505" w:type="pct"/>
                  <w:vAlign w:val="center"/>
                </w:tcPr>
                <w:p w14:paraId="5CD6B772">
                  <w:pPr>
                    <w:jc w:val="center"/>
                    <w:rPr>
                      <w:rFonts w:hint="default" w:eastAsia="宋体"/>
                      <w:sz w:val="18"/>
                      <w:szCs w:val="18"/>
                      <w:lang w:val="en-US" w:eastAsia="zh-CN"/>
                    </w:rPr>
                  </w:pPr>
                  <w:r>
                    <w:rPr>
                      <w:rFonts w:hint="eastAsia"/>
                      <w:sz w:val="18"/>
                      <w:szCs w:val="18"/>
                      <w:lang w:val="en-US" w:eastAsia="zh-CN"/>
                    </w:rPr>
                    <w:t>0.1</w:t>
                  </w:r>
                </w:p>
              </w:tc>
              <w:tc>
                <w:tcPr>
                  <w:tcW w:w="487" w:type="pct"/>
                  <w:shd w:val="clear"/>
                  <w:vAlign w:val="center"/>
                </w:tcPr>
                <w:p w14:paraId="19A71945">
                  <w:pPr>
                    <w:jc w:val="center"/>
                    <w:rPr>
                      <w:rFonts w:ascii="Times New Roman" w:hAnsi="Times New Roman" w:eastAsia="宋体" w:cs="Times New Roman"/>
                      <w:kern w:val="2"/>
                      <w:sz w:val="18"/>
                      <w:szCs w:val="18"/>
                      <w:lang w:val="en-US" w:eastAsia="zh-CN" w:bidi="ar-SA"/>
                    </w:rPr>
                  </w:pPr>
                  <w:r>
                    <w:rPr>
                      <w:sz w:val="18"/>
                      <w:szCs w:val="18"/>
                    </w:rPr>
                    <w:t>√</w:t>
                  </w:r>
                </w:p>
              </w:tc>
              <w:tc>
                <w:tcPr>
                  <w:tcW w:w="422" w:type="pct"/>
                  <w:shd w:val="clear"/>
                  <w:vAlign w:val="center"/>
                </w:tcPr>
                <w:p w14:paraId="5E17BFCF">
                  <w:pPr>
                    <w:jc w:val="center"/>
                    <w:rPr>
                      <w:rFonts w:ascii="Times New Roman" w:hAnsi="Times New Roman" w:eastAsia="宋体" w:cs="Times New Roman"/>
                      <w:kern w:val="2"/>
                      <w:sz w:val="18"/>
                      <w:szCs w:val="18"/>
                      <w:lang w:val="en-US" w:eastAsia="zh-CN" w:bidi="ar-SA"/>
                    </w:rPr>
                  </w:pPr>
                  <w:r>
                    <w:rPr>
                      <w:sz w:val="18"/>
                      <w:szCs w:val="18"/>
                    </w:rPr>
                    <w:t>/</w:t>
                  </w:r>
                </w:p>
              </w:tc>
              <w:tc>
                <w:tcPr>
                  <w:tcW w:w="958" w:type="pct"/>
                  <w:vMerge w:val="continue"/>
                  <w:vAlign w:val="center"/>
                </w:tcPr>
                <w:p w14:paraId="7895551F">
                  <w:pPr>
                    <w:jc w:val="center"/>
                    <w:rPr>
                      <w:sz w:val="18"/>
                      <w:szCs w:val="18"/>
                    </w:rPr>
                  </w:pPr>
                </w:p>
              </w:tc>
            </w:tr>
            <w:tr w14:paraId="08A71F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67" w:type="pct"/>
                  <w:vAlign w:val="center"/>
                </w:tcPr>
                <w:p w14:paraId="530C56D0">
                  <w:pPr>
                    <w:jc w:val="center"/>
                    <w:rPr>
                      <w:rFonts w:hint="eastAsia" w:eastAsia="宋体"/>
                      <w:sz w:val="18"/>
                      <w:szCs w:val="18"/>
                      <w:lang w:val="en-US" w:eastAsia="zh-CN"/>
                    </w:rPr>
                  </w:pPr>
                  <w:r>
                    <w:rPr>
                      <w:rFonts w:hint="eastAsia"/>
                      <w:sz w:val="18"/>
                      <w:szCs w:val="18"/>
                      <w:lang w:val="en-US" w:eastAsia="zh-CN"/>
                    </w:rPr>
                    <w:t>8</w:t>
                  </w:r>
                </w:p>
              </w:tc>
              <w:tc>
                <w:tcPr>
                  <w:tcW w:w="586" w:type="pct"/>
                  <w:vAlign w:val="center"/>
                </w:tcPr>
                <w:p w14:paraId="240E8820">
                  <w:pPr>
                    <w:pStyle w:val="55"/>
                    <w:spacing w:before="24" w:after="24"/>
                    <w:rPr>
                      <w:rFonts w:hint="eastAsia"/>
                      <w:bCs/>
                      <w:kern w:val="2"/>
                      <w:sz w:val="18"/>
                      <w:szCs w:val="18"/>
                    </w:rPr>
                  </w:pPr>
                  <w:r>
                    <w:rPr>
                      <w:rFonts w:hint="eastAsia"/>
                      <w:bCs/>
                      <w:kern w:val="2"/>
                      <w:sz w:val="18"/>
                      <w:szCs w:val="18"/>
                      <w:lang w:val="en-US" w:eastAsia="zh-CN"/>
                    </w:rPr>
                    <w:t>废过滤介质</w:t>
                  </w:r>
                </w:p>
              </w:tc>
              <w:tc>
                <w:tcPr>
                  <w:tcW w:w="655" w:type="pct"/>
                  <w:shd w:val="clear"/>
                  <w:vAlign w:val="center"/>
                </w:tcPr>
                <w:p w14:paraId="5B43E6A8">
                  <w:pPr>
                    <w:pStyle w:val="55"/>
                    <w:spacing w:before="24" w:after="24"/>
                    <w:rPr>
                      <w:rFonts w:hint="eastAsia" w:ascii="宋体" w:hAnsi="Times New Roman" w:eastAsia="宋体" w:cs="Times New Roman"/>
                      <w:kern w:val="2"/>
                      <w:sz w:val="18"/>
                      <w:szCs w:val="18"/>
                      <w:lang w:val="en-US" w:eastAsia="zh-CN" w:bidi="ar-SA"/>
                    </w:rPr>
                  </w:pPr>
                  <w:r>
                    <w:rPr>
                      <w:rFonts w:hint="eastAsia"/>
                      <w:kern w:val="2"/>
                      <w:sz w:val="18"/>
                      <w:szCs w:val="18"/>
                      <w:lang w:val="en-US" w:eastAsia="zh-CN"/>
                    </w:rPr>
                    <w:t>废水处理</w:t>
                  </w:r>
                </w:p>
              </w:tc>
              <w:tc>
                <w:tcPr>
                  <w:tcW w:w="317" w:type="pct"/>
                  <w:shd w:val="clear"/>
                  <w:vAlign w:val="center"/>
                </w:tcPr>
                <w:p w14:paraId="2A53AC5E">
                  <w:pPr>
                    <w:pStyle w:val="55"/>
                    <w:spacing w:before="24" w:after="24"/>
                    <w:rPr>
                      <w:rFonts w:ascii="宋体" w:hAnsi="Times New Roman" w:eastAsia="宋体" w:cs="Times New Roman"/>
                      <w:kern w:val="2"/>
                      <w:sz w:val="18"/>
                      <w:szCs w:val="18"/>
                      <w:lang w:val="en-US" w:eastAsia="zh-CN" w:bidi="ar-SA"/>
                    </w:rPr>
                  </w:pPr>
                  <w:r>
                    <w:rPr>
                      <w:kern w:val="2"/>
                      <w:sz w:val="18"/>
                      <w:szCs w:val="18"/>
                    </w:rPr>
                    <w:t>固态</w:t>
                  </w:r>
                </w:p>
              </w:tc>
              <w:tc>
                <w:tcPr>
                  <w:tcW w:w="800" w:type="pct"/>
                  <w:vAlign w:val="center"/>
                </w:tcPr>
                <w:p w14:paraId="1D25275D">
                  <w:pPr>
                    <w:pStyle w:val="55"/>
                    <w:spacing w:before="24" w:after="24"/>
                    <w:rPr>
                      <w:rFonts w:hint="default" w:eastAsia="宋体"/>
                      <w:kern w:val="2"/>
                      <w:sz w:val="18"/>
                      <w:szCs w:val="18"/>
                      <w:lang w:val="en-US" w:eastAsia="zh-CN"/>
                    </w:rPr>
                  </w:pPr>
                  <w:r>
                    <w:rPr>
                      <w:rFonts w:hint="eastAsia"/>
                      <w:kern w:val="2"/>
                      <w:sz w:val="18"/>
                      <w:szCs w:val="18"/>
                      <w:lang w:val="en-US" w:eastAsia="zh-CN"/>
                    </w:rPr>
                    <w:t>石英砂、活性炭</w:t>
                  </w:r>
                </w:p>
              </w:tc>
              <w:tc>
                <w:tcPr>
                  <w:tcW w:w="505" w:type="pct"/>
                  <w:vAlign w:val="center"/>
                </w:tcPr>
                <w:p w14:paraId="7FC1CBC9">
                  <w:pPr>
                    <w:jc w:val="center"/>
                    <w:rPr>
                      <w:rFonts w:hint="default" w:eastAsia="宋体"/>
                      <w:sz w:val="18"/>
                      <w:szCs w:val="18"/>
                      <w:lang w:val="en-US" w:eastAsia="zh-CN"/>
                    </w:rPr>
                  </w:pPr>
                  <w:r>
                    <w:rPr>
                      <w:rFonts w:hint="eastAsia"/>
                      <w:sz w:val="18"/>
                      <w:szCs w:val="18"/>
                      <w:lang w:val="en-US" w:eastAsia="zh-CN"/>
                    </w:rPr>
                    <w:t>0.1</w:t>
                  </w:r>
                </w:p>
              </w:tc>
              <w:tc>
                <w:tcPr>
                  <w:tcW w:w="487" w:type="pct"/>
                  <w:shd w:val="clear"/>
                  <w:vAlign w:val="center"/>
                </w:tcPr>
                <w:p w14:paraId="7AF87963">
                  <w:pPr>
                    <w:jc w:val="center"/>
                    <w:rPr>
                      <w:rFonts w:ascii="Times New Roman" w:hAnsi="Times New Roman" w:eastAsia="宋体" w:cs="Times New Roman"/>
                      <w:kern w:val="2"/>
                      <w:sz w:val="18"/>
                      <w:szCs w:val="18"/>
                      <w:lang w:val="en-US" w:eastAsia="zh-CN" w:bidi="ar-SA"/>
                    </w:rPr>
                  </w:pPr>
                  <w:r>
                    <w:rPr>
                      <w:sz w:val="18"/>
                      <w:szCs w:val="18"/>
                    </w:rPr>
                    <w:t>√</w:t>
                  </w:r>
                </w:p>
              </w:tc>
              <w:tc>
                <w:tcPr>
                  <w:tcW w:w="422" w:type="pct"/>
                  <w:shd w:val="clear"/>
                  <w:vAlign w:val="center"/>
                </w:tcPr>
                <w:p w14:paraId="1925E612">
                  <w:pPr>
                    <w:jc w:val="center"/>
                    <w:rPr>
                      <w:rFonts w:ascii="Times New Roman" w:hAnsi="Times New Roman" w:eastAsia="宋体" w:cs="Times New Roman"/>
                      <w:kern w:val="2"/>
                      <w:sz w:val="18"/>
                      <w:szCs w:val="18"/>
                      <w:lang w:val="en-US" w:eastAsia="zh-CN" w:bidi="ar-SA"/>
                    </w:rPr>
                  </w:pPr>
                  <w:r>
                    <w:rPr>
                      <w:sz w:val="18"/>
                      <w:szCs w:val="18"/>
                    </w:rPr>
                    <w:t>/</w:t>
                  </w:r>
                </w:p>
              </w:tc>
              <w:tc>
                <w:tcPr>
                  <w:tcW w:w="958" w:type="pct"/>
                  <w:vMerge w:val="continue"/>
                  <w:vAlign w:val="center"/>
                </w:tcPr>
                <w:p w14:paraId="21F9232E">
                  <w:pPr>
                    <w:jc w:val="center"/>
                    <w:rPr>
                      <w:sz w:val="18"/>
                      <w:szCs w:val="18"/>
                    </w:rPr>
                  </w:pPr>
                </w:p>
              </w:tc>
            </w:tr>
            <w:tr w14:paraId="552857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67" w:type="pct"/>
                  <w:vAlign w:val="center"/>
                </w:tcPr>
                <w:p w14:paraId="087ED902">
                  <w:pPr>
                    <w:jc w:val="center"/>
                    <w:rPr>
                      <w:rFonts w:hint="eastAsia" w:eastAsia="宋体"/>
                      <w:sz w:val="18"/>
                      <w:szCs w:val="18"/>
                      <w:lang w:val="en-US" w:eastAsia="zh-CN"/>
                    </w:rPr>
                  </w:pPr>
                  <w:r>
                    <w:rPr>
                      <w:rFonts w:hint="eastAsia"/>
                      <w:sz w:val="18"/>
                      <w:szCs w:val="18"/>
                      <w:lang w:val="en-US" w:eastAsia="zh-CN"/>
                    </w:rPr>
                    <w:t>9</w:t>
                  </w:r>
                </w:p>
              </w:tc>
              <w:tc>
                <w:tcPr>
                  <w:tcW w:w="586" w:type="pct"/>
                  <w:vAlign w:val="center"/>
                </w:tcPr>
                <w:p w14:paraId="0557DE46">
                  <w:pPr>
                    <w:jc w:val="center"/>
                    <w:rPr>
                      <w:sz w:val="18"/>
                      <w:szCs w:val="18"/>
                    </w:rPr>
                  </w:pPr>
                  <w:r>
                    <w:rPr>
                      <w:sz w:val="18"/>
                      <w:szCs w:val="18"/>
                    </w:rPr>
                    <w:t>生活垃圾</w:t>
                  </w:r>
                </w:p>
              </w:tc>
              <w:tc>
                <w:tcPr>
                  <w:tcW w:w="655" w:type="pct"/>
                  <w:vAlign w:val="center"/>
                </w:tcPr>
                <w:p w14:paraId="16F6CDEB">
                  <w:pPr>
                    <w:jc w:val="center"/>
                    <w:rPr>
                      <w:sz w:val="18"/>
                      <w:szCs w:val="18"/>
                    </w:rPr>
                  </w:pPr>
                  <w:r>
                    <w:rPr>
                      <w:sz w:val="18"/>
                      <w:szCs w:val="18"/>
                    </w:rPr>
                    <w:t>办公生活</w:t>
                  </w:r>
                </w:p>
              </w:tc>
              <w:tc>
                <w:tcPr>
                  <w:tcW w:w="317" w:type="pct"/>
                  <w:vAlign w:val="center"/>
                </w:tcPr>
                <w:p w14:paraId="1546637A">
                  <w:pPr>
                    <w:jc w:val="center"/>
                    <w:rPr>
                      <w:sz w:val="18"/>
                      <w:szCs w:val="18"/>
                    </w:rPr>
                  </w:pPr>
                  <w:r>
                    <w:rPr>
                      <w:sz w:val="18"/>
                      <w:szCs w:val="18"/>
                    </w:rPr>
                    <w:t>固态</w:t>
                  </w:r>
                </w:p>
              </w:tc>
              <w:tc>
                <w:tcPr>
                  <w:tcW w:w="800" w:type="pct"/>
                  <w:vAlign w:val="center"/>
                </w:tcPr>
                <w:p w14:paraId="4862EE26">
                  <w:pPr>
                    <w:jc w:val="center"/>
                    <w:rPr>
                      <w:sz w:val="18"/>
                      <w:szCs w:val="18"/>
                    </w:rPr>
                  </w:pPr>
                  <w:r>
                    <w:rPr>
                      <w:sz w:val="18"/>
                      <w:szCs w:val="18"/>
                    </w:rPr>
                    <w:t>纸屑、果皮等</w:t>
                  </w:r>
                </w:p>
              </w:tc>
              <w:tc>
                <w:tcPr>
                  <w:tcW w:w="505" w:type="pct"/>
                  <w:vAlign w:val="center"/>
                </w:tcPr>
                <w:p w14:paraId="165715CD">
                  <w:pPr>
                    <w:jc w:val="center"/>
                    <w:rPr>
                      <w:sz w:val="18"/>
                      <w:szCs w:val="18"/>
                    </w:rPr>
                  </w:pPr>
                  <w:r>
                    <w:rPr>
                      <w:rFonts w:hint="eastAsia"/>
                      <w:sz w:val="18"/>
                      <w:szCs w:val="18"/>
                    </w:rPr>
                    <w:t>1.25</w:t>
                  </w:r>
                </w:p>
              </w:tc>
              <w:tc>
                <w:tcPr>
                  <w:tcW w:w="487" w:type="pct"/>
                  <w:vAlign w:val="center"/>
                </w:tcPr>
                <w:p w14:paraId="25EC25D4">
                  <w:pPr>
                    <w:jc w:val="center"/>
                    <w:rPr>
                      <w:sz w:val="18"/>
                      <w:szCs w:val="18"/>
                    </w:rPr>
                  </w:pPr>
                  <w:r>
                    <w:rPr>
                      <w:sz w:val="18"/>
                      <w:szCs w:val="18"/>
                    </w:rPr>
                    <w:t>√</w:t>
                  </w:r>
                </w:p>
              </w:tc>
              <w:tc>
                <w:tcPr>
                  <w:tcW w:w="422" w:type="pct"/>
                  <w:vAlign w:val="center"/>
                </w:tcPr>
                <w:p w14:paraId="6F73ED03">
                  <w:pPr>
                    <w:jc w:val="center"/>
                    <w:rPr>
                      <w:sz w:val="18"/>
                      <w:szCs w:val="18"/>
                    </w:rPr>
                  </w:pPr>
                  <w:r>
                    <w:rPr>
                      <w:sz w:val="18"/>
                      <w:szCs w:val="18"/>
                    </w:rPr>
                    <w:t>/</w:t>
                  </w:r>
                </w:p>
              </w:tc>
              <w:tc>
                <w:tcPr>
                  <w:tcW w:w="958" w:type="pct"/>
                  <w:vMerge w:val="continue"/>
                  <w:vAlign w:val="center"/>
                </w:tcPr>
                <w:p w14:paraId="4D58725E">
                  <w:pPr>
                    <w:jc w:val="center"/>
                    <w:rPr>
                      <w:sz w:val="18"/>
                      <w:szCs w:val="18"/>
                    </w:rPr>
                  </w:pPr>
                </w:p>
              </w:tc>
            </w:tr>
          </w:tbl>
          <w:p w14:paraId="07BAD477">
            <w:pPr>
              <w:spacing w:before="120" w:line="360" w:lineRule="auto"/>
              <w:ind w:firstLine="422" w:firstLineChars="200"/>
              <w:rPr>
                <w:b/>
                <w:bCs/>
                <w:szCs w:val="21"/>
              </w:rPr>
            </w:pPr>
            <w:r>
              <w:rPr>
                <w:b/>
                <w:bCs/>
                <w:szCs w:val="21"/>
              </w:rPr>
              <w:t>（3）固体废物产生情况汇总</w:t>
            </w:r>
          </w:p>
          <w:p w14:paraId="257594CD">
            <w:pPr>
              <w:spacing w:line="360" w:lineRule="auto"/>
              <w:ind w:firstLine="420" w:firstLineChars="200"/>
              <w:rPr>
                <w:szCs w:val="21"/>
              </w:rPr>
            </w:pPr>
            <w:r>
              <w:rPr>
                <w:szCs w:val="21"/>
              </w:rPr>
              <w:t>本项目运营期固体废物产生情况汇总如下。</w:t>
            </w:r>
          </w:p>
          <w:p w14:paraId="01AE5E79">
            <w:pPr>
              <w:jc w:val="center"/>
              <w:rPr>
                <w:b/>
                <w:szCs w:val="21"/>
              </w:rPr>
            </w:pPr>
            <w:r>
              <w:rPr>
                <w:b/>
                <w:szCs w:val="21"/>
              </w:rPr>
              <w:t>表4-2</w:t>
            </w:r>
            <w:r>
              <w:rPr>
                <w:rFonts w:hint="eastAsia"/>
                <w:b/>
                <w:szCs w:val="21"/>
                <w:lang w:val="en-US" w:eastAsia="zh-CN"/>
              </w:rPr>
              <w:t>5</w:t>
            </w:r>
            <w:r>
              <w:rPr>
                <w:b/>
                <w:szCs w:val="21"/>
              </w:rPr>
              <w:t xml:space="preserve"> 固体废物产生与处置情况汇总表</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Layout w:type="autofit"/>
              <w:tblCellMar>
                <w:top w:w="0" w:type="dxa"/>
                <w:left w:w="0" w:type="dxa"/>
                <w:bottom w:w="0" w:type="dxa"/>
                <w:right w:w="0" w:type="dxa"/>
              </w:tblCellMar>
            </w:tblPr>
            <w:tblGrid>
              <w:gridCol w:w="410"/>
              <w:gridCol w:w="960"/>
              <w:gridCol w:w="762"/>
              <w:gridCol w:w="1125"/>
              <w:gridCol w:w="514"/>
              <w:gridCol w:w="1122"/>
              <w:gridCol w:w="660"/>
              <w:gridCol w:w="530"/>
              <w:gridCol w:w="1136"/>
              <w:gridCol w:w="718"/>
              <w:gridCol w:w="859"/>
            </w:tblGrid>
            <w:tr w14:paraId="39F84673">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0" w:type="dxa"/>
                  <w:bottom w:w="0" w:type="dxa"/>
                  <w:right w:w="0" w:type="dxa"/>
                </w:tblCellMar>
              </w:tblPrEx>
              <w:trPr>
                <w:trHeight w:val="334" w:hRule="atLeast"/>
                <w:jc w:val="center"/>
              </w:trPr>
              <w:tc>
                <w:tcPr>
                  <w:tcW w:w="233" w:type="pct"/>
                  <w:vAlign w:val="center"/>
                </w:tcPr>
                <w:p w14:paraId="196AE69B">
                  <w:pPr>
                    <w:jc w:val="center"/>
                    <w:rPr>
                      <w:b/>
                      <w:bCs/>
                      <w:sz w:val="18"/>
                      <w:szCs w:val="18"/>
                    </w:rPr>
                  </w:pPr>
                  <w:r>
                    <w:rPr>
                      <w:b/>
                      <w:bCs/>
                      <w:sz w:val="18"/>
                      <w:szCs w:val="18"/>
                    </w:rPr>
                    <w:t>序号</w:t>
                  </w:r>
                </w:p>
              </w:tc>
              <w:tc>
                <w:tcPr>
                  <w:tcW w:w="545" w:type="pct"/>
                  <w:vAlign w:val="center"/>
                </w:tcPr>
                <w:p w14:paraId="351D86F4">
                  <w:pPr>
                    <w:jc w:val="center"/>
                    <w:rPr>
                      <w:b/>
                      <w:bCs/>
                      <w:sz w:val="18"/>
                      <w:szCs w:val="18"/>
                    </w:rPr>
                  </w:pPr>
                  <w:r>
                    <w:rPr>
                      <w:b/>
                      <w:bCs/>
                      <w:sz w:val="18"/>
                      <w:szCs w:val="18"/>
                    </w:rPr>
                    <w:t>固废名称</w:t>
                  </w:r>
                </w:p>
              </w:tc>
              <w:tc>
                <w:tcPr>
                  <w:tcW w:w="433" w:type="pct"/>
                  <w:vAlign w:val="center"/>
                </w:tcPr>
                <w:p w14:paraId="48CF036D">
                  <w:pPr>
                    <w:jc w:val="center"/>
                    <w:rPr>
                      <w:b/>
                      <w:bCs/>
                      <w:sz w:val="18"/>
                      <w:szCs w:val="18"/>
                    </w:rPr>
                  </w:pPr>
                  <w:r>
                    <w:rPr>
                      <w:b/>
                      <w:bCs/>
                      <w:sz w:val="18"/>
                      <w:szCs w:val="18"/>
                    </w:rPr>
                    <w:t>属性</w:t>
                  </w:r>
                </w:p>
              </w:tc>
              <w:tc>
                <w:tcPr>
                  <w:tcW w:w="639" w:type="pct"/>
                  <w:vAlign w:val="center"/>
                </w:tcPr>
                <w:p w14:paraId="48C33CB2">
                  <w:pPr>
                    <w:jc w:val="center"/>
                    <w:rPr>
                      <w:b/>
                      <w:bCs/>
                      <w:sz w:val="18"/>
                      <w:szCs w:val="18"/>
                    </w:rPr>
                  </w:pPr>
                  <w:r>
                    <w:rPr>
                      <w:b/>
                      <w:bCs/>
                      <w:sz w:val="18"/>
                      <w:szCs w:val="18"/>
                    </w:rPr>
                    <w:t>产生工序</w:t>
                  </w:r>
                </w:p>
              </w:tc>
              <w:tc>
                <w:tcPr>
                  <w:tcW w:w="292" w:type="pct"/>
                  <w:vAlign w:val="center"/>
                </w:tcPr>
                <w:p w14:paraId="04FC592D">
                  <w:pPr>
                    <w:jc w:val="center"/>
                    <w:rPr>
                      <w:b/>
                      <w:bCs/>
                      <w:sz w:val="18"/>
                      <w:szCs w:val="18"/>
                    </w:rPr>
                  </w:pPr>
                  <w:r>
                    <w:rPr>
                      <w:b/>
                      <w:bCs/>
                      <w:sz w:val="18"/>
                      <w:szCs w:val="18"/>
                    </w:rPr>
                    <w:t>形态</w:t>
                  </w:r>
                </w:p>
              </w:tc>
              <w:tc>
                <w:tcPr>
                  <w:tcW w:w="637" w:type="pct"/>
                  <w:vAlign w:val="center"/>
                </w:tcPr>
                <w:p w14:paraId="5FF5C506">
                  <w:pPr>
                    <w:jc w:val="center"/>
                    <w:rPr>
                      <w:b/>
                      <w:bCs/>
                      <w:sz w:val="18"/>
                      <w:szCs w:val="18"/>
                    </w:rPr>
                  </w:pPr>
                  <w:r>
                    <w:rPr>
                      <w:b/>
                      <w:bCs/>
                      <w:sz w:val="18"/>
                      <w:szCs w:val="18"/>
                    </w:rPr>
                    <w:t>主要成分</w:t>
                  </w:r>
                </w:p>
              </w:tc>
              <w:tc>
                <w:tcPr>
                  <w:tcW w:w="375" w:type="pct"/>
                  <w:vAlign w:val="center"/>
                </w:tcPr>
                <w:p w14:paraId="7294616D">
                  <w:pPr>
                    <w:jc w:val="center"/>
                    <w:rPr>
                      <w:b/>
                      <w:bCs/>
                      <w:sz w:val="18"/>
                      <w:szCs w:val="18"/>
                    </w:rPr>
                  </w:pPr>
                  <w:r>
                    <w:rPr>
                      <w:b/>
                      <w:bCs/>
                      <w:sz w:val="18"/>
                      <w:szCs w:val="18"/>
                    </w:rPr>
                    <w:t>危险</w:t>
                  </w:r>
                </w:p>
                <w:p w14:paraId="416A822B">
                  <w:pPr>
                    <w:jc w:val="center"/>
                    <w:rPr>
                      <w:b/>
                      <w:bCs/>
                      <w:sz w:val="18"/>
                      <w:szCs w:val="18"/>
                    </w:rPr>
                  </w:pPr>
                  <w:r>
                    <w:rPr>
                      <w:b/>
                      <w:bCs/>
                      <w:sz w:val="18"/>
                      <w:szCs w:val="18"/>
                    </w:rPr>
                    <w:t>特性</w:t>
                  </w:r>
                </w:p>
              </w:tc>
              <w:tc>
                <w:tcPr>
                  <w:tcW w:w="301" w:type="pct"/>
                  <w:vAlign w:val="center"/>
                </w:tcPr>
                <w:p w14:paraId="2E1070EE">
                  <w:pPr>
                    <w:jc w:val="center"/>
                    <w:rPr>
                      <w:b/>
                      <w:bCs/>
                      <w:sz w:val="18"/>
                      <w:szCs w:val="18"/>
                    </w:rPr>
                  </w:pPr>
                  <w:r>
                    <w:rPr>
                      <w:b/>
                      <w:bCs/>
                      <w:sz w:val="18"/>
                      <w:szCs w:val="18"/>
                    </w:rPr>
                    <w:t>废物</w:t>
                  </w:r>
                </w:p>
                <w:p w14:paraId="47C934F9">
                  <w:pPr>
                    <w:jc w:val="center"/>
                    <w:rPr>
                      <w:b/>
                      <w:bCs/>
                      <w:sz w:val="18"/>
                      <w:szCs w:val="18"/>
                    </w:rPr>
                  </w:pPr>
                  <w:r>
                    <w:rPr>
                      <w:b/>
                      <w:bCs/>
                      <w:sz w:val="18"/>
                      <w:szCs w:val="18"/>
                    </w:rPr>
                    <w:t>类别</w:t>
                  </w:r>
                </w:p>
              </w:tc>
              <w:tc>
                <w:tcPr>
                  <w:tcW w:w="645" w:type="pct"/>
                  <w:vAlign w:val="center"/>
                </w:tcPr>
                <w:p w14:paraId="0D021E7C">
                  <w:pPr>
                    <w:jc w:val="center"/>
                    <w:rPr>
                      <w:b/>
                      <w:bCs/>
                      <w:sz w:val="18"/>
                      <w:szCs w:val="18"/>
                    </w:rPr>
                  </w:pPr>
                  <w:r>
                    <w:rPr>
                      <w:b/>
                      <w:bCs/>
                      <w:sz w:val="18"/>
                      <w:szCs w:val="18"/>
                    </w:rPr>
                    <w:t>废物代码</w:t>
                  </w:r>
                </w:p>
              </w:tc>
              <w:tc>
                <w:tcPr>
                  <w:tcW w:w="408" w:type="pct"/>
                  <w:vAlign w:val="center"/>
                </w:tcPr>
                <w:p w14:paraId="25582F59">
                  <w:pPr>
                    <w:jc w:val="center"/>
                    <w:rPr>
                      <w:b/>
                      <w:bCs/>
                      <w:sz w:val="18"/>
                      <w:szCs w:val="18"/>
                    </w:rPr>
                  </w:pPr>
                  <w:r>
                    <w:rPr>
                      <w:b/>
                      <w:bCs/>
                      <w:sz w:val="18"/>
                      <w:szCs w:val="18"/>
                    </w:rPr>
                    <w:t>产生量（t/a）</w:t>
                  </w:r>
                </w:p>
              </w:tc>
              <w:tc>
                <w:tcPr>
                  <w:tcW w:w="488" w:type="pct"/>
                  <w:vAlign w:val="center"/>
                </w:tcPr>
                <w:p w14:paraId="431D3AEE">
                  <w:pPr>
                    <w:jc w:val="center"/>
                    <w:rPr>
                      <w:b/>
                      <w:bCs/>
                      <w:sz w:val="18"/>
                      <w:szCs w:val="18"/>
                    </w:rPr>
                  </w:pPr>
                  <w:r>
                    <w:rPr>
                      <w:b/>
                      <w:bCs/>
                      <w:sz w:val="18"/>
                      <w:szCs w:val="18"/>
                    </w:rPr>
                    <w:t>处置</w:t>
                  </w:r>
                </w:p>
                <w:p w14:paraId="536A8EE2">
                  <w:pPr>
                    <w:jc w:val="center"/>
                    <w:rPr>
                      <w:b/>
                      <w:bCs/>
                      <w:sz w:val="18"/>
                      <w:szCs w:val="18"/>
                    </w:rPr>
                  </w:pPr>
                  <w:r>
                    <w:rPr>
                      <w:b/>
                      <w:bCs/>
                      <w:sz w:val="18"/>
                      <w:szCs w:val="18"/>
                    </w:rPr>
                    <w:t>方法</w:t>
                  </w:r>
                </w:p>
              </w:tc>
            </w:tr>
            <w:tr w14:paraId="40157528">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0" w:type="dxa"/>
                  <w:bottom w:w="0" w:type="dxa"/>
                  <w:right w:w="0" w:type="dxa"/>
                </w:tblCellMar>
              </w:tblPrEx>
              <w:trPr>
                <w:trHeight w:val="385" w:hRule="atLeast"/>
                <w:jc w:val="center"/>
              </w:trPr>
              <w:tc>
                <w:tcPr>
                  <w:tcW w:w="233" w:type="pct"/>
                  <w:vAlign w:val="center"/>
                </w:tcPr>
                <w:p w14:paraId="04B37529">
                  <w:pPr>
                    <w:widowControl/>
                    <w:jc w:val="center"/>
                    <w:rPr>
                      <w:sz w:val="18"/>
                      <w:szCs w:val="18"/>
                    </w:rPr>
                  </w:pPr>
                  <w:r>
                    <w:rPr>
                      <w:sz w:val="18"/>
                      <w:szCs w:val="18"/>
                    </w:rPr>
                    <w:t>1</w:t>
                  </w:r>
                </w:p>
              </w:tc>
              <w:tc>
                <w:tcPr>
                  <w:tcW w:w="545" w:type="pct"/>
                  <w:vAlign w:val="center"/>
                </w:tcPr>
                <w:p w14:paraId="73A24F07">
                  <w:pPr>
                    <w:jc w:val="center"/>
                    <w:rPr>
                      <w:sz w:val="18"/>
                      <w:szCs w:val="18"/>
                    </w:rPr>
                  </w:pPr>
                  <w:r>
                    <w:rPr>
                      <w:sz w:val="18"/>
                      <w:szCs w:val="18"/>
                    </w:rPr>
                    <w:t>废试剂包装</w:t>
                  </w:r>
                </w:p>
              </w:tc>
              <w:tc>
                <w:tcPr>
                  <w:tcW w:w="433" w:type="pct"/>
                  <w:vAlign w:val="center"/>
                </w:tcPr>
                <w:p w14:paraId="34BEB508">
                  <w:pPr>
                    <w:jc w:val="center"/>
                    <w:rPr>
                      <w:sz w:val="18"/>
                      <w:szCs w:val="18"/>
                    </w:rPr>
                  </w:pPr>
                  <w:r>
                    <w:rPr>
                      <w:sz w:val="18"/>
                      <w:szCs w:val="18"/>
                    </w:rPr>
                    <w:t>危险废物</w:t>
                  </w:r>
                </w:p>
              </w:tc>
              <w:tc>
                <w:tcPr>
                  <w:tcW w:w="639" w:type="pct"/>
                  <w:vAlign w:val="center"/>
                </w:tcPr>
                <w:p w14:paraId="1333C68E">
                  <w:pPr>
                    <w:jc w:val="center"/>
                    <w:rPr>
                      <w:sz w:val="18"/>
                      <w:szCs w:val="18"/>
                    </w:rPr>
                  </w:pPr>
                  <w:r>
                    <w:rPr>
                      <w:rFonts w:hint="eastAsia"/>
                      <w:sz w:val="18"/>
                      <w:szCs w:val="18"/>
                    </w:rPr>
                    <w:t>均质</w:t>
                  </w:r>
                </w:p>
              </w:tc>
              <w:tc>
                <w:tcPr>
                  <w:tcW w:w="292" w:type="pct"/>
                  <w:vAlign w:val="center"/>
                </w:tcPr>
                <w:p w14:paraId="4454F679">
                  <w:pPr>
                    <w:jc w:val="center"/>
                    <w:rPr>
                      <w:sz w:val="18"/>
                      <w:szCs w:val="18"/>
                    </w:rPr>
                  </w:pPr>
                  <w:r>
                    <w:rPr>
                      <w:sz w:val="18"/>
                      <w:szCs w:val="18"/>
                    </w:rPr>
                    <w:t>固态</w:t>
                  </w:r>
                </w:p>
              </w:tc>
              <w:tc>
                <w:tcPr>
                  <w:tcW w:w="637" w:type="pct"/>
                  <w:vAlign w:val="center"/>
                </w:tcPr>
                <w:p w14:paraId="0A806557">
                  <w:pPr>
                    <w:jc w:val="center"/>
                    <w:rPr>
                      <w:sz w:val="18"/>
                      <w:szCs w:val="18"/>
                    </w:rPr>
                  </w:pPr>
                  <w:r>
                    <w:rPr>
                      <w:sz w:val="18"/>
                      <w:szCs w:val="18"/>
                    </w:rPr>
                    <w:t>塑料、</w:t>
                  </w:r>
                  <w:r>
                    <w:rPr>
                      <w:rFonts w:hint="eastAsia"/>
                      <w:sz w:val="18"/>
                      <w:szCs w:val="18"/>
                    </w:rPr>
                    <w:t>玻璃</w:t>
                  </w:r>
                  <w:r>
                    <w:rPr>
                      <w:sz w:val="18"/>
                      <w:szCs w:val="18"/>
                    </w:rPr>
                    <w:t>等</w:t>
                  </w:r>
                </w:p>
              </w:tc>
              <w:tc>
                <w:tcPr>
                  <w:tcW w:w="375" w:type="pct"/>
                  <w:vAlign w:val="center"/>
                </w:tcPr>
                <w:p w14:paraId="7ABC64DD">
                  <w:pPr>
                    <w:jc w:val="center"/>
                    <w:rPr>
                      <w:sz w:val="18"/>
                      <w:szCs w:val="18"/>
                    </w:rPr>
                  </w:pPr>
                  <w:r>
                    <w:rPr>
                      <w:sz w:val="18"/>
                      <w:szCs w:val="18"/>
                    </w:rPr>
                    <w:t>T/C/I/R</w:t>
                  </w:r>
                </w:p>
              </w:tc>
              <w:tc>
                <w:tcPr>
                  <w:tcW w:w="301" w:type="pct"/>
                  <w:vAlign w:val="center"/>
                </w:tcPr>
                <w:p w14:paraId="28765D36">
                  <w:pPr>
                    <w:jc w:val="center"/>
                    <w:rPr>
                      <w:sz w:val="18"/>
                      <w:szCs w:val="18"/>
                    </w:rPr>
                  </w:pPr>
                  <w:r>
                    <w:rPr>
                      <w:rFonts w:hint="eastAsia"/>
                      <w:sz w:val="18"/>
                      <w:szCs w:val="18"/>
                    </w:rPr>
                    <w:t>HW49</w:t>
                  </w:r>
                </w:p>
              </w:tc>
              <w:tc>
                <w:tcPr>
                  <w:tcW w:w="645" w:type="pct"/>
                  <w:vAlign w:val="center"/>
                </w:tcPr>
                <w:p w14:paraId="5FE29BE2">
                  <w:pPr>
                    <w:jc w:val="center"/>
                    <w:rPr>
                      <w:sz w:val="18"/>
                      <w:szCs w:val="18"/>
                    </w:rPr>
                  </w:pPr>
                  <w:r>
                    <w:rPr>
                      <w:sz w:val="18"/>
                      <w:szCs w:val="18"/>
                    </w:rPr>
                    <w:t>900-047-49</w:t>
                  </w:r>
                </w:p>
              </w:tc>
              <w:tc>
                <w:tcPr>
                  <w:tcW w:w="408" w:type="pct"/>
                  <w:vAlign w:val="center"/>
                </w:tcPr>
                <w:p w14:paraId="138320F2">
                  <w:pPr>
                    <w:jc w:val="center"/>
                    <w:rPr>
                      <w:sz w:val="18"/>
                      <w:szCs w:val="18"/>
                    </w:rPr>
                  </w:pPr>
                  <w:r>
                    <w:rPr>
                      <w:rFonts w:hint="eastAsia"/>
                      <w:sz w:val="18"/>
                      <w:szCs w:val="18"/>
                    </w:rPr>
                    <w:t>0.9</w:t>
                  </w:r>
                </w:p>
              </w:tc>
              <w:tc>
                <w:tcPr>
                  <w:tcW w:w="488" w:type="pct"/>
                  <w:vMerge w:val="restart"/>
                  <w:vAlign w:val="center"/>
                </w:tcPr>
                <w:p w14:paraId="28939059">
                  <w:pPr>
                    <w:jc w:val="center"/>
                    <w:rPr>
                      <w:sz w:val="18"/>
                      <w:szCs w:val="18"/>
                    </w:rPr>
                  </w:pPr>
                  <w:r>
                    <w:rPr>
                      <w:sz w:val="18"/>
                      <w:szCs w:val="18"/>
                    </w:rPr>
                    <w:t>委托有资质单位处置</w:t>
                  </w:r>
                </w:p>
              </w:tc>
            </w:tr>
            <w:tr w14:paraId="4B62D50A">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0" w:type="dxa"/>
                  <w:bottom w:w="0" w:type="dxa"/>
                  <w:right w:w="0" w:type="dxa"/>
                </w:tblCellMar>
              </w:tblPrEx>
              <w:trPr>
                <w:trHeight w:val="330" w:hRule="atLeast"/>
                <w:jc w:val="center"/>
              </w:trPr>
              <w:tc>
                <w:tcPr>
                  <w:tcW w:w="233" w:type="pct"/>
                  <w:vAlign w:val="center"/>
                </w:tcPr>
                <w:p w14:paraId="123C5CAC">
                  <w:pPr>
                    <w:widowControl/>
                    <w:jc w:val="center"/>
                    <w:rPr>
                      <w:sz w:val="18"/>
                      <w:szCs w:val="18"/>
                    </w:rPr>
                  </w:pPr>
                  <w:r>
                    <w:rPr>
                      <w:rFonts w:hint="eastAsia"/>
                      <w:sz w:val="18"/>
                      <w:szCs w:val="18"/>
                    </w:rPr>
                    <w:t>2</w:t>
                  </w:r>
                </w:p>
              </w:tc>
              <w:tc>
                <w:tcPr>
                  <w:tcW w:w="545" w:type="pct"/>
                  <w:vAlign w:val="center"/>
                </w:tcPr>
                <w:p w14:paraId="30BBDD7F">
                  <w:pPr>
                    <w:jc w:val="center"/>
                    <w:rPr>
                      <w:sz w:val="18"/>
                      <w:szCs w:val="18"/>
                    </w:rPr>
                  </w:pPr>
                  <w:r>
                    <w:rPr>
                      <w:rFonts w:hint="eastAsia"/>
                      <w:sz w:val="18"/>
                      <w:szCs w:val="18"/>
                    </w:rPr>
                    <w:t>实验废液</w:t>
                  </w:r>
                </w:p>
              </w:tc>
              <w:tc>
                <w:tcPr>
                  <w:tcW w:w="433" w:type="pct"/>
                  <w:vAlign w:val="center"/>
                </w:tcPr>
                <w:p w14:paraId="322D0EA7">
                  <w:pPr>
                    <w:jc w:val="center"/>
                    <w:rPr>
                      <w:sz w:val="18"/>
                      <w:szCs w:val="18"/>
                    </w:rPr>
                  </w:pPr>
                  <w:r>
                    <w:rPr>
                      <w:sz w:val="18"/>
                      <w:szCs w:val="18"/>
                    </w:rPr>
                    <w:t>危险废物</w:t>
                  </w:r>
                </w:p>
              </w:tc>
              <w:tc>
                <w:tcPr>
                  <w:tcW w:w="639" w:type="pct"/>
                  <w:vAlign w:val="center"/>
                </w:tcPr>
                <w:p w14:paraId="0597FB62">
                  <w:pPr>
                    <w:jc w:val="center"/>
                    <w:rPr>
                      <w:sz w:val="18"/>
                      <w:szCs w:val="18"/>
                    </w:rPr>
                  </w:pPr>
                  <w:r>
                    <w:rPr>
                      <w:rFonts w:hint="eastAsia"/>
                      <w:sz w:val="18"/>
                      <w:szCs w:val="18"/>
                    </w:rPr>
                    <w:t>均质、均匀性初检、稳定性评估</w:t>
                  </w:r>
                </w:p>
              </w:tc>
              <w:tc>
                <w:tcPr>
                  <w:tcW w:w="292" w:type="pct"/>
                  <w:vAlign w:val="center"/>
                </w:tcPr>
                <w:p w14:paraId="3293827E">
                  <w:pPr>
                    <w:jc w:val="center"/>
                    <w:rPr>
                      <w:sz w:val="18"/>
                      <w:szCs w:val="18"/>
                    </w:rPr>
                  </w:pPr>
                  <w:r>
                    <w:rPr>
                      <w:rFonts w:hint="eastAsia"/>
                      <w:sz w:val="18"/>
                      <w:szCs w:val="18"/>
                    </w:rPr>
                    <w:t>液态</w:t>
                  </w:r>
                </w:p>
              </w:tc>
              <w:tc>
                <w:tcPr>
                  <w:tcW w:w="637" w:type="pct"/>
                  <w:vAlign w:val="center"/>
                </w:tcPr>
                <w:p w14:paraId="6001F5D6">
                  <w:pPr>
                    <w:jc w:val="center"/>
                    <w:rPr>
                      <w:sz w:val="18"/>
                      <w:szCs w:val="18"/>
                    </w:rPr>
                  </w:pPr>
                  <w:r>
                    <w:rPr>
                      <w:rFonts w:hint="eastAsia"/>
                      <w:sz w:val="18"/>
                      <w:szCs w:val="18"/>
                    </w:rPr>
                    <w:t>有机溶剂等</w:t>
                  </w:r>
                </w:p>
              </w:tc>
              <w:tc>
                <w:tcPr>
                  <w:tcW w:w="375" w:type="pct"/>
                  <w:vAlign w:val="center"/>
                </w:tcPr>
                <w:p w14:paraId="4640F952">
                  <w:pPr>
                    <w:jc w:val="center"/>
                    <w:rPr>
                      <w:sz w:val="18"/>
                      <w:szCs w:val="18"/>
                    </w:rPr>
                  </w:pPr>
                  <w:r>
                    <w:rPr>
                      <w:sz w:val="18"/>
                      <w:szCs w:val="18"/>
                    </w:rPr>
                    <w:t>T/C/I/R</w:t>
                  </w:r>
                </w:p>
              </w:tc>
              <w:tc>
                <w:tcPr>
                  <w:tcW w:w="301" w:type="pct"/>
                  <w:vAlign w:val="center"/>
                </w:tcPr>
                <w:p w14:paraId="45A98BD1">
                  <w:pPr>
                    <w:widowControl/>
                    <w:adjustRightInd w:val="0"/>
                    <w:snapToGrid w:val="0"/>
                    <w:jc w:val="center"/>
                    <w:rPr>
                      <w:sz w:val="18"/>
                      <w:szCs w:val="18"/>
                    </w:rPr>
                  </w:pPr>
                  <w:r>
                    <w:rPr>
                      <w:rFonts w:hint="eastAsia"/>
                      <w:sz w:val="18"/>
                      <w:szCs w:val="18"/>
                    </w:rPr>
                    <w:t>HW49</w:t>
                  </w:r>
                </w:p>
              </w:tc>
              <w:tc>
                <w:tcPr>
                  <w:tcW w:w="645" w:type="pct"/>
                  <w:vAlign w:val="center"/>
                </w:tcPr>
                <w:p w14:paraId="1465A047">
                  <w:pPr>
                    <w:widowControl/>
                    <w:adjustRightInd w:val="0"/>
                    <w:snapToGrid w:val="0"/>
                    <w:jc w:val="center"/>
                    <w:rPr>
                      <w:sz w:val="18"/>
                      <w:szCs w:val="18"/>
                    </w:rPr>
                  </w:pPr>
                  <w:r>
                    <w:rPr>
                      <w:sz w:val="18"/>
                      <w:szCs w:val="18"/>
                    </w:rPr>
                    <w:t>900-047-49</w:t>
                  </w:r>
                </w:p>
              </w:tc>
              <w:tc>
                <w:tcPr>
                  <w:tcW w:w="408" w:type="pct"/>
                  <w:vAlign w:val="center"/>
                </w:tcPr>
                <w:p w14:paraId="19C284FC">
                  <w:pPr>
                    <w:jc w:val="center"/>
                    <w:rPr>
                      <w:rFonts w:hint="eastAsia" w:eastAsia="宋体"/>
                      <w:sz w:val="18"/>
                      <w:szCs w:val="18"/>
                      <w:lang w:eastAsia="zh-CN"/>
                    </w:rPr>
                  </w:pPr>
                  <w:r>
                    <w:rPr>
                      <w:rFonts w:hint="eastAsia"/>
                      <w:sz w:val="18"/>
                      <w:szCs w:val="18"/>
                      <w:lang w:eastAsia="zh-CN"/>
                    </w:rPr>
                    <w:t>0.53</w:t>
                  </w:r>
                </w:p>
              </w:tc>
              <w:tc>
                <w:tcPr>
                  <w:tcW w:w="488" w:type="pct"/>
                  <w:vMerge w:val="continue"/>
                  <w:tcBorders/>
                  <w:vAlign w:val="center"/>
                </w:tcPr>
                <w:p w14:paraId="56746C12">
                  <w:pPr>
                    <w:jc w:val="center"/>
                    <w:rPr>
                      <w:sz w:val="18"/>
                      <w:szCs w:val="18"/>
                    </w:rPr>
                  </w:pPr>
                </w:p>
              </w:tc>
            </w:tr>
            <w:tr w14:paraId="7FDB7F66">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0" w:type="dxa"/>
                  <w:bottom w:w="0" w:type="dxa"/>
                  <w:right w:w="0" w:type="dxa"/>
                </w:tblCellMar>
              </w:tblPrEx>
              <w:trPr>
                <w:trHeight w:val="330" w:hRule="atLeast"/>
                <w:jc w:val="center"/>
              </w:trPr>
              <w:tc>
                <w:tcPr>
                  <w:tcW w:w="233" w:type="pct"/>
                  <w:vAlign w:val="center"/>
                </w:tcPr>
                <w:p w14:paraId="09BD1E4E">
                  <w:pPr>
                    <w:jc w:val="center"/>
                    <w:rPr>
                      <w:sz w:val="18"/>
                      <w:szCs w:val="18"/>
                    </w:rPr>
                  </w:pPr>
                  <w:r>
                    <w:rPr>
                      <w:sz w:val="18"/>
                      <w:szCs w:val="18"/>
                    </w:rPr>
                    <w:t>3</w:t>
                  </w:r>
                </w:p>
              </w:tc>
              <w:tc>
                <w:tcPr>
                  <w:tcW w:w="545" w:type="pct"/>
                  <w:vAlign w:val="center"/>
                </w:tcPr>
                <w:p w14:paraId="343D0D10">
                  <w:pPr>
                    <w:jc w:val="center"/>
                    <w:rPr>
                      <w:sz w:val="18"/>
                      <w:szCs w:val="18"/>
                    </w:rPr>
                  </w:pPr>
                  <w:r>
                    <w:rPr>
                      <w:rFonts w:hint="eastAsia"/>
                      <w:sz w:val="18"/>
                      <w:szCs w:val="18"/>
                      <w:lang w:val="en-US" w:eastAsia="zh-CN"/>
                    </w:rPr>
                    <w:t>初道</w:t>
                  </w:r>
                  <w:r>
                    <w:rPr>
                      <w:rFonts w:hint="eastAsia"/>
                      <w:sz w:val="18"/>
                      <w:szCs w:val="18"/>
                    </w:rPr>
                    <w:t>清洗废水</w:t>
                  </w:r>
                </w:p>
              </w:tc>
              <w:tc>
                <w:tcPr>
                  <w:tcW w:w="433" w:type="pct"/>
                  <w:vAlign w:val="center"/>
                </w:tcPr>
                <w:p w14:paraId="49E71CCF">
                  <w:pPr>
                    <w:jc w:val="center"/>
                    <w:rPr>
                      <w:sz w:val="18"/>
                      <w:szCs w:val="18"/>
                    </w:rPr>
                  </w:pPr>
                  <w:r>
                    <w:rPr>
                      <w:sz w:val="18"/>
                      <w:szCs w:val="18"/>
                    </w:rPr>
                    <w:t>危险废物</w:t>
                  </w:r>
                </w:p>
              </w:tc>
              <w:tc>
                <w:tcPr>
                  <w:tcW w:w="639" w:type="pct"/>
                  <w:vAlign w:val="center"/>
                </w:tcPr>
                <w:p w14:paraId="3B542012">
                  <w:pPr>
                    <w:jc w:val="center"/>
                    <w:rPr>
                      <w:sz w:val="18"/>
                      <w:szCs w:val="18"/>
                    </w:rPr>
                  </w:pPr>
                  <w:r>
                    <w:rPr>
                      <w:rFonts w:hint="eastAsia"/>
                      <w:sz w:val="18"/>
                      <w:szCs w:val="18"/>
                    </w:rPr>
                    <w:t>玻璃器皿清洗</w:t>
                  </w:r>
                </w:p>
              </w:tc>
              <w:tc>
                <w:tcPr>
                  <w:tcW w:w="292" w:type="pct"/>
                  <w:vAlign w:val="center"/>
                </w:tcPr>
                <w:p w14:paraId="56125E1C">
                  <w:pPr>
                    <w:jc w:val="center"/>
                    <w:rPr>
                      <w:sz w:val="18"/>
                      <w:szCs w:val="18"/>
                    </w:rPr>
                  </w:pPr>
                  <w:r>
                    <w:rPr>
                      <w:rFonts w:hint="eastAsia"/>
                      <w:sz w:val="18"/>
                      <w:szCs w:val="18"/>
                    </w:rPr>
                    <w:t>液态</w:t>
                  </w:r>
                </w:p>
              </w:tc>
              <w:tc>
                <w:tcPr>
                  <w:tcW w:w="637" w:type="pct"/>
                  <w:vAlign w:val="center"/>
                </w:tcPr>
                <w:p w14:paraId="5B69CAF8">
                  <w:pPr>
                    <w:jc w:val="center"/>
                    <w:rPr>
                      <w:sz w:val="18"/>
                      <w:szCs w:val="18"/>
                    </w:rPr>
                  </w:pPr>
                  <w:r>
                    <w:rPr>
                      <w:rFonts w:hint="eastAsia"/>
                      <w:sz w:val="18"/>
                      <w:szCs w:val="18"/>
                    </w:rPr>
                    <w:t>有机溶剂等</w:t>
                  </w:r>
                </w:p>
              </w:tc>
              <w:tc>
                <w:tcPr>
                  <w:tcW w:w="375" w:type="pct"/>
                  <w:vAlign w:val="center"/>
                </w:tcPr>
                <w:p w14:paraId="1D3C938D">
                  <w:pPr>
                    <w:jc w:val="center"/>
                    <w:rPr>
                      <w:sz w:val="18"/>
                      <w:szCs w:val="18"/>
                    </w:rPr>
                  </w:pPr>
                  <w:r>
                    <w:rPr>
                      <w:sz w:val="18"/>
                      <w:szCs w:val="18"/>
                    </w:rPr>
                    <w:t>T/C/I/R</w:t>
                  </w:r>
                </w:p>
              </w:tc>
              <w:tc>
                <w:tcPr>
                  <w:tcW w:w="301" w:type="pct"/>
                  <w:vAlign w:val="center"/>
                </w:tcPr>
                <w:p w14:paraId="517F43D1">
                  <w:pPr>
                    <w:widowControl/>
                    <w:adjustRightInd w:val="0"/>
                    <w:snapToGrid w:val="0"/>
                    <w:jc w:val="center"/>
                    <w:rPr>
                      <w:sz w:val="18"/>
                      <w:szCs w:val="18"/>
                    </w:rPr>
                  </w:pPr>
                  <w:r>
                    <w:rPr>
                      <w:rFonts w:hint="eastAsia"/>
                      <w:sz w:val="18"/>
                      <w:szCs w:val="18"/>
                    </w:rPr>
                    <w:t>HW49</w:t>
                  </w:r>
                </w:p>
              </w:tc>
              <w:tc>
                <w:tcPr>
                  <w:tcW w:w="645" w:type="pct"/>
                  <w:vAlign w:val="center"/>
                </w:tcPr>
                <w:p w14:paraId="3C64C785">
                  <w:pPr>
                    <w:widowControl/>
                    <w:adjustRightInd w:val="0"/>
                    <w:snapToGrid w:val="0"/>
                    <w:jc w:val="center"/>
                    <w:rPr>
                      <w:sz w:val="18"/>
                      <w:szCs w:val="18"/>
                    </w:rPr>
                  </w:pPr>
                  <w:r>
                    <w:rPr>
                      <w:sz w:val="18"/>
                      <w:szCs w:val="18"/>
                    </w:rPr>
                    <w:t>900-047-49</w:t>
                  </w:r>
                </w:p>
              </w:tc>
              <w:tc>
                <w:tcPr>
                  <w:tcW w:w="408" w:type="pct"/>
                  <w:vAlign w:val="center"/>
                </w:tcPr>
                <w:p w14:paraId="579705B1">
                  <w:pPr>
                    <w:jc w:val="center"/>
                    <w:rPr>
                      <w:rFonts w:hint="eastAsia" w:eastAsia="宋体"/>
                      <w:sz w:val="18"/>
                      <w:szCs w:val="18"/>
                      <w:lang w:eastAsia="zh-CN"/>
                    </w:rPr>
                  </w:pPr>
                  <w:r>
                    <w:rPr>
                      <w:rFonts w:hint="eastAsia"/>
                      <w:sz w:val="18"/>
                      <w:szCs w:val="18"/>
                      <w:lang w:val="en-US" w:eastAsia="zh-CN"/>
                    </w:rPr>
                    <w:t>2</w:t>
                  </w:r>
                </w:p>
              </w:tc>
              <w:tc>
                <w:tcPr>
                  <w:tcW w:w="488" w:type="pct"/>
                  <w:vMerge w:val="continue"/>
                  <w:tcBorders/>
                  <w:vAlign w:val="center"/>
                </w:tcPr>
                <w:p w14:paraId="1885B08D">
                  <w:pPr>
                    <w:jc w:val="center"/>
                    <w:rPr>
                      <w:sz w:val="18"/>
                      <w:szCs w:val="18"/>
                    </w:rPr>
                  </w:pPr>
                </w:p>
              </w:tc>
            </w:tr>
            <w:tr w14:paraId="00F37D28">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0" w:type="dxa"/>
                  <w:bottom w:w="0" w:type="dxa"/>
                  <w:right w:w="0" w:type="dxa"/>
                </w:tblCellMar>
              </w:tblPrEx>
              <w:trPr>
                <w:trHeight w:val="400" w:hRule="atLeast"/>
                <w:jc w:val="center"/>
              </w:trPr>
              <w:tc>
                <w:tcPr>
                  <w:tcW w:w="233" w:type="pct"/>
                  <w:vAlign w:val="center"/>
                </w:tcPr>
                <w:p w14:paraId="763F464B">
                  <w:pPr>
                    <w:jc w:val="center"/>
                    <w:rPr>
                      <w:sz w:val="18"/>
                      <w:szCs w:val="18"/>
                    </w:rPr>
                  </w:pPr>
                  <w:r>
                    <w:rPr>
                      <w:sz w:val="18"/>
                      <w:szCs w:val="18"/>
                    </w:rPr>
                    <w:t>4</w:t>
                  </w:r>
                </w:p>
              </w:tc>
              <w:tc>
                <w:tcPr>
                  <w:tcW w:w="545" w:type="pct"/>
                  <w:vAlign w:val="center"/>
                </w:tcPr>
                <w:p w14:paraId="7478AFB7">
                  <w:pPr>
                    <w:jc w:val="center"/>
                    <w:rPr>
                      <w:sz w:val="18"/>
                      <w:szCs w:val="18"/>
                    </w:rPr>
                  </w:pPr>
                  <w:r>
                    <w:rPr>
                      <w:rFonts w:hint="eastAsia"/>
                      <w:sz w:val="18"/>
                      <w:szCs w:val="18"/>
                    </w:rPr>
                    <w:t>喷淋废液</w:t>
                  </w:r>
                </w:p>
              </w:tc>
              <w:tc>
                <w:tcPr>
                  <w:tcW w:w="433" w:type="pct"/>
                  <w:vAlign w:val="center"/>
                </w:tcPr>
                <w:p w14:paraId="54FA0514">
                  <w:pPr>
                    <w:jc w:val="center"/>
                    <w:rPr>
                      <w:sz w:val="18"/>
                      <w:szCs w:val="18"/>
                    </w:rPr>
                  </w:pPr>
                  <w:r>
                    <w:rPr>
                      <w:sz w:val="18"/>
                      <w:szCs w:val="18"/>
                    </w:rPr>
                    <w:t>危险废物</w:t>
                  </w:r>
                </w:p>
              </w:tc>
              <w:tc>
                <w:tcPr>
                  <w:tcW w:w="639" w:type="pct"/>
                  <w:vAlign w:val="center"/>
                </w:tcPr>
                <w:p w14:paraId="16A1A503">
                  <w:pPr>
                    <w:jc w:val="center"/>
                    <w:rPr>
                      <w:sz w:val="18"/>
                      <w:szCs w:val="18"/>
                    </w:rPr>
                  </w:pPr>
                  <w:r>
                    <w:rPr>
                      <w:rFonts w:hint="eastAsia"/>
                      <w:sz w:val="18"/>
                      <w:szCs w:val="18"/>
                    </w:rPr>
                    <w:t>废气处理</w:t>
                  </w:r>
                </w:p>
              </w:tc>
              <w:tc>
                <w:tcPr>
                  <w:tcW w:w="292" w:type="pct"/>
                  <w:vAlign w:val="center"/>
                </w:tcPr>
                <w:p w14:paraId="52442846">
                  <w:pPr>
                    <w:jc w:val="center"/>
                    <w:rPr>
                      <w:sz w:val="18"/>
                      <w:szCs w:val="18"/>
                    </w:rPr>
                  </w:pPr>
                  <w:r>
                    <w:rPr>
                      <w:rFonts w:hint="eastAsia"/>
                      <w:sz w:val="18"/>
                      <w:szCs w:val="18"/>
                    </w:rPr>
                    <w:t>液态</w:t>
                  </w:r>
                </w:p>
              </w:tc>
              <w:tc>
                <w:tcPr>
                  <w:tcW w:w="637" w:type="pct"/>
                  <w:vAlign w:val="center"/>
                </w:tcPr>
                <w:p w14:paraId="1BC9EA83">
                  <w:pPr>
                    <w:jc w:val="center"/>
                    <w:rPr>
                      <w:sz w:val="18"/>
                      <w:szCs w:val="18"/>
                    </w:rPr>
                  </w:pPr>
                  <w:r>
                    <w:rPr>
                      <w:rFonts w:hint="eastAsia"/>
                      <w:sz w:val="18"/>
                      <w:szCs w:val="18"/>
                    </w:rPr>
                    <w:t>氨、酸等</w:t>
                  </w:r>
                </w:p>
              </w:tc>
              <w:tc>
                <w:tcPr>
                  <w:tcW w:w="375" w:type="pct"/>
                  <w:vAlign w:val="center"/>
                </w:tcPr>
                <w:p w14:paraId="2C365857">
                  <w:pPr>
                    <w:jc w:val="center"/>
                    <w:rPr>
                      <w:sz w:val="18"/>
                      <w:szCs w:val="18"/>
                    </w:rPr>
                  </w:pPr>
                  <w:r>
                    <w:rPr>
                      <w:sz w:val="18"/>
                      <w:szCs w:val="18"/>
                    </w:rPr>
                    <w:t>T/C/I/R</w:t>
                  </w:r>
                </w:p>
              </w:tc>
              <w:tc>
                <w:tcPr>
                  <w:tcW w:w="301" w:type="pct"/>
                  <w:vAlign w:val="center"/>
                </w:tcPr>
                <w:p w14:paraId="3BE7D6A6">
                  <w:pPr>
                    <w:widowControl/>
                    <w:adjustRightInd w:val="0"/>
                    <w:snapToGrid w:val="0"/>
                    <w:jc w:val="center"/>
                    <w:rPr>
                      <w:sz w:val="18"/>
                      <w:szCs w:val="18"/>
                    </w:rPr>
                  </w:pPr>
                  <w:r>
                    <w:rPr>
                      <w:rFonts w:hint="eastAsia"/>
                      <w:sz w:val="18"/>
                      <w:szCs w:val="18"/>
                    </w:rPr>
                    <w:t>HW49</w:t>
                  </w:r>
                </w:p>
              </w:tc>
              <w:tc>
                <w:tcPr>
                  <w:tcW w:w="645" w:type="pct"/>
                  <w:vAlign w:val="center"/>
                </w:tcPr>
                <w:p w14:paraId="48227E5D">
                  <w:pPr>
                    <w:widowControl/>
                    <w:adjustRightInd w:val="0"/>
                    <w:snapToGrid w:val="0"/>
                    <w:jc w:val="center"/>
                    <w:rPr>
                      <w:sz w:val="18"/>
                      <w:szCs w:val="18"/>
                    </w:rPr>
                  </w:pPr>
                  <w:r>
                    <w:rPr>
                      <w:sz w:val="18"/>
                      <w:szCs w:val="18"/>
                    </w:rPr>
                    <w:t>900-047-49</w:t>
                  </w:r>
                </w:p>
              </w:tc>
              <w:tc>
                <w:tcPr>
                  <w:tcW w:w="408" w:type="pct"/>
                  <w:vAlign w:val="center"/>
                </w:tcPr>
                <w:p w14:paraId="6E568A60">
                  <w:pPr>
                    <w:jc w:val="center"/>
                    <w:rPr>
                      <w:sz w:val="18"/>
                      <w:szCs w:val="18"/>
                    </w:rPr>
                  </w:pPr>
                  <w:r>
                    <w:rPr>
                      <w:rFonts w:hint="eastAsia"/>
                      <w:sz w:val="18"/>
                      <w:szCs w:val="18"/>
                    </w:rPr>
                    <w:t>0.4</w:t>
                  </w:r>
                </w:p>
              </w:tc>
              <w:tc>
                <w:tcPr>
                  <w:tcW w:w="488" w:type="pct"/>
                  <w:vMerge w:val="continue"/>
                  <w:tcBorders/>
                  <w:vAlign w:val="center"/>
                </w:tcPr>
                <w:p w14:paraId="090787DA">
                  <w:pPr>
                    <w:jc w:val="center"/>
                    <w:rPr>
                      <w:sz w:val="18"/>
                      <w:szCs w:val="18"/>
                    </w:rPr>
                  </w:pPr>
                </w:p>
              </w:tc>
            </w:tr>
            <w:tr w14:paraId="186BCFE5">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0" w:type="dxa"/>
                  <w:bottom w:w="0" w:type="dxa"/>
                  <w:right w:w="0" w:type="dxa"/>
                </w:tblCellMar>
              </w:tblPrEx>
              <w:trPr>
                <w:trHeight w:val="400" w:hRule="atLeast"/>
                <w:jc w:val="center"/>
              </w:trPr>
              <w:tc>
                <w:tcPr>
                  <w:tcW w:w="233" w:type="pct"/>
                  <w:vAlign w:val="center"/>
                </w:tcPr>
                <w:p w14:paraId="2993CD0E">
                  <w:pPr>
                    <w:jc w:val="center"/>
                    <w:rPr>
                      <w:sz w:val="18"/>
                      <w:szCs w:val="18"/>
                    </w:rPr>
                  </w:pPr>
                  <w:r>
                    <w:rPr>
                      <w:sz w:val="18"/>
                      <w:szCs w:val="18"/>
                    </w:rPr>
                    <w:t>5</w:t>
                  </w:r>
                </w:p>
              </w:tc>
              <w:tc>
                <w:tcPr>
                  <w:tcW w:w="545" w:type="pct"/>
                  <w:vAlign w:val="center"/>
                </w:tcPr>
                <w:p w14:paraId="262E658F">
                  <w:pPr>
                    <w:jc w:val="center"/>
                    <w:rPr>
                      <w:sz w:val="18"/>
                      <w:szCs w:val="18"/>
                    </w:rPr>
                  </w:pPr>
                  <w:r>
                    <w:rPr>
                      <w:rFonts w:hint="eastAsia"/>
                      <w:sz w:val="18"/>
                      <w:szCs w:val="18"/>
                    </w:rPr>
                    <w:t>废活性炭</w:t>
                  </w:r>
                </w:p>
              </w:tc>
              <w:tc>
                <w:tcPr>
                  <w:tcW w:w="433" w:type="pct"/>
                  <w:vAlign w:val="center"/>
                </w:tcPr>
                <w:p w14:paraId="5CFADFC3">
                  <w:pPr>
                    <w:jc w:val="center"/>
                    <w:rPr>
                      <w:sz w:val="18"/>
                      <w:szCs w:val="18"/>
                    </w:rPr>
                  </w:pPr>
                  <w:r>
                    <w:rPr>
                      <w:sz w:val="18"/>
                      <w:szCs w:val="18"/>
                    </w:rPr>
                    <w:t>危险废物</w:t>
                  </w:r>
                </w:p>
              </w:tc>
              <w:tc>
                <w:tcPr>
                  <w:tcW w:w="639" w:type="pct"/>
                  <w:vAlign w:val="center"/>
                </w:tcPr>
                <w:p w14:paraId="1F671A40">
                  <w:pPr>
                    <w:jc w:val="center"/>
                    <w:rPr>
                      <w:sz w:val="18"/>
                      <w:szCs w:val="18"/>
                    </w:rPr>
                  </w:pPr>
                  <w:r>
                    <w:rPr>
                      <w:rFonts w:hint="eastAsia"/>
                      <w:sz w:val="18"/>
                      <w:szCs w:val="18"/>
                    </w:rPr>
                    <w:t>废气处理</w:t>
                  </w:r>
                </w:p>
              </w:tc>
              <w:tc>
                <w:tcPr>
                  <w:tcW w:w="292" w:type="pct"/>
                  <w:vAlign w:val="center"/>
                </w:tcPr>
                <w:p w14:paraId="5166DDFE">
                  <w:pPr>
                    <w:jc w:val="center"/>
                    <w:rPr>
                      <w:sz w:val="18"/>
                      <w:szCs w:val="18"/>
                    </w:rPr>
                  </w:pPr>
                  <w:r>
                    <w:rPr>
                      <w:rFonts w:hint="eastAsia"/>
                      <w:sz w:val="18"/>
                      <w:szCs w:val="18"/>
                    </w:rPr>
                    <w:t>固态</w:t>
                  </w:r>
                </w:p>
              </w:tc>
              <w:tc>
                <w:tcPr>
                  <w:tcW w:w="637" w:type="pct"/>
                  <w:vAlign w:val="center"/>
                </w:tcPr>
                <w:p w14:paraId="725F43D2">
                  <w:pPr>
                    <w:jc w:val="center"/>
                    <w:rPr>
                      <w:sz w:val="18"/>
                      <w:szCs w:val="18"/>
                    </w:rPr>
                  </w:pPr>
                  <w:r>
                    <w:rPr>
                      <w:rFonts w:hint="eastAsia"/>
                      <w:sz w:val="18"/>
                      <w:szCs w:val="18"/>
                    </w:rPr>
                    <w:t>有机物等</w:t>
                  </w:r>
                </w:p>
              </w:tc>
              <w:tc>
                <w:tcPr>
                  <w:tcW w:w="375" w:type="pct"/>
                  <w:shd w:val="clear"/>
                  <w:vAlign w:val="center"/>
                </w:tcPr>
                <w:p w14:paraId="4BB9B45E">
                  <w:pPr>
                    <w:jc w:val="center"/>
                    <w:rPr>
                      <w:rFonts w:ascii="Times New Roman" w:hAnsi="Times New Roman" w:eastAsia="宋体" w:cs="Times New Roman"/>
                      <w:kern w:val="2"/>
                      <w:sz w:val="18"/>
                      <w:szCs w:val="18"/>
                      <w:lang w:val="en-US" w:eastAsia="zh-CN" w:bidi="ar-SA"/>
                    </w:rPr>
                  </w:pPr>
                  <w:r>
                    <w:rPr>
                      <w:sz w:val="18"/>
                      <w:szCs w:val="18"/>
                    </w:rPr>
                    <w:t>T/C/I/R</w:t>
                  </w:r>
                </w:p>
              </w:tc>
              <w:tc>
                <w:tcPr>
                  <w:tcW w:w="301" w:type="pct"/>
                  <w:shd w:val="clear"/>
                  <w:vAlign w:val="center"/>
                </w:tcPr>
                <w:p w14:paraId="2E495556">
                  <w:pPr>
                    <w:widowControl/>
                    <w:adjustRightInd w:val="0"/>
                    <w:snapToGrid w:val="0"/>
                    <w:jc w:val="center"/>
                    <w:rPr>
                      <w:rFonts w:ascii="Times New Roman" w:hAnsi="Times New Roman" w:eastAsia="宋体" w:cs="Times New Roman"/>
                      <w:kern w:val="2"/>
                      <w:sz w:val="18"/>
                      <w:szCs w:val="18"/>
                      <w:lang w:val="en-US" w:eastAsia="zh-CN" w:bidi="ar-SA"/>
                    </w:rPr>
                  </w:pPr>
                  <w:r>
                    <w:rPr>
                      <w:rFonts w:hint="eastAsia"/>
                      <w:sz w:val="18"/>
                      <w:szCs w:val="18"/>
                    </w:rPr>
                    <w:t>HW49</w:t>
                  </w:r>
                </w:p>
              </w:tc>
              <w:tc>
                <w:tcPr>
                  <w:tcW w:w="645" w:type="pct"/>
                  <w:shd w:val="clear"/>
                  <w:vAlign w:val="center"/>
                </w:tcPr>
                <w:p w14:paraId="4E5BA041">
                  <w:pPr>
                    <w:widowControl/>
                    <w:adjustRightInd w:val="0"/>
                    <w:snapToGrid w:val="0"/>
                    <w:jc w:val="center"/>
                    <w:rPr>
                      <w:rFonts w:ascii="Times New Roman" w:hAnsi="Times New Roman" w:eastAsia="宋体" w:cs="Times New Roman"/>
                      <w:kern w:val="2"/>
                      <w:sz w:val="18"/>
                      <w:szCs w:val="18"/>
                      <w:lang w:val="en-US" w:eastAsia="zh-CN" w:bidi="ar-SA"/>
                    </w:rPr>
                  </w:pPr>
                  <w:r>
                    <w:rPr>
                      <w:sz w:val="18"/>
                      <w:szCs w:val="18"/>
                    </w:rPr>
                    <w:t>900-047-49</w:t>
                  </w:r>
                </w:p>
              </w:tc>
              <w:tc>
                <w:tcPr>
                  <w:tcW w:w="408" w:type="pct"/>
                  <w:vAlign w:val="center"/>
                </w:tcPr>
                <w:p w14:paraId="2C1FB98D">
                  <w:pPr>
                    <w:jc w:val="center"/>
                    <w:rPr>
                      <w:rFonts w:hint="eastAsia" w:eastAsia="宋体"/>
                      <w:sz w:val="18"/>
                      <w:szCs w:val="18"/>
                      <w:lang w:eastAsia="zh-CN"/>
                    </w:rPr>
                  </w:pPr>
                  <w:r>
                    <w:rPr>
                      <w:rFonts w:hint="eastAsia"/>
                      <w:color w:val="auto"/>
                      <w:sz w:val="18"/>
                      <w:szCs w:val="18"/>
                      <w:lang w:eastAsia="zh-CN"/>
                    </w:rPr>
                    <w:t>4.4435</w:t>
                  </w:r>
                </w:p>
              </w:tc>
              <w:tc>
                <w:tcPr>
                  <w:tcW w:w="488" w:type="pct"/>
                  <w:vMerge w:val="continue"/>
                  <w:tcBorders/>
                  <w:vAlign w:val="center"/>
                </w:tcPr>
                <w:p w14:paraId="581E2B31">
                  <w:pPr>
                    <w:jc w:val="center"/>
                    <w:rPr>
                      <w:sz w:val="18"/>
                      <w:szCs w:val="18"/>
                    </w:rPr>
                  </w:pPr>
                </w:p>
              </w:tc>
            </w:tr>
            <w:tr w14:paraId="07C3E8F1">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0" w:type="dxa"/>
                  <w:bottom w:w="0" w:type="dxa"/>
                  <w:right w:w="0" w:type="dxa"/>
                </w:tblCellMar>
              </w:tblPrEx>
              <w:trPr>
                <w:trHeight w:val="398" w:hRule="atLeast"/>
                <w:jc w:val="center"/>
              </w:trPr>
              <w:tc>
                <w:tcPr>
                  <w:tcW w:w="233" w:type="pct"/>
                  <w:vAlign w:val="center"/>
                </w:tcPr>
                <w:p w14:paraId="7B13368A">
                  <w:pPr>
                    <w:jc w:val="center"/>
                    <w:rPr>
                      <w:sz w:val="18"/>
                      <w:szCs w:val="18"/>
                    </w:rPr>
                  </w:pPr>
                  <w:r>
                    <w:rPr>
                      <w:rFonts w:hint="eastAsia"/>
                      <w:sz w:val="18"/>
                      <w:szCs w:val="18"/>
                    </w:rPr>
                    <w:t>6</w:t>
                  </w:r>
                </w:p>
              </w:tc>
              <w:tc>
                <w:tcPr>
                  <w:tcW w:w="545" w:type="pct"/>
                  <w:vAlign w:val="center"/>
                </w:tcPr>
                <w:p w14:paraId="2B204EBC">
                  <w:pPr>
                    <w:pStyle w:val="55"/>
                    <w:spacing w:before="24" w:after="24"/>
                    <w:rPr>
                      <w:bCs/>
                      <w:kern w:val="2"/>
                      <w:sz w:val="18"/>
                      <w:szCs w:val="18"/>
                    </w:rPr>
                  </w:pPr>
                  <w:r>
                    <w:rPr>
                      <w:rFonts w:hint="eastAsia"/>
                      <w:bCs/>
                      <w:kern w:val="2"/>
                      <w:sz w:val="18"/>
                      <w:szCs w:val="18"/>
                    </w:rPr>
                    <w:t>废实验耗材</w:t>
                  </w:r>
                </w:p>
              </w:tc>
              <w:tc>
                <w:tcPr>
                  <w:tcW w:w="433" w:type="pct"/>
                  <w:vAlign w:val="center"/>
                </w:tcPr>
                <w:p w14:paraId="11794CDB">
                  <w:pPr>
                    <w:jc w:val="center"/>
                    <w:rPr>
                      <w:sz w:val="18"/>
                      <w:szCs w:val="18"/>
                    </w:rPr>
                  </w:pPr>
                  <w:r>
                    <w:rPr>
                      <w:sz w:val="18"/>
                      <w:szCs w:val="18"/>
                    </w:rPr>
                    <w:t>危险废物</w:t>
                  </w:r>
                </w:p>
              </w:tc>
              <w:tc>
                <w:tcPr>
                  <w:tcW w:w="639" w:type="pct"/>
                  <w:vAlign w:val="center"/>
                </w:tcPr>
                <w:p w14:paraId="758616C4">
                  <w:pPr>
                    <w:pStyle w:val="55"/>
                    <w:spacing w:before="24" w:after="24"/>
                    <w:rPr>
                      <w:kern w:val="2"/>
                      <w:sz w:val="18"/>
                      <w:szCs w:val="18"/>
                    </w:rPr>
                  </w:pPr>
                  <w:r>
                    <w:rPr>
                      <w:rFonts w:hint="eastAsia"/>
                      <w:kern w:val="2"/>
                      <w:sz w:val="18"/>
                      <w:szCs w:val="18"/>
                    </w:rPr>
                    <w:t>职工生产</w:t>
                  </w:r>
                </w:p>
              </w:tc>
              <w:tc>
                <w:tcPr>
                  <w:tcW w:w="292" w:type="pct"/>
                  <w:vAlign w:val="center"/>
                </w:tcPr>
                <w:p w14:paraId="342459A9">
                  <w:pPr>
                    <w:pStyle w:val="55"/>
                    <w:spacing w:before="24" w:after="24"/>
                    <w:rPr>
                      <w:kern w:val="2"/>
                      <w:sz w:val="18"/>
                      <w:szCs w:val="18"/>
                    </w:rPr>
                  </w:pPr>
                  <w:r>
                    <w:rPr>
                      <w:kern w:val="2"/>
                      <w:sz w:val="18"/>
                      <w:szCs w:val="18"/>
                    </w:rPr>
                    <w:t>固态</w:t>
                  </w:r>
                </w:p>
              </w:tc>
              <w:tc>
                <w:tcPr>
                  <w:tcW w:w="637" w:type="pct"/>
                  <w:vAlign w:val="center"/>
                </w:tcPr>
                <w:p w14:paraId="719076FE">
                  <w:pPr>
                    <w:pStyle w:val="55"/>
                    <w:spacing w:before="24" w:after="24"/>
                    <w:rPr>
                      <w:kern w:val="2"/>
                      <w:sz w:val="18"/>
                      <w:szCs w:val="18"/>
                    </w:rPr>
                  </w:pPr>
                  <w:r>
                    <w:rPr>
                      <w:rFonts w:hint="eastAsia"/>
                      <w:kern w:val="2"/>
                      <w:sz w:val="18"/>
                      <w:szCs w:val="18"/>
                    </w:rPr>
                    <w:t>手套、口罩、纸张、玻璃等</w:t>
                  </w:r>
                </w:p>
              </w:tc>
              <w:tc>
                <w:tcPr>
                  <w:tcW w:w="375" w:type="pct"/>
                  <w:shd w:val="clear"/>
                  <w:vAlign w:val="center"/>
                </w:tcPr>
                <w:p w14:paraId="4E31DCDE">
                  <w:pPr>
                    <w:jc w:val="center"/>
                    <w:rPr>
                      <w:rFonts w:ascii="Times New Roman" w:hAnsi="Times New Roman" w:eastAsia="宋体" w:cs="Times New Roman"/>
                      <w:kern w:val="2"/>
                      <w:sz w:val="18"/>
                      <w:szCs w:val="18"/>
                      <w:lang w:val="en-US" w:eastAsia="zh-CN" w:bidi="ar-SA"/>
                    </w:rPr>
                  </w:pPr>
                  <w:r>
                    <w:rPr>
                      <w:sz w:val="18"/>
                      <w:szCs w:val="18"/>
                    </w:rPr>
                    <w:t>T/C/I/R</w:t>
                  </w:r>
                </w:p>
              </w:tc>
              <w:tc>
                <w:tcPr>
                  <w:tcW w:w="301" w:type="pct"/>
                  <w:shd w:val="clear"/>
                  <w:vAlign w:val="center"/>
                </w:tcPr>
                <w:p w14:paraId="69F30E62">
                  <w:pPr>
                    <w:widowControl/>
                    <w:adjustRightInd w:val="0"/>
                    <w:snapToGrid w:val="0"/>
                    <w:jc w:val="center"/>
                    <w:rPr>
                      <w:rFonts w:ascii="Times New Roman" w:hAnsi="Times New Roman" w:eastAsia="宋体" w:cs="Times New Roman"/>
                      <w:kern w:val="2"/>
                      <w:sz w:val="18"/>
                      <w:szCs w:val="18"/>
                      <w:lang w:val="en-US" w:eastAsia="zh-CN" w:bidi="ar-SA"/>
                    </w:rPr>
                  </w:pPr>
                  <w:r>
                    <w:rPr>
                      <w:rFonts w:hint="eastAsia"/>
                      <w:sz w:val="18"/>
                      <w:szCs w:val="18"/>
                    </w:rPr>
                    <w:t>HW49</w:t>
                  </w:r>
                </w:p>
              </w:tc>
              <w:tc>
                <w:tcPr>
                  <w:tcW w:w="645" w:type="pct"/>
                  <w:shd w:val="clear"/>
                  <w:vAlign w:val="center"/>
                </w:tcPr>
                <w:p w14:paraId="2C7BA85C">
                  <w:pPr>
                    <w:widowControl/>
                    <w:adjustRightInd w:val="0"/>
                    <w:snapToGrid w:val="0"/>
                    <w:jc w:val="center"/>
                    <w:rPr>
                      <w:rFonts w:ascii="Times New Roman" w:hAnsi="Times New Roman" w:eastAsia="宋体" w:cs="Times New Roman"/>
                      <w:kern w:val="2"/>
                      <w:sz w:val="18"/>
                      <w:szCs w:val="18"/>
                      <w:lang w:val="en-US" w:eastAsia="zh-CN" w:bidi="ar-SA"/>
                    </w:rPr>
                  </w:pPr>
                  <w:r>
                    <w:rPr>
                      <w:sz w:val="18"/>
                      <w:szCs w:val="18"/>
                    </w:rPr>
                    <w:t>900-047-49</w:t>
                  </w:r>
                </w:p>
              </w:tc>
              <w:tc>
                <w:tcPr>
                  <w:tcW w:w="408" w:type="pct"/>
                  <w:vAlign w:val="center"/>
                </w:tcPr>
                <w:p w14:paraId="1EF69456">
                  <w:pPr>
                    <w:jc w:val="center"/>
                    <w:rPr>
                      <w:sz w:val="18"/>
                      <w:szCs w:val="18"/>
                    </w:rPr>
                  </w:pPr>
                  <w:r>
                    <w:rPr>
                      <w:rFonts w:hint="eastAsia"/>
                      <w:sz w:val="18"/>
                      <w:szCs w:val="18"/>
                    </w:rPr>
                    <w:t>0.1</w:t>
                  </w:r>
                </w:p>
              </w:tc>
              <w:tc>
                <w:tcPr>
                  <w:tcW w:w="488" w:type="pct"/>
                  <w:vMerge w:val="continue"/>
                  <w:tcBorders/>
                  <w:vAlign w:val="center"/>
                </w:tcPr>
                <w:p w14:paraId="74A56295">
                  <w:pPr>
                    <w:jc w:val="center"/>
                    <w:rPr>
                      <w:sz w:val="18"/>
                      <w:szCs w:val="18"/>
                    </w:rPr>
                  </w:pPr>
                </w:p>
              </w:tc>
            </w:tr>
            <w:tr w14:paraId="1A6C9ECF">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0" w:type="dxa"/>
                  <w:bottom w:w="0" w:type="dxa"/>
                  <w:right w:w="0" w:type="dxa"/>
                </w:tblCellMar>
              </w:tblPrEx>
              <w:trPr>
                <w:trHeight w:val="398" w:hRule="atLeast"/>
                <w:jc w:val="center"/>
              </w:trPr>
              <w:tc>
                <w:tcPr>
                  <w:tcW w:w="233" w:type="pct"/>
                  <w:vAlign w:val="center"/>
                </w:tcPr>
                <w:p w14:paraId="4D88A841">
                  <w:pPr>
                    <w:jc w:val="center"/>
                    <w:rPr>
                      <w:rFonts w:hint="eastAsia" w:eastAsia="宋体"/>
                      <w:sz w:val="18"/>
                      <w:szCs w:val="18"/>
                      <w:lang w:val="en-US" w:eastAsia="zh-CN"/>
                    </w:rPr>
                  </w:pPr>
                  <w:r>
                    <w:rPr>
                      <w:rFonts w:hint="eastAsia"/>
                      <w:sz w:val="18"/>
                      <w:szCs w:val="18"/>
                      <w:lang w:val="en-US" w:eastAsia="zh-CN"/>
                    </w:rPr>
                    <w:t>7</w:t>
                  </w:r>
                </w:p>
              </w:tc>
              <w:tc>
                <w:tcPr>
                  <w:tcW w:w="545" w:type="pct"/>
                  <w:shd w:val="clear"/>
                  <w:vAlign w:val="center"/>
                </w:tcPr>
                <w:p w14:paraId="04A109F8">
                  <w:pPr>
                    <w:pStyle w:val="55"/>
                    <w:spacing w:before="24" w:after="24"/>
                    <w:rPr>
                      <w:rFonts w:hint="eastAsia" w:ascii="宋体" w:hAnsi="Times New Roman" w:eastAsia="宋体" w:cs="Times New Roman"/>
                      <w:bCs/>
                      <w:kern w:val="2"/>
                      <w:sz w:val="18"/>
                      <w:szCs w:val="18"/>
                      <w:lang w:val="en-US" w:eastAsia="zh-CN" w:bidi="ar-SA"/>
                    </w:rPr>
                  </w:pPr>
                  <w:r>
                    <w:rPr>
                      <w:rFonts w:hint="eastAsia"/>
                      <w:bCs/>
                      <w:kern w:val="2"/>
                      <w:sz w:val="18"/>
                      <w:szCs w:val="18"/>
                      <w:lang w:val="en-US" w:eastAsia="zh-CN"/>
                    </w:rPr>
                    <w:t>废水处理污泥</w:t>
                  </w:r>
                </w:p>
              </w:tc>
              <w:tc>
                <w:tcPr>
                  <w:tcW w:w="433" w:type="pct"/>
                  <w:shd w:val="clear"/>
                  <w:vAlign w:val="center"/>
                </w:tcPr>
                <w:p w14:paraId="035A7480">
                  <w:pPr>
                    <w:jc w:val="center"/>
                    <w:rPr>
                      <w:rFonts w:ascii="Times New Roman" w:hAnsi="Times New Roman" w:eastAsia="宋体" w:cs="Times New Roman"/>
                      <w:kern w:val="2"/>
                      <w:sz w:val="18"/>
                      <w:szCs w:val="18"/>
                      <w:lang w:val="en-US" w:eastAsia="zh-CN" w:bidi="ar-SA"/>
                    </w:rPr>
                  </w:pPr>
                  <w:r>
                    <w:rPr>
                      <w:sz w:val="18"/>
                      <w:szCs w:val="18"/>
                    </w:rPr>
                    <w:t>危险废物</w:t>
                  </w:r>
                </w:p>
              </w:tc>
              <w:tc>
                <w:tcPr>
                  <w:tcW w:w="639" w:type="pct"/>
                  <w:shd w:val="clear"/>
                  <w:vAlign w:val="center"/>
                </w:tcPr>
                <w:p w14:paraId="25802C9D">
                  <w:pPr>
                    <w:pStyle w:val="55"/>
                    <w:spacing w:before="24" w:after="24"/>
                    <w:rPr>
                      <w:rFonts w:hint="eastAsia" w:ascii="宋体" w:hAnsi="Times New Roman" w:eastAsia="宋体" w:cs="Times New Roman"/>
                      <w:kern w:val="2"/>
                      <w:sz w:val="18"/>
                      <w:szCs w:val="18"/>
                      <w:lang w:val="en-US" w:eastAsia="zh-CN" w:bidi="ar-SA"/>
                    </w:rPr>
                  </w:pPr>
                  <w:r>
                    <w:rPr>
                      <w:rFonts w:hint="eastAsia"/>
                      <w:kern w:val="2"/>
                      <w:sz w:val="18"/>
                      <w:szCs w:val="18"/>
                      <w:lang w:val="en-US" w:eastAsia="zh-CN"/>
                    </w:rPr>
                    <w:t>废水处理</w:t>
                  </w:r>
                </w:p>
              </w:tc>
              <w:tc>
                <w:tcPr>
                  <w:tcW w:w="292" w:type="pct"/>
                  <w:shd w:val="clear"/>
                  <w:vAlign w:val="center"/>
                </w:tcPr>
                <w:p w14:paraId="4A4FFD43">
                  <w:pPr>
                    <w:pStyle w:val="55"/>
                    <w:spacing w:before="24" w:after="24"/>
                    <w:rPr>
                      <w:rFonts w:ascii="宋体" w:hAnsi="Times New Roman" w:eastAsia="宋体" w:cs="Times New Roman"/>
                      <w:kern w:val="2"/>
                      <w:sz w:val="18"/>
                      <w:szCs w:val="18"/>
                      <w:lang w:val="en-US" w:eastAsia="zh-CN" w:bidi="ar-SA"/>
                    </w:rPr>
                  </w:pPr>
                  <w:r>
                    <w:rPr>
                      <w:kern w:val="2"/>
                      <w:sz w:val="18"/>
                      <w:szCs w:val="18"/>
                    </w:rPr>
                    <w:t>固态</w:t>
                  </w:r>
                </w:p>
              </w:tc>
              <w:tc>
                <w:tcPr>
                  <w:tcW w:w="637" w:type="pct"/>
                  <w:shd w:val="clear"/>
                  <w:vAlign w:val="center"/>
                </w:tcPr>
                <w:p w14:paraId="15F3CB0F">
                  <w:pPr>
                    <w:pStyle w:val="55"/>
                    <w:spacing w:before="24" w:after="24"/>
                    <w:rPr>
                      <w:rFonts w:hint="eastAsia" w:ascii="宋体" w:hAnsi="Times New Roman" w:eastAsia="宋体" w:cs="Times New Roman"/>
                      <w:kern w:val="2"/>
                      <w:sz w:val="18"/>
                      <w:szCs w:val="18"/>
                      <w:lang w:val="en-US" w:eastAsia="zh-CN" w:bidi="ar-SA"/>
                    </w:rPr>
                  </w:pPr>
                  <w:r>
                    <w:rPr>
                      <w:rFonts w:hint="eastAsia"/>
                      <w:kern w:val="2"/>
                      <w:sz w:val="18"/>
                      <w:szCs w:val="18"/>
                      <w:lang w:val="en-US" w:eastAsia="zh-CN"/>
                    </w:rPr>
                    <w:t>污泥</w:t>
                  </w:r>
                </w:p>
              </w:tc>
              <w:tc>
                <w:tcPr>
                  <w:tcW w:w="375" w:type="pct"/>
                  <w:shd w:val="clear"/>
                  <w:vAlign w:val="center"/>
                </w:tcPr>
                <w:p w14:paraId="1D09716D">
                  <w:pPr>
                    <w:jc w:val="center"/>
                    <w:rPr>
                      <w:rFonts w:hint="eastAsia" w:ascii="Times New Roman" w:hAnsi="Times New Roman" w:eastAsia="宋体" w:cs="Times New Roman"/>
                      <w:kern w:val="2"/>
                      <w:sz w:val="18"/>
                      <w:szCs w:val="18"/>
                      <w:lang w:val="en-US" w:eastAsia="zh-CN" w:bidi="ar-SA"/>
                    </w:rPr>
                  </w:pPr>
                  <w:r>
                    <w:rPr>
                      <w:sz w:val="18"/>
                      <w:szCs w:val="18"/>
                    </w:rPr>
                    <w:t>T/C/I/R</w:t>
                  </w:r>
                </w:p>
              </w:tc>
              <w:tc>
                <w:tcPr>
                  <w:tcW w:w="301" w:type="pct"/>
                  <w:shd w:val="clear"/>
                  <w:vAlign w:val="center"/>
                </w:tcPr>
                <w:p w14:paraId="09E34B9A">
                  <w:pPr>
                    <w:widowControl/>
                    <w:adjustRightInd w:val="0"/>
                    <w:snapToGrid w:val="0"/>
                    <w:jc w:val="center"/>
                    <w:rPr>
                      <w:rFonts w:hint="eastAsia" w:ascii="Times New Roman" w:hAnsi="Times New Roman" w:eastAsia="宋体" w:cs="Times New Roman"/>
                      <w:kern w:val="2"/>
                      <w:sz w:val="18"/>
                      <w:szCs w:val="18"/>
                      <w:lang w:val="en-US" w:eastAsia="zh-CN" w:bidi="ar-SA"/>
                    </w:rPr>
                  </w:pPr>
                  <w:r>
                    <w:rPr>
                      <w:rFonts w:hint="eastAsia"/>
                      <w:sz w:val="18"/>
                      <w:szCs w:val="18"/>
                    </w:rPr>
                    <w:t>HW49</w:t>
                  </w:r>
                </w:p>
              </w:tc>
              <w:tc>
                <w:tcPr>
                  <w:tcW w:w="645" w:type="pct"/>
                  <w:shd w:val="clear"/>
                  <w:vAlign w:val="center"/>
                </w:tcPr>
                <w:p w14:paraId="4760D817">
                  <w:pPr>
                    <w:widowControl/>
                    <w:adjustRightInd w:val="0"/>
                    <w:snapToGrid w:val="0"/>
                    <w:jc w:val="center"/>
                    <w:rPr>
                      <w:rFonts w:ascii="Times New Roman" w:hAnsi="Times New Roman" w:eastAsia="宋体" w:cs="Times New Roman"/>
                      <w:kern w:val="2"/>
                      <w:sz w:val="18"/>
                      <w:szCs w:val="18"/>
                      <w:lang w:val="en-US" w:eastAsia="zh-CN" w:bidi="ar-SA"/>
                    </w:rPr>
                  </w:pPr>
                  <w:r>
                    <w:rPr>
                      <w:sz w:val="18"/>
                      <w:szCs w:val="18"/>
                    </w:rPr>
                    <w:t>900-047-49</w:t>
                  </w:r>
                </w:p>
              </w:tc>
              <w:tc>
                <w:tcPr>
                  <w:tcW w:w="408" w:type="pct"/>
                  <w:vAlign w:val="center"/>
                </w:tcPr>
                <w:p w14:paraId="643906EA">
                  <w:pPr>
                    <w:jc w:val="center"/>
                    <w:rPr>
                      <w:rFonts w:hint="default" w:eastAsia="宋体"/>
                      <w:sz w:val="18"/>
                      <w:szCs w:val="18"/>
                      <w:lang w:val="en-US" w:eastAsia="zh-CN"/>
                    </w:rPr>
                  </w:pPr>
                  <w:r>
                    <w:rPr>
                      <w:rFonts w:hint="eastAsia"/>
                      <w:sz w:val="18"/>
                      <w:szCs w:val="18"/>
                      <w:lang w:val="en-US" w:eastAsia="zh-CN"/>
                    </w:rPr>
                    <w:t>0.1</w:t>
                  </w:r>
                </w:p>
              </w:tc>
              <w:tc>
                <w:tcPr>
                  <w:tcW w:w="488" w:type="pct"/>
                  <w:vMerge w:val="continue"/>
                  <w:tcBorders/>
                  <w:vAlign w:val="center"/>
                </w:tcPr>
                <w:p w14:paraId="7B7F9A70">
                  <w:pPr>
                    <w:jc w:val="center"/>
                    <w:rPr>
                      <w:sz w:val="18"/>
                      <w:szCs w:val="18"/>
                    </w:rPr>
                  </w:pPr>
                </w:p>
              </w:tc>
            </w:tr>
            <w:tr w14:paraId="6BFBC49A">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0" w:type="dxa"/>
                  <w:bottom w:w="0" w:type="dxa"/>
                  <w:right w:w="0" w:type="dxa"/>
                </w:tblCellMar>
              </w:tblPrEx>
              <w:trPr>
                <w:trHeight w:val="398" w:hRule="atLeast"/>
                <w:jc w:val="center"/>
              </w:trPr>
              <w:tc>
                <w:tcPr>
                  <w:tcW w:w="233" w:type="pct"/>
                  <w:vAlign w:val="center"/>
                </w:tcPr>
                <w:p w14:paraId="3639D4D4">
                  <w:pPr>
                    <w:jc w:val="center"/>
                    <w:rPr>
                      <w:rFonts w:hint="eastAsia" w:eastAsia="宋体"/>
                      <w:sz w:val="18"/>
                      <w:szCs w:val="18"/>
                      <w:lang w:val="en-US" w:eastAsia="zh-CN"/>
                    </w:rPr>
                  </w:pPr>
                  <w:r>
                    <w:rPr>
                      <w:rFonts w:hint="eastAsia"/>
                      <w:sz w:val="18"/>
                      <w:szCs w:val="18"/>
                      <w:lang w:val="en-US" w:eastAsia="zh-CN"/>
                    </w:rPr>
                    <w:t>8</w:t>
                  </w:r>
                </w:p>
              </w:tc>
              <w:tc>
                <w:tcPr>
                  <w:tcW w:w="545" w:type="pct"/>
                  <w:shd w:val="clear"/>
                  <w:vAlign w:val="center"/>
                </w:tcPr>
                <w:p w14:paraId="6550FAE8">
                  <w:pPr>
                    <w:pStyle w:val="55"/>
                    <w:spacing w:before="24" w:after="24"/>
                    <w:rPr>
                      <w:rFonts w:hint="eastAsia" w:ascii="宋体" w:hAnsi="Times New Roman" w:eastAsia="宋体" w:cs="Times New Roman"/>
                      <w:bCs/>
                      <w:kern w:val="2"/>
                      <w:sz w:val="18"/>
                      <w:szCs w:val="18"/>
                      <w:lang w:val="en-US" w:eastAsia="zh-CN" w:bidi="ar-SA"/>
                    </w:rPr>
                  </w:pPr>
                  <w:r>
                    <w:rPr>
                      <w:rFonts w:hint="eastAsia"/>
                      <w:bCs/>
                      <w:kern w:val="2"/>
                      <w:sz w:val="18"/>
                      <w:szCs w:val="18"/>
                      <w:lang w:val="en-US" w:eastAsia="zh-CN"/>
                    </w:rPr>
                    <w:t>废过滤介质</w:t>
                  </w:r>
                </w:p>
              </w:tc>
              <w:tc>
                <w:tcPr>
                  <w:tcW w:w="433" w:type="pct"/>
                  <w:shd w:val="clear"/>
                  <w:vAlign w:val="center"/>
                </w:tcPr>
                <w:p w14:paraId="449F6911">
                  <w:pPr>
                    <w:jc w:val="center"/>
                    <w:rPr>
                      <w:rFonts w:ascii="Times New Roman" w:hAnsi="Times New Roman" w:eastAsia="宋体" w:cs="Times New Roman"/>
                      <w:kern w:val="2"/>
                      <w:sz w:val="18"/>
                      <w:szCs w:val="18"/>
                      <w:lang w:val="en-US" w:eastAsia="zh-CN" w:bidi="ar-SA"/>
                    </w:rPr>
                  </w:pPr>
                  <w:r>
                    <w:rPr>
                      <w:sz w:val="18"/>
                      <w:szCs w:val="18"/>
                    </w:rPr>
                    <w:t>危险废物</w:t>
                  </w:r>
                </w:p>
              </w:tc>
              <w:tc>
                <w:tcPr>
                  <w:tcW w:w="639" w:type="pct"/>
                  <w:shd w:val="clear" w:color="auto" w:fill="auto"/>
                  <w:vAlign w:val="center"/>
                </w:tcPr>
                <w:p w14:paraId="21F3D0F8">
                  <w:pPr>
                    <w:pStyle w:val="55"/>
                    <w:spacing w:before="24" w:after="24"/>
                    <w:rPr>
                      <w:rFonts w:hint="eastAsia" w:ascii="宋体" w:hAnsi="Times New Roman" w:eastAsia="宋体" w:cs="Times New Roman"/>
                      <w:kern w:val="2"/>
                      <w:sz w:val="18"/>
                      <w:szCs w:val="18"/>
                      <w:lang w:val="en-US" w:eastAsia="zh-CN" w:bidi="ar-SA"/>
                    </w:rPr>
                  </w:pPr>
                  <w:r>
                    <w:rPr>
                      <w:rFonts w:hint="eastAsia"/>
                      <w:kern w:val="2"/>
                      <w:sz w:val="18"/>
                      <w:szCs w:val="18"/>
                      <w:lang w:val="en-US" w:eastAsia="zh-CN"/>
                    </w:rPr>
                    <w:t>废水处理</w:t>
                  </w:r>
                </w:p>
              </w:tc>
              <w:tc>
                <w:tcPr>
                  <w:tcW w:w="292" w:type="pct"/>
                  <w:shd w:val="clear" w:color="auto" w:fill="auto"/>
                  <w:vAlign w:val="center"/>
                </w:tcPr>
                <w:p w14:paraId="17D1886C">
                  <w:pPr>
                    <w:pStyle w:val="55"/>
                    <w:spacing w:before="24" w:after="24"/>
                    <w:rPr>
                      <w:rFonts w:ascii="宋体" w:hAnsi="Times New Roman" w:eastAsia="宋体" w:cs="Times New Roman"/>
                      <w:kern w:val="2"/>
                      <w:sz w:val="18"/>
                      <w:szCs w:val="18"/>
                      <w:lang w:val="en-US" w:eastAsia="zh-CN" w:bidi="ar-SA"/>
                    </w:rPr>
                  </w:pPr>
                  <w:r>
                    <w:rPr>
                      <w:kern w:val="2"/>
                      <w:sz w:val="18"/>
                      <w:szCs w:val="18"/>
                    </w:rPr>
                    <w:t>固态</w:t>
                  </w:r>
                </w:p>
              </w:tc>
              <w:tc>
                <w:tcPr>
                  <w:tcW w:w="637" w:type="pct"/>
                  <w:shd w:val="clear"/>
                  <w:vAlign w:val="center"/>
                </w:tcPr>
                <w:p w14:paraId="722F25F5">
                  <w:pPr>
                    <w:pStyle w:val="55"/>
                    <w:spacing w:before="24" w:after="24"/>
                    <w:rPr>
                      <w:rFonts w:hint="eastAsia" w:ascii="宋体" w:hAnsi="Times New Roman" w:eastAsia="宋体" w:cs="Times New Roman"/>
                      <w:kern w:val="2"/>
                      <w:sz w:val="18"/>
                      <w:szCs w:val="18"/>
                      <w:lang w:val="en-US" w:eastAsia="zh-CN" w:bidi="ar-SA"/>
                    </w:rPr>
                  </w:pPr>
                  <w:r>
                    <w:rPr>
                      <w:rFonts w:hint="eastAsia"/>
                      <w:kern w:val="2"/>
                      <w:sz w:val="18"/>
                      <w:szCs w:val="18"/>
                      <w:lang w:val="en-US" w:eastAsia="zh-CN"/>
                    </w:rPr>
                    <w:t>石英砂、活性炭</w:t>
                  </w:r>
                </w:p>
              </w:tc>
              <w:tc>
                <w:tcPr>
                  <w:tcW w:w="375" w:type="pct"/>
                  <w:shd w:val="clear"/>
                  <w:vAlign w:val="center"/>
                </w:tcPr>
                <w:p w14:paraId="73F7B683">
                  <w:pPr>
                    <w:jc w:val="center"/>
                    <w:rPr>
                      <w:rFonts w:hint="eastAsia" w:ascii="Times New Roman" w:hAnsi="Times New Roman" w:eastAsia="宋体" w:cs="Times New Roman"/>
                      <w:kern w:val="2"/>
                      <w:sz w:val="18"/>
                      <w:szCs w:val="18"/>
                      <w:lang w:val="en-US" w:eastAsia="zh-CN" w:bidi="ar-SA"/>
                    </w:rPr>
                  </w:pPr>
                  <w:r>
                    <w:rPr>
                      <w:sz w:val="18"/>
                      <w:szCs w:val="18"/>
                    </w:rPr>
                    <w:t>T/C/I/R</w:t>
                  </w:r>
                </w:p>
              </w:tc>
              <w:tc>
                <w:tcPr>
                  <w:tcW w:w="301" w:type="pct"/>
                  <w:shd w:val="clear"/>
                  <w:vAlign w:val="center"/>
                </w:tcPr>
                <w:p w14:paraId="335F89CF">
                  <w:pPr>
                    <w:widowControl/>
                    <w:adjustRightInd w:val="0"/>
                    <w:snapToGrid w:val="0"/>
                    <w:jc w:val="center"/>
                    <w:rPr>
                      <w:rFonts w:hint="eastAsia" w:ascii="Times New Roman" w:hAnsi="Times New Roman" w:eastAsia="宋体" w:cs="Times New Roman"/>
                      <w:kern w:val="2"/>
                      <w:sz w:val="18"/>
                      <w:szCs w:val="18"/>
                      <w:lang w:val="en-US" w:eastAsia="zh-CN" w:bidi="ar-SA"/>
                    </w:rPr>
                  </w:pPr>
                  <w:r>
                    <w:rPr>
                      <w:rFonts w:hint="eastAsia"/>
                      <w:sz w:val="18"/>
                      <w:szCs w:val="18"/>
                    </w:rPr>
                    <w:t>HW49</w:t>
                  </w:r>
                </w:p>
              </w:tc>
              <w:tc>
                <w:tcPr>
                  <w:tcW w:w="645" w:type="pct"/>
                  <w:shd w:val="clear"/>
                  <w:vAlign w:val="center"/>
                </w:tcPr>
                <w:p w14:paraId="3B0B75D5">
                  <w:pPr>
                    <w:widowControl/>
                    <w:adjustRightInd w:val="0"/>
                    <w:snapToGrid w:val="0"/>
                    <w:jc w:val="center"/>
                    <w:rPr>
                      <w:rFonts w:ascii="Times New Roman" w:hAnsi="Times New Roman" w:eastAsia="宋体" w:cs="Times New Roman"/>
                      <w:kern w:val="2"/>
                      <w:sz w:val="18"/>
                      <w:szCs w:val="18"/>
                      <w:lang w:val="en-US" w:eastAsia="zh-CN" w:bidi="ar-SA"/>
                    </w:rPr>
                  </w:pPr>
                  <w:r>
                    <w:rPr>
                      <w:sz w:val="18"/>
                      <w:szCs w:val="18"/>
                    </w:rPr>
                    <w:t>900-047-49</w:t>
                  </w:r>
                </w:p>
              </w:tc>
              <w:tc>
                <w:tcPr>
                  <w:tcW w:w="408" w:type="pct"/>
                  <w:vAlign w:val="center"/>
                </w:tcPr>
                <w:p w14:paraId="6BBA6524">
                  <w:pPr>
                    <w:jc w:val="center"/>
                    <w:rPr>
                      <w:rFonts w:hint="default" w:eastAsia="宋体"/>
                      <w:sz w:val="18"/>
                      <w:szCs w:val="18"/>
                      <w:lang w:val="en-US" w:eastAsia="zh-CN"/>
                    </w:rPr>
                  </w:pPr>
                  <w:r>
                    <w:rPr>
                      <w:rFonts w:hint="eastAsia"/>
                      <w:sz w:val="18"/>
                      <w:szCs w:val="18"/>
                      <w:lang w:val="en-US" w:eastAsia="zh-CN"/>
                    </w:rPr>
                    <w:t>0.1</w:t>
                  </w:r>
                </w:p>
              </w:tc>
              <w:tc>
                <w:tcPr>
                  <w:tcW w:w="488" w:type="pct"/>
                  <w:vMerge w:val="continue"/>
                  <w:tcBorders/>
                  <w:vAlign w:val="center"/>
                </w:tcPr>
                <w:p w14:paraId="3186CB2E">
                  <w:pPr>
                    <w:jc w:val="center"/>
                    <w:rPr>
                      <w:sz w:val="18"/>
                      <w:szCs w:val="18"/>
                    </w:rPr>
                  </w:pPr>
                </w:p>
              </w:tc>
            </w:tr>
            <w:tr w14:paraId="65D72F2A">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0" w:type="dxa"/>
                  <w:bottom w:w="0" w:type="dxa"/>
                  <w:right w:w="0" w:type="dxa"/>
                </w:tblCellMar>
              </w:tblPrEx>
              <w:trPr>
                <w:trHeight w:val="398" w:hRule="atLeast"/>
                <w:jc w:val="center"/>
              </w:trPr>
              <w:tc>
                <w:tcPr>
                  <w:tcW w:w="233" w:type="pct"/>
                  <w:vAlign w:val="center"/>
                </w:tcPr>
                <w:p w14:paraId="01CC0DF1">
                  <w:pPr>
                    <w:jc w:val="center"/>
                    <w:rPr>
                      <w:rFonts w:hint="eastAsia" w:eastAsia="宋体"/>
                      <w:sz w:val="18"/>
                      <w:szCs w:val="18"/>
                      <w:lang w:val="en-US" w:eastAsia="zh-CN"/>
                    </w:rPr>
                  </w:pPr>
                  <w:r>
                    <w:rPr>
                      <w:rFonts w:hint="eastAsia"/>
                      <w:sz w:val="18"/>
                      <w:szCs w:val="18"/>
                      <w:lang w:val="en-US" w:eastAsia="zh-CN"/>
                    </w:rPr>
                    <w:t>9</w:t>
                  </w:r>
                </w:p>
              </w:tc>
              <w:tc>
                <w:tcPr>
                  <w:tcW w:w="545" w:type="pct"/>
                  <w:vAlign w:val="center"/>
                </w:tcPr>
                <w:p w14:paraId="0C3F865C">
                  <w:pPr>
                    <w:jc w:val="center"/>
                    <w:rPr>
                      <w:sz w:val="18"/>
                      <w:szCs w:val="18"/>
                    </w:rPr>
                  </w:pPr>
                  <w:r>
                    <w:rPr>
                      <w:sz w:val="18"/>
                      <w:szCs w:val="18"/>
                    </w:rPr>
                    <w:t>生活垃圾</w:t>
                  </w:r>
                </w:p>
              </w:tc>
              <w:tc>
                <w:tcPr>
                  <w:tcW w:w="433" w:type="pct"/>
                  <w:vAlign w:val="center"/>
                </w:tcPr>
                <w:p w14:paraId="7C12268D">
                  <w:pPr>
                    <w:jc w:val="center"/>
                    <w:rPr>
                      <w:sz w:val="18"/>
                      <w:szCs w:val="18"/>
                    </w:rPr>
                  </w:pPr>
                  <w:r>
                    <w:rPr>
                      <w:sz w:val="18"/>
                      <w:szCs w:val="18"/>
                    </w:rPr>
                    <w:t>/</w:t>
                  </w:r>
                </w:p>
              </w:tc>
              <w:tc>
                <w:tcPr>
                  <w:tcW w:w="639" w:type="pct"/>
                  <w:vAlign w:val="center"/>
                </w:tcPr>
                <w:p w14:paraId="5F5DE9B8">
                  <w:pPr>
                    <w:jc w:val="center"/>
                    <w:rPr>
                      <w:sz w:val="18"/>
                      <w:szCs w:val="18"/>
                    </w:rPr>
                  </w:pPr>
                  <w:r>
                    <w:rPr>
                      <w:sz w:val="18"/>
                      <w:szCs w:val="18"/>
                    </w:rPr>
                    <w:t>办公生活</w:t>
                  </w:r>
                </w:p>
              </w:tc>
              <w:tc>
                <w:tcPr>
                  <w:tcW w:w="292" w:type="pct"/>
                  <w:vAlign w:val="center"/>
                </w:tcPr>
                <w:p w14:paraId="30DC282A">
                  <w:pPr>
                    <w:jc w:val="center"/>
                    <w:rPr>
                      <w:sz w:val="18"/>
                      <w:szCs w:val="18"/>
                    </w:rPr>
                  </w:pPr>
                  <w:r>
                    <w:rPr>
                      <w:sz w:val="18"/>
                      <w:szCs w:val="18"/>
                    </w:rPr>
                    <w:t>固态</w:t>
                  </w:r>
                </w:p>
              </w:tc>
              <w:tc>
                <w:tcPr>
                  <w:tcW w:w="637" w:type="pct"/>
                  <w:vAlign w:val="center"/>
                </w:tcPr>
                <w:p w14:paraId="08FD9174">
                  <w:pPr>
                    <w:jc w:val="center"/>
                    <w:rPr>
                      <w:sz w:val="18"/>
                      <w:szCs w:val="18"/>
                    </w:rPr>
                  </w:pPr>
                  <w:r>
                    <w:rPr>
                      <w:sz w:val="18"/>
                      <w:szCs w:val="18"/>
                    </w:rPr>
                    <w:t>纸屑、果皮等</w:t>
                  </w:r>
                </w:p>
              </w:tc>
              <w:tc>
                <w:tcPr>
                  <w:tcW w:w="375" w:type="pct"/>
                  <w:vAlign w:val="center"/>
                </w:tcPr>
                <w:p w14:paraId="02C1B97B">
                  <w:pPr>
                    <w:jc w:val="center"/>
                    <w:rPr>
                      <w:sz w:val="18"/>
                      <w:szCs w:val="18"/>
                    </w:rPr>
                  </w:pPr>
                  <w:r>
                    <w:rPr>
                      <w:rFonts w:hint="eastAsia"/>
                      <w:sz w:val="18"/>
                      <w:szCs w:val="18"/>
                    </w:rPr>
                    <w:t>/</w:t>
                  </w:r>
                </w:p>
              </w:tc>
              <w:tc>
                <w:tcPr>
                  <w:tcW w:w="301" w:type="pct"/>
                  <w:vAlign w:val="center"/>
                </w:tcPr>
                <w:p w14:paraId="5CF548D9">
                  <w:pPr>
                    <w:jc w:val="center"/>
                    <w:rPr>
                      <w:sz w:val="18"/>
                      <w:szCs w:val="18"/>
                    </w:rPr>
                  </w:pPr>
                  <w:r>
                    <w:rPr>
                      <w:sz w:val="18"/>
                      <w:szCs w:val="18"/>
                    </w:rPr>
                    <w:t xml:space="preserve">SW62 </w:t>
                  </w:r>
                  <w:r>
                    <w:rPr>
                      <w:rFonts w:hint="eastAsia"/>
                      <w:sz w:val="18"/>
                      <w:szCs w:val="18"/>
                    </w:rPr>
                    <w:t xml:space="preserve"> </w:t>
                  </w:r>
                </w:p>
                <w:p w14:paraId="48F88A45">
                  <w:pPr>
                    <w:jc w:val="center"/>
                    <w:rPr>
                      <w:sz w:val="18"/>
                      <w:szCs w:val="18"/>
                    </w:rPr>
                  </w:pPr>
                  <w:r>
                    <w:rPr>
                      <w:sz w:val="18"/>
                      <w:szCs w:val="18"/>
                    </w:rPr>
                    <w:t>SW64</w:t>
                  </w:r>
                </w:p>
              </w:tc>
              <w:tc>
                <w:tcPr>
                  <w:tcW w:w="645" w:type="pct"/>
                  <w:vAlign w:val="center"/>
                </w:tcPr>
                <w:p w14:paraId="01DD56F5">
                  <w:pPr>
                    <w:jc w:val="center"/>
                    <w:rPr>
                      <w:sz w:val="18"/>
                      <w:szCs w:val="18"/>
                    </w:rPr>
                  </w:pPr>
                  <w:r>
                    <w:rPr>
                      <w:sz w:val="18"/>
                      <w:szCs w:val="18"/>
                    </w:rPr>
                    <w:t xml:space="preserve">900-001-S62 </w:t>
                  </w:r>
                </w:p>
                <w:p w14:paraId="235D98F9">
                  <w:pPr>
                    <w:jc w:val="center"/>
                    <w:rPr>
                      <w:sz w:val="18"/>
                      <w:szCs w:val="18"/>
                    </w:rPr>
                  </w:pPr>
                  <w:r>
                    <w:rPr>
                      <w:sz w:val="18"/>
                      <w:szCs w:val="18"/>
                    </w:rPr>
                    <w:t xml:space="preserve">900-002-S62 </w:t>
                  </w:r>
                </w:p>
                <w:p w14:paraId="58C24321">
                  <w:pPr>
                    <w:jc w:val="center"/>
                    <w:rPr>
                      <w:sz w:val="18"/>
                      <w:szCs w:val="18"/>
                    </w:rPr>
                  </w:pPr>
                  <w:r>
                    <w:rPr>
                      <w:sz w:val="18"/>
                      <w:szCs w:val="18"/>
                    </w:rPr>
                    <w:t>900-002-S64</w:t>
                  </w:r>
                </w:p>
              </w:tc>
              <w:tc>
                <w:tcPr>
                  <w:tcW w:w="408" w:type="pct"/>
                  <w:vAlign w:val="center"/>
                </w:tcPr>
                <w:p w14:paraId="2F961C16">
                  <w:pPr>
                    <w:jc w:val="center"/>
                    <w:rPr>
                      <w:sz w:val="18"/>
                      <w:szCs w:val="18"/>
                    </w:rPr>
                  </w:pPr>
                  <w:r>
                    <w:rPr>
                      <w:rFonts w:hint="eastAsia"/>
                      <w:sz w:val="18"/>
                      <w:szCs w:val="18"/>
                    </w:rPr>
                    <w:t>1.25</w:t>
                  </w:r>
                </w:p>
              </w:tc>
              <w:tc>
                <w:tcPr>
                  <w:tcW w:w="488" w:type="pct"/>
                  <w:vAlign w:val="center"/>
                </w:tcPr>
                <w:p w14:paraId="2CC03C54">
                  <w:pPr>
                    <w:jc w:val="center"/>
                    <w:rPr>
                      <w:sz w:val="18"/>
                      <w:szCs w:val="18"/>
                    </w:rPr>
                  </w:pPr>
                  <w:r>
                    <w:rPr>
                      <w:sz w:val="18"/>
                      <w:szCs w:val="18"/>
                    </w:rPr>
                    <w:t>环卫清运</w:t>
                  </w:r>
                </w:p>
              </w:tc>
            </w:tr>
          </w:tbl>
          <w:p w14:paraId="0B39577F">
            <w:pPr>
              <w:adjustRightInd w:val="0"/>
              <w:snapToGrid w:val="0"/>
              <w:spacing w:before="120" w:line="360" w:lineRule="auto"/>
              <w:ind w:firstLine="420" w:firstLineChars="200"/>
              <w:rPr>
                <w:szCs w:val="21"/>
              </w:rPr>
            </w:pPr>
            <w:r>
              <w:rPr>
                <w:szCs w:val="21"/>
              </w:rPr>
              <w:t>本项目运营期危险废物统计情况汇总如下。</w:t>
            </w:r>
          </w:p>
          <w:p w14:paraId="56FD4A8D">
            <w:pPr>
              <w:jc w:val="center"/>
              <w:rPr>
                <w:b/>
                <w:szCs w:val="21"/>
              </w:rPr>
            </w:pPr>
          </w:p>
          <w:p w14:paraId="154878E5">
            <w:pPr>
              <w:jc w:val="center"/>
              <w:rPr>
                <w:b/>
                <w:szCs w:val="21"/>
              </w:rPr>
            </w:pPr>
          </w:p>
          <w:p w14:paraId="77E70AD3">
            <w:pPr>
              <w:jc w:val="center"/>
              <w:rPr>
                <w:b/>
                <w:szCs w:val="21"/>
              </w:rPr>
            </w:pPr>
          </w:p>
          <w:p w14:paraId="258D5383">
            <w:pPr>
              <w:jc w:val="center"/>
              <w:rPr>
                <w:b/>
                <w:szCs w:val="21"/>
              </w:rPr>
            </w:pPr>
          </w:p>
          <w:p w14:paraId="31DE5291">
            <w:pPr>
              <w:jc w:val="center"/>
              <w:rPr>
                <w:b/>
                <w:szCs w:val="21"/>
              </w:rPr>
            </w:pPr>
            <w:r>
              <w:rPr>
                <w:b/>
                <w:szCs w:val="21"/>
              </w:rPr>
              <w:t>表4-2</w:t>
            </w:r>
            <w:r>
              <w:rPr>
                <w:rFonts w:hint="eastAsia"/>
                <w:b/>
                <w:szCs w:val="21"/>
                <w:lang w:val="en-US" w:eastAsia="zh-CN"/>
              </w:rPr>
              <w:t>6</w:t>
            </w:r>
            <w:r>
              <w:rPr>
                <w:b/>
                <w:szCs w:val="21"/>
              </w:rPr>
              <w:t>本项目危险废物汇总表</w:t>
            </w:r>
          </w:p>
          <w:tbl>
            <w:tblPr>
              <w:tblStyle w:val="23"/>
              <w:tblW w:w="491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305"/>
              <w:gridCol w:w="1071"/>
              <w:gridCol w:w="686"/>
              <w:gridCol w:w="927"/>
              <w:gridCol w:w="866"/>
              <w:gridCol w:w="944"/>
              <w:gridCol w:w="608"/>
              <w:gridCol w:w="653"/>
              <w:gridCol w:w="717"/>
              <w:gridCol w:w="530"/>
              <w:gridCol w:w="507"/>
              <w:gridCol w:w="328"/>
              <w:gridCol w:w="512"/>
            </w:tblGrid>
            <w:tr w14:paraId="0FCFE3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176" w:type="pct"/>
                  <w:vMerge w:val="restart"/>
                  <w:vAlign w:val="center"/>
                </w:tcPr>
                <w:p w14:paraId="39125DB1">
                  <w:pPr>
                    <w:widowControl/>
                    <w:jc w:val="center"/>
                    <w:rPr>
                      <w:b/>
                      <w:bCs/>
                      <w:sz w:val="18"/>
                      <w:szCs w:val="18"/>
                    </w:rPr>
                  </w:pPr>
                  <w:r>
                    <w:rPr>
                      <w:b/>
                      <w:bCs/>
                      <w:sz w:val="18"/>
                      <w:szCs w:val="18"/>
                    </w:rPr>
                    <w:t>序号</w:t>
                  </w:r>
                </w:p>
              </w:tc>
              <w:tc>
                <w:tcPr>
                  <w:tcW w:w="618" w:type="pct"/>
                  <w:vMerge w:val="restart"/>
                  <w:vAlign w:val="center"/>
                </w:tcPr>
                <w:p w14:paraId="10A1210D">
                  <w:pPr>
                    <w:widowControl/>
                    <w:jc w:val="center"/>
                    <w:rPr>
                      <w:b/>
                      <w:bCs/>
                      <w:sz w:val="18"/>
                      <w:szCs w:val="18"/>
                    </w:rPr>
                  </w:pPr>
                  <w:r>
                    <w:rPr>
                      <w:b/>
                      <w:bCs/>
                      <w:sz w:val="18"/>
                      <w:szCs w:val="18"/>
                    </w:rPr>
                    <w:t>危险废物名称</w:t>
                  </w:r>
                </w:p>
              </w:tc>
              <w:tc>
                <w:tcPr>
                  <w:tcW w:w="396" w:type="pct"/>
                  <w:vMerge w:val="restart"/>
                  <w:vAlign w:val="center"/>
                </w:tcPr>
                <w:p w14:paraId="107DA9B8">
                  <w:pPr>
                    <w:widowControl/>
                    <w:jc w:val="center"/>
                    <w:rPr>
                      <w:b/>
                      <w:bCs/>
                      <w:sz w:val="18"/>
                      <w:szCs w:val="18"/>
                    </w:rPr>
                  </w:pPr>
                  <w:r>
                    <w:rPr>
                      <w:b/>
                      <w:bCs/>
                      <w:sz w:val="18"/>
                      <w:szCs w:val="18"/>
                    </w:rPr>
                    <w:t>危险废物类别</w:t>
                  </w:r>
                </w:p>
              </w:tc>
              <w:tc>
                <w:tcPr>
                  <w:tcW w:w="532" w:type="pct"/>
                  <w:vMerge w:val="restart"/>
                  <w:vAlign w:val="center"/>
                </w:tcPr>
                <w:p w14:paraId="3FE4C1F3">
                  <w:pPr>
                    <w:widowControl/>
                    <w:jc w:val="center"/>
                    <w:rPr>
                      <w:b/>
                      <w:bCs/>
                      <w:sz w:val="18"/>
                      <w:szCs w:val="18"/>
                    </w:rPr>
                  </w:pPr>
                  <w:r>
                    <w:rPr>
                      <w:b/>
                      <w:bCs/>
                      <w:sz w:val="18"/>
                      <w:szCs w:val="18"/>
                    </w:rPr>
                    <w:t>废物代码</w:t>
                  </w:r>
                </w:p>
              </w:tc>
              <w:tc>
                <w:tcPr>
                  <w:tcW w:w="500" w:type="pct"/>
                  <w:vMerge w:val="restart"/>
                  <w:vAlign w:val="center"/>
                </w:tcPr>
                <w:p w14:paraId="45F15368">
                  <w:pPr>
                    <w:widowControl/>
                    <w:jc w:val="center"/>
                    <w:rPr>
                      <w:b/>
                      <w:bCs/>
                      <w:sz w:val="18"/>
                      <w:szCs w:val="18"/>
                    </w:rPr>
                  </w:pPr>
                  <w:r>
                    <w:rPr>
                      <w:b/>
                      <w:bCs/>
                      <w:sz w:val="18"/>
                      <w:szCs w:val="18"/>
                    </w:rPr>
                    <w:t>产生量（t/a）</w:t>
                  </w:r>
                </w:p>
              </w:tc>
              <w:tc>
                <w:tcPr>
                  <w:tcW w:w="545" w:type="pct"/>
                  <w:vMerge w:val="restart"/>
                  <w:vAlign w:val="center"/>
                </w:tcPr>
                <w:p w14:paraId="5619853C">
                  <w:pPr>
                    <w:widowControl/>
                    <w:jc w:val="center"/>
                    <w:rPr>
                      <w:b/>
                      <w:bCs/>
                      <w:sz w:val="18"/>
                      <w:szCs w:val="18"/>
                    </w:rPr>
                  </w:pPr>
                  <w:r>
                    <w:rPr>
                      <w:b/>
                      <w:bCs/>
                      <w:sz w:val="18"/>
                      <w:szCs w:val="18"/>
                    </w:rPr>
                    <w:t>产生工序</w:t>
                  </w:r>
                </w:p>
              </w:tc>
              <w:tc>
                <w:tcPr>
                  <w:tcW w:w="351" w:type="pct"/>
                  <w:vMerge w:val="restart"/>
                  <w:vAlign w:val="center"/>
                </w:tcPr>
                <w:p w14:paraId="2C194170">
                  <w:pPr>
                    <w:widowControl/>
                    <w:jc w:val="center"/>
                    <w:rPr>
                      <w:b/>
                      <w:bCs/>
                      <w:sz w:val="18"/>
                      <w:szCs w:val="18"/>
                    </w:rPr>
                  </w:pPr>
                  <w:r>
                    <w:rPr>
                      <w:b/>
                      <w:bCs/>
                      <w:sz w:val="18"/>
                      <w:szCs w:val="18"/>
                    </w:rPr>
                    <w:t>形态</w:t>
                  </w:r>
                </w:p>
              </w:tc>
              <w:tc>
                <w:tcPr>
                  <w:tcW w:w="377" w:type="pct"/>
                  <w:vMerge w:val="restart"/>
                  <w:vAlign w:val="center"/>
                </w:tcPr>
                <w:p w14:paraId="404EAB25">
                  <w:pPr>
                    <w:widowControl/>
                    <w:jc w:val="center"/>
                    <w:rPr>
                      <w:b/>
                      <w:bCs/>
                      <w:sz w:val="18"/>
                      <w:szCs w:val="18"/>
                    </w:rPr>
                  </w:pPr>
                  <w:r>
                    <w:rPr>
                      <w:b/>
                      <w:bCs/>
                      <w:sz w:val="18"/>
                      <w:szCs w:val="18"/>
                    </w:rPr>
                    <w:t>主要</w:t>
                  </w:r>
                </w:p>
                <w:p w14:paraId="5FF03C14">
                  <w:pPr>
                    <w:widowControl/>
                    <w:jc w:val="center"/>
                    <w:rPr>
                      <w:b/>
                      <w:bCs/>
                      <w:sz w:val="18"/>
                      <w:szCs w:val="18"/>
                    </w:rPr>
                  </w:pPr>
                  <w:r>
                    <w:rPr>
                      <w:b/>
                      <w:bCs/>
                      <w:sz w:val="18"/>
                      <w:szCs w:val="18"/>
                    </w:rPr>
                    <w:t>成分</w:t>
                  </w:r>
                </w:p>
              </w:tc>
              <w:tc>
                <w:tcPr>
                  <w:tcW w:w="414" w:type="pct"/>
                  <w:vMerge w:val="restart"/>
                  <w:vAlign w:val="center"/>
                </w:tcPr>
                <w:p w14:paraId="1E3DB5AB">
                  <w:pPr>
                    <w:widowControl/>
                    <w:jc w:val="center"/>
                    <w:rPr>
                      <w:b/>
                      <w:bCs/>
                      <w:sz w:val="18"/>
                      <w:szCs w:val="18"/>
                    </w:rPr>
                  </w:pPr>
                  <w:r>
                    <w:rPr>
                      <w:b/>
                      <w:bCs/>
                      <w:sz w:val="18"/>
                      <w:szCs w:val="18"/>
                    </w:rPr>
                    <w:t>危险特性</w:t>
                  </w:r>
                </w:p>
                <w:p w14:paraId="406F11E6">
                  <w:pPr>
                    <w:widowControl/>
                    <w:jc w:val="center"/>
                    <w:rPr>
                      <w:b/>
                      <w:bCs/>
                      <w:sz w:val="18"/>
                      <w:szCs w:val="18"/>
                    </w:rPr>
                  </w:pPr>
                </w:p>
              </w:tc>
              <w:tc>
                <w:tcPr>
                  <w:tcW w:w="306" w:type="pct"/>
                  <w:vMerge w:val="restart"/>
                  <w:vAlign w:val="center"/>
                </w:tcPr>
                <w:p w14:paraId="000E87EA">
                  <w:pPr>
                    <w:widowControl/>
                    <w:jc w:val="center"/>
                    <w:rPr>
                      <w:b/>
                      <w:bCs/>
                      <w:sz w:val="18"/>
                      <w:szCs w:val="18"/>
                    </w:rPr>
                  </w:pPr>
                  <w:r>
                    <w:rPr>
                      <w:rFonts w:hint="eastAsia"/>
                      <w:b/>
                      <w:bCs/>
                      <w:sz w:val="18"/>
                      <w:szCs w:val="18"/>
                    </w:rPr>
                    <w:t>环境风险分级</w:t>
                  </w:r>
                </w:p>
              </w:tc>
              <w:tc>
                <w:tcPr>
                  <w:tcW w:w="776" w:type="pct"/>
                  <w:gridSpan w:val="3"/>
                  <w:tcBorders>
                    <w:bottom w:val="single" w:color="000000" w:sz="4" w:space="0"/>
                  </w:tcBorders>
                  <w:vAlign w:val="center"/>
                </w:tcPr>
                <w:p w14:paraId="4880C9F0">
                  <w:pPr>
                    <w:widowControl/>
                    <w:jc w:val="center"/>
                    <w:rPr>
                      <w:b/>
                      <w:bCs/>
                      <w:sz w:val="18"/>
                      <w:szCs w:val="18"/>
                    </w:rPr>
                  </w:pPr>
                  <w:r>
                    <w:rPr>
                      <w:rFonts w:hint="eastAsia"/>
                      <w:b/>
                      <w:bCs/>
                      <w:sz w:val="18"/>
                      <w:szCs w:val="18"/>
                    </w:rPr>
                    <w:t xml:space="preserve">危险废物等级 </w:t>
                  </w:r>
                </w:p>
              </w:tc>
            </w:tr>
            <w:tr w14:paraId="005ED6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176" w:type="pct"/>
                  <w:vMerge w:val="continue"/>
                  <w:vAlign w:val="center"/>
                </w:tcPr>
                <w:p w14:paraId="354F72F6">
                  <w:pPr>
                    <w:widowControl/>
                    <w:jc w:val="center"/>
                    <w:rPr>
                      <w:b/>
                      <w:bCs/>
                      <w:sz w:val="18"/>
                      <w:szCs w:val="18"/>
                    </w:rPr>
                  </w:pPr>
                </w:p>
              </w:tc>
              <w:tc>
                <w:tcPr>
                  <w:tcW w:w="618" w:type="pct"/>
                  <w:vMerge w:val="continue"/>
                  <w:vAlign w:val="center"/>
                </w:tcPr>
                <w:p w14:paraId="43FA227B">
                  <w:pPr>
                    <w:widowControl/>
                    <w:jc w:val="center"/>
                    <w:rPr>
                      <w:b/>
                      <w:bCs/>
                      <w:sz w:val="18"/>
                      <w:szCs w:val="18"/>
                    </w:rPr>
                  </w:pPr>
                </w:p>
              </w:tc>
              <w:tc>
                <w:tcPr>
                  <w:tcW w:w="396" w:type="pct"/>
                  <w:vMerge w:val="continue"/>
                  <w:vAlign w:val="center"/>
                </w:tcPr>
                <w:p w14:paraId="6E099DBA">
                  <w:pPr>
                    <w:widowControl/>
                    <w:jc w:val="center"/>
                    <w:rPr>
                      <w:b/>
                      <w:bCs/>
                      <w:sz w:val="18"/>
                      <w:szCs w:val="18"/>
                    </w:rPr>
                  </w:pPr>
                </w:p>
              </w:tc>
              <w:tc>
                <w:tcPr>
                  <w:tcW w:w="532" w:type="pct"/>
                  <w:vMerge w:val="continue"/>
                  <w:vAlign w:val="center"/>
                </w:tcPr>
                <w:p w14:paraId="01F4C8A2">
                  <w:pPr>
                    <w:widowControl/>
                    <w:jc w:val="center"/>
                    <w:rPr>
                      <w:b/>
                      <w:bCs/>
                      <w:sz w:val="18"/>
                      <w:szCs w:val="18"/>
                    </w:rPr>
                  </w:pPr>
                </w:p>
              </w:tc>
              <w:tc>
                <w:tcPr>
                  <w:tcW w:w="500" w:type="pct"/>
                  <w:vMerge w:val="continue"/>
                  <w:vAlign w:val="center"/>
                </w:tcPr>
                <w:p w14:paraId="26C19D3C">
                  <w:pPr>
                    <w:widowControl/>
                    <w:jc w:val="center"/>
                    <w:rPr>
                      <w:b/>
                      <w:bCs/>
                      <w:sz w:val="18"/>
                      <w:szCs w:val="18"/>
                    </w:rPr>
                  </w:pPr>
                </w:p>
              </w:tc>
              <w:tc>
                <w:tcPr>
                  <w:tcW w:w="545" w:type="pct"/>
                  <w:vMerge w:val="continue"/>
                  <w:vAlign w:val="center"/>
                </w:tcPr>
                <w:p w14:paraId="6CB9CAFB">
                  <w:pPr>
                    <w:widowControl/>
                    <w:jc w:val="center"/>
                    <w:rPr>
                      <w:b/>
                      <w:bCs/>
                      <w:sz w:val="18"/>
                      <w:szCs w:val="18"/>
                    </w:rPr>
                  </w:pPr>
                </w:p>
              </w:tc>
              <w:tc>
                <w:tcPr>
                  <w:tcW w:w="351" w:type="pct"/>
                  <w:vMerge w:val="continue"/>
                  <w:vAlign w:val="center"/>
                </w:tcPr>
                <w:p w14:paraId="2EACFB44">
                  <w:pPr>
                    <w:widowControl/>
                    <w:jc w:val="center"/>
                    <w:rPr>
                      <w:b/>
                      <w:bCs/>
                      <w:sz w:val="18"/>
                      <w:szCs w:val="18"/>
                    </w:rPr>
                  </w:pPr>
                </w:p>
              </w:tc>
              <w:tc>
                <w:tcPr>
                  <w:tcW w:w="377" w:type="pct"/>
                  <w:vMerge w:val="continue"/>
                  <w:vAlign w:val="center"/>
                </w:tcPr>
                <w:p w14:paraId="3D3031C0">
                  <w:pPr>
                    <w:widowControl/>
                    <w:jc w:val="center"/>
                    <w:rPr>
                      <w:b/>
                      <w:bCs/>
                      <w:sz w:val="18"/>
                      <w:szCs w:val="18"/>
                    </w:rPr>
                  </w:pPr>
                </w:p>
              </w:tc>
              <w:tc>
                <w:tcPr>
                  <w:tcW w:w="414" w:type="pct"/>
                  <w:vMerge w:val="continue"/>
                  <w:vAlign w:val="center"/>
                </w:tcPr>
                <w:p w14:paraId="7CF1689D">
                  <w:pPr>
                    <w:widowControl/>
                    <w:jc w:val="center"/>
                    <w:rPr>
                      <w:b/>
                      <w:bCs/>
                      <w:sz w:val="18"/>
                      <w:szCs w:val="18"/>
                    </w:rPr>
                  </w:pPr>
                </w:p>
              </w:tc>
              <w:tc>
                <w:tcPr>
                  <w:tcW w:w="306" w:type="pct"/>
                  <w:vMerge w:val="continue"/>
                  <w:vAlign w:val="center"/>
                </w:tcPr>
                <w:p w14:paraId="54475561">
                  <w:pPr>
                    <w:widowControl/>
                    <w:jc w:val="center"/>
                    <w:rPr>
                      <w:b/>
                      <w:bCs/>
                      <w:sz w:val="18"/>
                      <w:szCs w:val="18"/>
                    </w:rPr>
                  </w:pPr>
                </w:p>
              </w:tc>
              <w:tc>
                <w:tcPr>
                  <w:tcW w:w="292" w:type="pct"/>
                  <w:tcBorders>
                    <w:top w:val="single" w:color="000000" w:sz="4" w:space="0"/>
                  </w:tcBorders>
                  <w:vAlign w:val="center"/>
                </w:tcPr>
                <w:p w14:paraId="4FA35E4D">
                  <w:pPr>
                    <w:widowControl/>
                    <w:jc w:val="center"/>
                    <w:rPr>
                      <w:b/>
                      <w:bCs/>
                      <w:sz w:val="18"/>
                      <w:szCs w:val="18"/>
                    </w:rPr>
                  </w:pPr>
                  <w:r>
                    <w:rPr>
                      <w:b/>
                      <w:bCs/>
                      <w:sz w:val="18"/>
                      <w:szCs w:val="18"/>
                    </w:rPr>
                    <w:fldChar w:fldCharType="begin"/>
                  </w:r>
                  <w:r>
                    <w:rPr>
                      <w:b/>
                      <w:bCs/>
                      <w:sz w:val="18"/>
                      <w:szCs w:val="18"/>
                    </w:rPr>
                    <w:instrText xml:space="preserve"> = 1 \* ROMAN \* MERGEFORMAT </w:instrText>
                  </w:r>
                  <w:r>
                    <w:rPr>
                      <w:b/>
                      <w:bCs/>
                      <w:sz w:val="18"/>
                      <w:szCs w:val="18"/>
                    </w:rPr>
                    <w:fldChar w:fldCharType="separate"/>
                  </w:r>
                  <w:r>
                    <w:rPr>
                      <w:b/>
                      <w:bCs/>
                      <w:sz w:val="18"/>
                      <w:szCs w:val="18"/>
                    </w:rPr>
                    <w:t>I</w:t>
                  </w:r>
                  <w:r>
                    <w:rPr>
                      <w:b/>
                      <w:bCs/>
                      <w:sz w:val="18"/>
                      <w:szCs w:val="18"/>
                    </w:rPr>
                    <w:fldChar w:fldCharType="end"/>
                  </w:r>
                </w:p>
              </w:tc>
              <w:tc>
                <w:tcPr>
                  <w:tcW w:w="189" w:type="pct"/>
                  <w:tcBorders>
                    <w:top w:val="single" w:color="000000" w:sz="4" w:space="0"/>
                    <w:right w:val="single" w:color="000000" w:sz="4" w:space="0"/>
                  </w:tcBorders>
                  <w:vAlign w:val="center"/>
                </w:tcPr>
                <w:p w14:paraId="496597AC">
                  <w:pPr>
                    <w:widowControl/>
                    <w:jc w:val="center"/>
                    <w:rPr>
                      <w:b/>
                      <w:bCs/>
                      <w:sz w:val="18"/>
                      <w:szCs w:val="18"/>
                    </w:rPr>
                  </w:pPr>
                  <w:r>
                    <w:rPr>
                      <w:rFonts w:hint="eastAsia" w:ascii="微软雅黑" w:hAnsi="微软雅黑" w:eastAsia="微软雅黑" w:cs="微软雅黑"/>
                      <w:b/>
                      <w:bCs/>
                      <w:sz w:val="18"/>
                      <w:szCs w:val="18"/>
                    </w:rPr>
                    <w:t>Ⅱ</w:t>
                  </w:r>
                </w:p>
              </w:tc>
              <w:tc>
                <w:tcPr>
                  <w:tcW w:w="294" w:type="pct"/>
                  <w:tcBorders>
                    <w:top w:val="single" w:color="000000" w:sz="4" w:space="0"/>
                    <w:left w:val="single" w:color="000000" w:sz="4" w:space="0"/>
                  </w:tcBorders>
                  <w:vAlign w:val="center"/>
                </w:tcPr>
                <w:p w14:paraId="59788A4F">
                  <w:pPr>
                    <w:widowControl/>
                    <w:jc w:val="center"/>
                    <w:rPr>
                      <w:b/>
                      <w:bCs/>
                      <w:sz w:val="18"/>
                      <w:szCs w:val="18"/>
                    </w:rPr>
                  </w:pPr>
                  <w:r>
                    <w:rPr>
                      <w:rFonts w:hint="eastAsia" w:ascii="微软雅黑" w:hAnsi="微软雅黑" w:eastAsia="微软雅黑" w:cs="微软雅黑"/>
                      <w:b/>
                      <w:bCs/>
                      <w:sz w:val="18"/>
                      <w:szCs w:val="18"/>
                    </w:rPr>
                    <w:t>Ⅲ</w:t>
                  </w:r>
                </w:p>
              </w:tc>
            </w:tr>
            <w:tr w14:paraId="08A713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 w:type="pct"/>
                  <w:vAlign w:val="center"/>
                </w:tcPr>
                <w:p w14:paraId="5169622C">
                  <w:pPr>
                    <w:widowControl/>
                    <w:jc w:val="center"/>
                    <w:rPr>
                      <w:sz w:val="18"/>
                      <w:szCs w:val="18"/>
                    </w:rPr>
                  </w:pPr>
                  <w:r>
                    <w:rPr>
                      <w:sz w:val="18"/>
                      <w:szCs w:val="18"/>
                    </w:rPr>
                    <w:t>1</w:t>
                  </w:r>
                </w:p>
              </w:tc>
              <w:tc>
                <w:tcPr>
                  <w:tcW w:w="618" w:type="pct"/>
                  <w:vAlign w:val="center"/>
                </w:tcPr>
                <w:p w14:paraId="52E824C6">
                  <w:pPr>
                    <w:jc w:val="center"/>
                    <w:rPr>
                      <w:sz w:val="18"/>
                      <w:szCs w:val="18"/>
                    </w:rPr>
                  </w:pPr>
                  <w:r>
                    <w:rPr>
                      <w:sz w:val="18"/>
                      <w:szCs w:val="18"/>
                    </w:rPr>
                    <w:t>废试剂包装</w:t>
                  </w:r>
                </w:p>
              </w:tc>
              <w:tc>
                <w:tcPr>
                  <w:tcW w:w="396" w:type="pct"/>
                  <w:vAlign w:val="center"/>
                </w:tcPr>
                <w:p w14:paraId="2ED7B2A5">
                  <w:pPr>
                    <w:jc w:val="center"/>
                    <w:rPr>
                      <w:sz w:val="18"/>
                      <w:szCs w:val="18"/>
                    </w:rPr>
                  </w:pPr>
                  <w:r>
                    <w:rPr>
                      <w:rFonts w:hint="eastAsia"/>
                      <w:sz w:val="18"/>
                      <w:szCs w:val="18"/>
                    </w:rPr>
                    <w:t>HW49</w:t>
                  </w:r>
                </w:p>
              </w:tc>
              <w:tc>
                <w:tcPr>
                  <w:tcW w:w="532" w:type="pct"/>
                  <w:vAlign w:val="center"/>
                </w:tcPr>
                <w:p w14:paraId="23ED414E">
                  <w:pPr>
                    <w:jc w:val="center"/>
                    <w:rPr>
                      <w:sz w:val="18"/>
                      <w:szCs w:val="18"/>
                    </w:rPr>
                  </w:pPr>
                  <w:r>
                    <w:rPr>
                      <w:sz w:val="18"/>
                      <w:szCs w:val="18"/>
                    </w:rPr>
                    <w:t>900-047-49</w:t>
                  </w:r>
                </w:p>
              </w:tc>
              <w:tc>
                <w:tcPr>
                  <w:tcW w:w="500" w:type="pct"/>
                  <w:vAlign w:val="center"/>
                </w:tcPr>
                <w:p w14:paraId="5FEF0D40">
                  <w:pPr>
                    <w:jc w:val="center"/>
                    <w:rPr>
                      <w:sz w:val="18"/>
                      <w:szCs w:val="18"/>
                    </w:rPr>
                  </w:pPr>
                  <w:r>
                    <w:rPr>
                      <w:rFonts w:hint="eastAsia"/>
                      <w:sz w:val="18"/>
                      <w:szCs w:val="18"/>
                    </w:rPr>
                    <w:t>0.9</w:t>
                  </w:r>
                </w:p>
              </w:tc>
              <w:tc>
                <w:tcPr>
                  <w:tcW w:w="545" w:type="pct"/>
                  <w:vAlign w:val="center"/>
                </w:tcPr>
                <w:p w14:paraId="70DC27C3">
                  <w:pPr>
                    <w:jc w:val="center"/>
                    <w:rPr>
                      <w:sz w:val="18"/>
                      <w:szCs w:val="18"/>
                    </w:rPr>
                  </w:pPr>
                  <w:r>
                    <w:rPr>
                      <w:rFonts w:hint="eastAsia"/>
                      <w:sz w:val="18"/>
                      <w:szCs w:val="18"/>
                    </w:rPr>
                    <w:t>均质</w:t>
                  </w:r>
                </w:p>
              </w:tc>
              <w:tc>
                <w:tcPr>
                  <w:tcW w:w="351" w:type="pct"/>
                  <w:vAlign w:val="center"/>
                </w:tcPr>
                <w:p w14:paraId="48EE6A09">
                  <w:pPr>
                    <w:jc w:val="center"/>
                    <w:rPr>
                      <w:sz w:val="18"/>
                      <w:szCs w:val="18"/>
                    </w:rPr>
                  </w:pPr>
                  <w:r>
                    <w:rPr>
                      <w:sz w:val="18"/>
                      <w:szCs w:val="18"/>
                    </w:rPr>
                    <w:t>固态</w:t>
                  </w:r>
                </w:p>
              </w:tc>
              <w:tc>
                <w:tcPr>
                  <w:tcW w:w="377" w:type="pct"/>
                  <w:vAlign w:val="center"/>
                </w:tcPr>
                <w:p w14:paraId="7D66C165">
                  <w:pPr>
                    <w:jc w:val="center"/>
                    <w:rPr>
                      <w:sz w:val="18"/>
                      <w:szCs w:val="18"/>
                    </w:rPr>
                  </w:pPr>
                  <w:r>
                    <w:rPr>
                      <w:sz w:val="18"/>
                      <w:szCs w:val="18"/>
                    </w:rPr>
                    <w:t>塑料、</w:t>
                  </w:r>
                  <w:r>
                    <w:rPr>
                      <w:rFonts w:hint="eastAsia"/>
                      <w:sz w:val="18"/>
                      <w:szCs w:val="18"/>
                    </w:rPr>
                    <w:t>玻璃</w:t>
                  </w:r>
                  <w:r>
                    <w:rPr>
                      <w:sz w:val="18"/>
                      <w:szCs w:val="18"/>
                    </w:rPr>
                    <w:t>等</w:t>
                  </w:r>
                </w:p>
              </w:tc>
              <w:tc>
                <w:tcPr>
                  <w:tcW w:w="414" w:type="pct"/>
                  <w:vAlign w:val="center"/>
                </w:tcPr>
                <w:p w14:paraId="6A162FA2">
                  <w:pPr>
                    <w:jc w:val="center"/>
                    <w:rPr>
                      <w:sz w:val="18"/>
                      <w:szCs w:val="18"/>
                    </w:rPr>
                  </w:pPr>
                  <w:r>
                    <w:rPr>
                      <w:sz w:val="18"/>
                      <w:szCs w:val="18"/>
                    </w:rPr>
                    <w:t>T/C/I/R</w:t>
                  </w:r>
                </w:p>
              </w:tc>
              <w:tc>
                <w:tcPr>
                  <w:tcW w:w="306" w:type="pct"/>
                  <w:vAlign w:val="center"/>
                </w:tcPr>
                <w:p w14:paraId="702E4213">
                  <w:pPr>
                    <w:widowControl/>
                    <w:jc w:val="center"/>
                    <w:rPr>
                      <w:sz w:val="18"/>
                      <w:szCs w:val="18"/>
                    </w:rPr>
                  </w:pPr>
                  <w:r>
                    <w:rPr>
                      <w:szCs w:val="21"/>
                    </w:rPr>
                    <w:fldChar w:fldCharType="begin"/>
                  </w:r>
                  <w:r>
                    <w:rPr>
                      <w:szCs w:val="21"/>
                    </w:rPr>
                    <w:instrText xml:space="preserve"> = 1 \* ROMAN \* MERGEFORMAT </w:instrText>
                  </w:r>
                  <w:r>
                    <w:rPr>
                      <w:szCs w:val="21"/>
                    </w:rPr>
                    <w:fldChar w:fldCharType="separate"/>
                  </w:r>
                  <w:r>
                    <w:rPr>
                      <w:szCs w:val="21"/>
                    </w:rPr>
                    <w:t>I</w:t>
                  </w:r>
                  <w:r>
                    <w:rPr>
                      <w:szCs w:val="21"/>
                    </w:rPr>
                    <w:fldChar w:fldCharType="end"/>
                  </w:r>
                </w:p>
              </w:tc>
              <w:tc>
                <w:tcPr>
                  <w:tcW w:w="292" w:type="pct"/>
                  <w:vMerge w:val="restart"/>
                  <w:vAlign w:val="center"/>
                </w:tcPr>
                <w:p w14:paraId="39A9C625">
                  <w:pPr>
                    <w:jc w:val="center"/>
                    <w:rPr>
                      <w:rFonts w:hint="default" w:eastAsia="宋体"/>
                      <w:sz w:val="18"/>
                      <w:szCs w:val="18"/>
                      <w:lang w:val="en-US" w:eastAsia="zh-CN"/>
                    </w:rPr>
                  </w:pPr>
                  <w:r>
                    <w:rPr>
                      <w:rFonts w:hint="eastAsia"/>
                      <w:sz w:val="18"/>
                      <w:szCs w:val="18"/>
                      <w:lang w:val="en-US" w:eastAsia="zh-CN"/>
                    </w:rPr>
                    <w:t>8.5735</w:t>
                  </w:r>
                </w:p>
              </w:tc>
              <w:tc>
                <w:tcPr>
                  <w:tcW w:w="189" w:type="pct"/>
                  <w:vMerge w:val="restart"/>
                  <w:tcBorders>
                    <w:right w:val="single" w:color="000000" w:sz="4" w:space="0"/>
                  </w:tcBorders>
                  <w:vAlign w:val="center"/>
                </w:tcPr>
                <w:p w14:paraId="41233B01">
                  <w:pPr>
                    <w:jc w:val="center"/>
                    <w:rPr>
                      <w:sz w:val="18"/>
                      <w:szCs w:val="18"/>
                    </w:rPr>
                  </w:pPr>
                  <w:r>
                    <w:rPr>
                      <w:rFonts w:hint="eastAsia"/>
                      <w:sz w:val="18"/>
                      <w:szCs w:val="18"/>
                    </w:rPr>
                    <w:t>0</w:t>
                  </w:r>
                </w:p>
              </w:tc>
              <w:tc>
                <w:tcPr>
                  <w:tcW w:w="294" w:type="pct"/>
                  <w:vMerge w:val="restart"/>
                  <w:tcBorders>
                    <w:left w:val="single" w:color="000000" w:sz="4" w:space="0"/>
                  </w:tcBorders>
                  <w:vAlign w:val="center"/>
                </w:tcPr>
                <w:p w14:paraId="7F9B6CBA">
                  <w:pPr>
                    <w:jc w:val="center"/>
                    <w:rPr>
                      <w:rFonts w:hint="eastAsia" w:eastAsia="宋体"/>
                      <w:sz w:val="18"/>
                      <w:szCs w:val="18"/>
                      <w:lang w:val="en-US" w:eastAsia="zh-CN"/>
                    </w:rPr>
                  </w:pPr>
                  <w:r>
                    <w:rPr>
                      <w:rFonts w:hint="eastAsia"/>
                      <w:sz w:val="18"/>
                      <w:szCs w:val="18"/>
                      <w:lang w:val="en-US" w:eastAsia="zh-CN"/>
                    </w:rPr>
                    <w:t>0</w:t>
                  </w:r>
                </w:p>
              </w:tc>
            </w:tr>
            <w:tr w14:paraId="76E7C3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1" w:hRule="atLeast"/>
                <w:jc w:val="center"/>
              </w:trPr>
              <w:tc>
                <w:tcPr>
                  <w:tcW w:w="176" w:type="pct"/>
                  <w:vAlign w:val="center"/>
                </w:tcPr>
                <w:p w14:paraId="0CB09A63">
                  <w:pPr>
                    <w:widowControl/>
                    <w:jc w:val="center"/>
                    <w:rPr>
                      <w:sz w:val="18"/>
                      <w:szCs w:val="18"/>
                    </w:rPr>
                  </w:pPr>
                  <w:r>
                    <w:rPr>
                      <w:sz w:val="18"/>
                      <w:szCs w:val="18"/>
                    </w:rPr>
                    <w:t>2</w:t>
                  </w:r>
                </w:p>
              </w:tc>
              <w:tc>
                <w:tcPr>
                  <w:tcW w:w="618" w:type="pct"/>
                  <w:vAlign w:val="center"/>
                </w:tcPr>
                <w:p w14:paraId="6E1F90CB">
                  <w:pPr>
                    <w:jc w:val="center"/>
                    <w:rPr>
                      <w:sz w:val="18"/>
                      <w:szCs w:val="18"/>
                    </w:rPr>
                  </w:pPr>
                  <w:r>
                    <w:rPr>
                      <w:rFonts w:hint="eastAsia"/>
                      <w:sz w:val="18"/>
                      <w:szCs w:val="18"/>
                    </w:rPr>
                    <w:t>实验废液</w:t>
                  </w:r>
                </w:p>
              </w:tc>
              <w:tc>
                <w:tcPr>
                  <w:tcW w:w="396" w:type="pct"/>
                  <w:vAlign w:val="center"/>
                </w:tcPr>
                <w:p w14:paraId="4C02AADD">
                  <w:pPr>
                    <w:widowControl/>
                    <w:adjustRightInd w:val="0"/>
                    <w:snapToGrid w:val="0"/>
                    <w:jc w:val="center"/>
                    <w:rPr>
                      <w:sz w:val="18"/>
                      <w:szCs w:val="18"/>
                    </w:rPr>
                  </w:pPr>
                  <w:r>
                    <w:rPr>
                      <w:rFonts w:hint="eastAsia"/>
                      <w:sz w:val="18"/>
                      <w:szCs w:val="18"/>
                    </w:rPr>
                    <w:t>HW49</w:t>
                  </w:r>
                </w:p>
              </w:tc>
              <w:tc>
                <w:tcPr>
                  <w:tcW w:w="532" w:type="pct"/>
                  <w:vAlign w:val="center"/>
                </w:tcPr>
                <w:p w14:paraId="1D61C883">
                  <w:pPr>
                    <w:widowControl/>
                    <w:adjustRightInd w:val="0"/>
                    <w:snapToGrid w:val="0"/>
                    <w:jc w:val="center"/>
                    <w:rPr>
                      <w:sz w:val="18"/>
                      <w:szCs w:val="18"/>
                    </w:rPr>
                  </w:pPr>
                  <w:r>
                    <w:rPr>
                      <w:sz w:val="18"/>
                      <w:szCs w:val="18"/>
                    </w:rPr>
                    <w:t>900-047-49</w:t>
                  </w:r>
                </w:p>
              </w:tc>
              <w:tc>
                <w:tcPr>
                  <w:tcW w:w="500" w:type="pct"/>
                  <w:vAlign w:val="center"/>
                </w:tcPr>
                <w:p w14:paraId="4B561677">
                  <w:pPr>
                    <w:jc w:val="center"/>
                    <w:rPr>
                      <w:rFonts w:hint="eastAsia" w:eastAsia="宋体"/>
                      <w:sz w:val="18"/>
                      <w:szCs w:val="18"/>
                      <w:lang w:eastAsia="zh-CN"/>
                    </w:rPr>
                  </w:pPr>
                  <w:r>
                    <w:rPr>
                      <w:rFonts w:hint="eastAsia"/>
                      <w:sz w:val="18"/>
                      <w:szCs w:val="18"/>
                      <w:lang w:eastAsia="zh-CN"/>
                    </w:rPr>
                    <w:t>0.53</w:t>
                  </w:r>
                </w:p>
              </w:tc>
              <w:tc>
                <w:tcPr>
                  <w:tcW w:w="545" w:type="pct"/>
                  <w:vAlign w:val="center"/>
                </w:tcPr>
                <w:p w14:paraId="40A8BB02">
                  <w:pPr>
                    <w:jc w:val="center"/>
                    <w:rPr>
                      <w:sz w:val="18"/>
                      <w:szCs w:val="18"/>
                    </w:rPr>
                  </w:pPr>
                  <w:r>
                    <w:rPr>
                      <w:rFonts w:hint="eastAsia"/>
                      <w:sz w:val="18"/>
                      <w:szCs w:val="18"/>
                    </w:rPr>
                    <w:t>均质、均匀性初检、稳定性评估</w:t>
                  </w:r>
                </w:p>
              </w:tc>
              <w:tc>
                <w:tcPr>
                  <w:tcW w:w="351" w:type="pct"/>
                  <w:vAlign w:val="center"/>
                </w:tcPr>
                <w:p w14:paraId="241B0529">
                  <w:pPr>
                    <w:jc w:val="center"/>
                    <w:rPr>
                      <w:sz w:val="18"/>
                      <w:szCs w:val="18"/>
                    </w:rPr>
                  </w:pPr>
                  <w:r>
                    <w:rPr>
                      <w:rFonts w:hint="eastAsia"/>
                      <w:sz w:val="18"/>
                      <w:szCs w:val="18"/>
                    </w:rPr>
                    <w:t>液态</w:t>
                  </w:r>
                </w:p>
              </w:tc>
              <w:tc>
                <w:tcPr>
                  <w:tcW w:w="377" w:type="pct"/>
                  <w:vAlign w:val="center"/>
                </w:tcPr>
                <w:p w14:paraId="3BA1A9AC">
                  <w:pPr>
                    <w:jc w:val="center"/>
                    <w:rPr>
                      <w:sz w:val="18"/>
                      <w:szCs w:val="18"/>
                    </w:rPr>
                  </w:pPr>
                  <w:r>
                    <w:rPr>
                      <w:rFonts w:hint="eastAsia"/>
                      <w:sz w:val="18"/>
                      <w:szCs w:val="18"/>
                    </w:rPr>
                    <w:t>有机溶剂等</w:t>
                  </w:r>
                </w:p>
              </w:tc>
              <w:tc>
                <w:tcPr>
                  <w:tcW w:w="414" w:type="pct"/>
                  <w:vAlign w:val="center"/>
                </w:tcPr>
                <w:p w14:paraId="43F6F2AB">
                  <w:pPr>
                    <w:jc w:val="center"/>
                    <w:rPr>
                      <w:sz w:val="18"/>
                      <w:szCs w:val="18"/>
                    </w:rPr>
                  </w:pPr>
                  <w:r>
                    <w:rPr>
                      <w:sz w:val="18"/>
                      <w:szCs w:val="18"/>
                    </w:rPr>
                    <w:t>T/C/I/R</w:t>
                  </w:r>
                </w:p>
              </w:tc>
              <w:tc>
                <w:tcPr>
                  <w:tcW w:w="306" w:type="pct"/>
                  <w:vAlign w:val="center"/>
                </w:tcPr>
                <w:p w14:paraId="73C85306">
                  <w:pPr>
                    <w:widowControl/>
                    <w:jc w:val="center"/>
                    <w:rPr>
                      <w:sz w:val="18"/>
                      <w:szCs w:val="18"/>
                    </w:rPr>
                  </w:pPr>
                  <w:r>
                    <w:rPr>
                      <w:szCs w:val="21"/>
                    </w:rPr>
                    <w:fldChar w:fldCharType="begin"/>
                  </w:r>
                  <w:r>
                    <w:rPr>
                      <w:szCs w:val="21"/>
                    </w:rPr>
                    <w:instrText xml:space="preserve"> = 1 \* ROMAN \* MERGEFORMAT </w:instrText>
                  </w:r>
                  <w:r>
                    <w:rPr>
                      <w:szCs w:val="21"/>
                    </w:rPr>
                    <w:fldChar w:fldCharType="separate"/>
                  </w:r>
                  <w:r>
                    <w:rPr>
                      <w:szCs w:val="21"/>
                    </w:rPr>
                    <w:t>I</w:t>
                  </w:r>
                  <w:r>
                    <w:rPr>
                      <w:szCs w:val="21"/>
                    </w:rPr>
                    <w:fldChar w:fldCharType="end"/>
                  </w:r>
                </w:p>
              </w:tc>
              <w:tc>
                <w:tcPr>
                  <w:tcW w:w="292" w:type="pct"/>
                  <w:vMerge w:val="continue"/>
                  <w:tcBorders/>
                  <w:vAlign w:val="center"/>
                </w:tcPr>
                <w:p w14:paraId="67260344">
                  <w:pPr>
                    <w:jc w:val="center"/>
                    <w:rPr>
                      <w:sz w:val="18"/>
                      <w:szCs w:val="18"/>
                    </w:rPr>
                  </w:pPr>
                </w:p>
              </w:tc>
              <w:tc>
                <w:tcPr>
                  <w:tcW w:w="189" w:type="pct"/>
                  <w:vMerge w:val="continue"/>
                  <w:tcBorders>
                    <w:right w:val="single" w:color="000000" w:sz="4" w:space="0"/>
                  </w:tcBorders>
                  <w:vAlign w:val="center"/>
                </w:tcPr>
                <w:p w14:paraId="38582BBC">
                  <w:pPr>
                    <w:jc w:val="center"/>
                    <w:rPr>
                      <w:sz w:val="18"/>
                      <w:szCs w:val="18"/>
                    </w:rPr>
                  </w:pPr>
                </w:p>
              </w:tc>
              <w:tc>
                <w:tcPr>
                  <w:tcW w:w="294" w:type="pct"/>
                  <w:vMerge w:val="continue"/>
                  <w:tcBorders>
                    <w:left w:val="single" w:color="000000" w:sz="4" w:space="0"/>
                  </w:tcBorders>
                  <w:vAlign w:val="center"/>
                </w:tcPr>
                <w:p w14:paraId="29929195">
                  <w:pPr>
                    <w:jc w:val="center"/>
                    <w:rPr>
                      <w:sz w:val="18"/>
                      <w:szCs w:val="18"/>
                    </w:rPr>
                  </w:pPr>
                </w:p>
              </w:tc>
            </w:tr>
            <w:tr w14:paraId="5AA693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6" w:type="pct"/>
                  <w:vAlign w:val="center"/>
                </w:tcPr>
                <w:p w14:paraId="27993068">
                  <w:pPr>
                    <w:widowControl/>
                    <w:jc w:val="center"/>
                    <w:rPr>
                      <w:sz w:val="18"/>
                      <w:szCs w:val="18"/>
                    </w:rPr>
                  </w:pPr>
                  <w:r>
                    <w:rPr>
                      <w:sz w:val="18"/>
                      <w:szCs w:val="18"/>
                    </w:rPr>
                    <w:t>3</w:t>
                  </w:r>
                </w:p>
              </w:tc>
              <w:tc>
                <w:tcPr>
                  <w:tcW w:w="618" w:type="pct"/>
                  <w:vAlign w:val="center"/>
                </w:tcPr>
                <w:p w14:paraId="60BEBB94">
                  <w:pPr>
                    <w:jc w:val="center"/>
                    <w:rPr>
                      <w:sz w:val="18"/>
                      <w:szCs w:val="18"/>
                    </w:rPr>
                  </w:pPr>
                  <w:r>
                    <w:rPr>
                      <w:rFonts w:hint="eastAsia"/>
                      <w:sz w:val="18"/>
                      <w:szCs w:val="18"/>
                      <w:lang w:val="en-US" w:eastAsia="zh-CN"/>
                    </w:rPr>
                    <w:t>初道</w:t>
                  </w:r>
                  <w:r>
                    <w:rPr>
                      <w:rFonts w:hint="eastAsia"/>
                      <w:sz w:val="18"/>
                      <w:szCs w:val="18"/>
                    </w:rPr>
                    <w:t>清洗废水</w:t>
                  </w:r>
                </w:p>
              </w:tc>
              <w:tc>
                <w:tcPr>
                  <w:tcW w:w="396" w:type="pct"/>
                  <w:vAlign w:val="center"/>
                </w:tcPr>
                <w:p w14:paraId="438330E1">
                  <w:pPr>
                    <w:widowControl/>
                    <w:adjustRightInd w:val="0"/>
                    <w:snapToGrid w:val="0"/>
                    <w:jc w:val="center"/>
                    <w:rPr>
                      <w:sz w:val="18"/>
                      <w:szCs w:val="18"/>
                    </w:rPr>
                  </w:pPr>
                  <w:r>
                    <w:rPr>
                      <w:rFonts w:hint="eastAsia"/>
                      <w:sz w:val="18"/>
                      <w:szCs w:val="18"/>
                    </w:rPr>
                    <w:t>HW49</w:t>
                  </w:r>
                </w:p>
              </w:tc>
              <w:tc>
                <w:tcPr>
                  <w:tcW w:w="532" w:type="pct"/>
                  <w:vAlign w:val="center"/>
                </w:tcPr>
                <w:p w14:paraId="31C0579D">
                  <w:pPr>
                    <w:widowControl/>
                    <w:adjustRightInd w:val="0"/>
                    <w:snapToGrid w:val="0"/>
                    <w:jc w:val="center"/>
                    <w:rPr>
                      <w:sz w:val="18"/>
                      <w:szCs w:val="18"/>
                    </w:rPr>
                  </w:pPr>
                  <w:r>
                    <w:rPr>
                      <w:sz w:val="18"/>
                      <w:szCs w:val="18"/>
                    </w:rPr>
                    <w:t>900-047-49</w:t>
                  </w:r>
                </w:p>
              </w:tc>
              <w:tc>
                <w:tcPr>
                  <w:tcW w:w="500" w:type="pct"/>
                  <w:vAlign w:val="center"/>
                </w:tcPr>
                <w:p w14:paraId="7D865C53">
                  <w:pPr>
                    <w:jc w:val="center"/>
                    <w:rPr>
                      <w:rFonts w:hint="eastAsia" w:eastAsia="宋体"/>
                      <w:sz w:val="18"/>
                      <w:szCs w:val="18"/>
                      <w:lang w:eastAsia="zh-CN"/>
                    </w:rPr>
                  </w:pPr>
                  <w:r>
                    <w:rPr>
                      <w:rFonts w:hint="eastAsia"/>
                      <w:sz w:val="18"/>
                      <w:szCs w:val="18"/>
                      <w:lang w:val="en-US" w:eastAsia="zh-CN"/>
                    </w:rPr>
                    <w:t>2</w:t>
                  </w:r>
                </w:p>
              </w:tc>
              <w:tc>
                <w:tcPr>
                  <w:tcW w:w="545" w:type="pct"/>
                  <w:vAlign w:val="center"/>
                </w:tcPr>
                <w:p w14:paraId="3E7F00F6">
                  <w:pPr>
                    <w:jc w:val="center"/>
                    <w:rPr>
                      <w:sz w:val="18"/>
                      <w:szCs w:val="18"/>
                    </w:rPr>
                  </w:pPr>
                  <w:r>
                    <w:rPr>
                      <w:rFonts w:hint="eastAsia"/>
                      <w:sz w:val="18"/>
                      <w:szCs w:val="18"/>
                    </w:rPr>
                    <w:t>玻璃器皿清洗</w:t>
                  </w:r>
                </w:p>
              </w:tc>
              <w:tc>
                <w:tcPr>
                  <w:tcW w:w="351" w:type="pct"/>
                  <w:vAlign w:val="center"/>
                </w:tcPr>
                <w:p w14:paraId="23A9E106">
                  <w:pPr>
                    <w:jc w:val="center"/>
                    <w:rPr>
                      <w:sz w:val="18"/>
                      <w:szCs w:val="18"/>
                    </w:rPr>
                  </w:pPr>
                  <w:r>
                    <w:rPr>
                      <w:rFonts w:hint="eastAsia"/>
                      <w:sz w:val="18"/>
                      <w:szCs w:val="18"/>
                    </w:rPr>
                    <w:t>液态</w:t>
                  </w:r>
                </w:p>
              </w:tc>
              <w:tc>
                <w:tcPr>
                  <w:tcW w:w="377" w:type="pct"/>
                  <w:vAlign w:val="center"/>
                </w:tcPr>
                <w:p w14:paraId="52E3AF6D">
                  <w:pPr>
                    <w:jc w:val="center"/>
                    <w:rPr>
                      <w:sz w:val="18"/>
                      <w:szCs w:val="18"/>
                    </w:rPr>
                  </w:pPr>
                  <w:r>
                    <w:rPr>
                      <w:rFonts w:hint="eastAsia"/>
                      <w:sz w:val="18"/>
                      <w:szCs w:val="18"/>
                    </w:rPr>
                    <w:t>有机溶剂等</w:t>
                  </w:r>
                </w:p>
              </w:tc>
              <w:tc>
                <w:tcPr>
                  <w:tcW w:w="414" w:type="pct"/>
                  <w:vAlign w:val="center"/>
                </w:tcPr>
                <w:p w14:paraId="7C2D7F52">
                  <w:pPr>
                    <w:jc w:val="center"/>
                    <w:rPr>
                      <w:sz w:val="18"/>
                      <w:szCs w:val="18"/>
                    </w:rPr>
                  </w:pPr>
                  <w:r>
                    <w:rPr>
                      <w:sz w:val="18"/>
                      <w:szCs w:val="18"/>
                    </w:rPr>
                    <w:t>T/C/I/R</w:t>
                  </w:r>
                </w:p>
              </w:tc>
              <w:tc>
                <w:tcPr>
                  <w:tcW w:w="306" w:type="pct"/>
                  <w:vAlign w:val="center"/>
                </w:tcPr>
                <w:p w14:paraId="75F13BFD">
                  <w:pPr>
                    <w:widowControl/>
                    <w:jc w:val="center"/>
                    <w:rPr>
                      <w:szCs w:val="21"/>
                    </w:rPr>
                  </w:pPr>
                  <w:r>
                    <w:rPr>
                      <w:szCs w:val="21"/>
                    </w:rPr>
                    <w:fldChar w:fldCharType="begin"/>
                  </w:r>
                  <w:r>
                    <w:rPr>
                      <w:szCs w:val="21"/>
                    </w:rPr>
                    <w:instrText xml:space="preserve"> = 1 \* ROMAN \* MERGEFORMAT </w:instrText>
                  </w:r>
                  <w:r>
                    <w:rPr>
                      <w:szCs w:val="21"/>
                    </w:rPr>
                    <w:fldChar w:fldCharType="separate"/>
                  </w:r>
                  <w:r>
                    <w:rPr>
                      <w:szCs w:val="21"/>
                    </w:rPr>
                    <w:t>I</w:t>
                  </w:r>
                  <w:r>
                    <w:rPr>
                      <w:szCs w:val="21"/>
                    </w:rPr>
                    <w:fldChar w:fldCharType="end"/>
                  </w:r>
                </w:p>
              </w:tc>
              <w:tc>
                <w:tcPr>
                  <w:tcW w:w="292" w:type="pct"/>
                  <w:vMerge w:val="continue"/>
                  <w:tcBorders/>
                  <w:vAlign w:val="center"/>
                </w:tcPr>
                <w:p w14:paraId="525D7E1F">
                  <w:pPr>
                    <w:jc w:val="center"/>
                    <w:rPr>
                      <w:sz w:val="18"/>
                      <w:szCs w:val="18"/>
                    </w:rPr>
                  </w:pPr>
                </w:p>
              </w:tc>
              <w:tc>
                <w:tcPr>
                  <w:tcW w:w="189" w:type="pct"/>
                  <w:vMerge w:val="continue"/>
                  <w:tcBorders>
                    <w:right w:val="single" w:color="000000" w:sz="4" w:space="0"/>
                  </w:tcBorders>
                  <w:vAlign w:val="center"/>
                </w:tcPr>
                <w:p w14:paraId="2ECE4B88">
                  <w:pPr>
                    <w:jc w:val="center"/>
                    <w:rPr>
                      <w:sz w:val="18"/>
                      <w:szCs w:val="18"/>
                    </w:rPr>
                  </w:pPr>
                </w:p>
              </w:tc>
              <w:tc>
                <w:tcPr>
                  <w:tcW w:w="294" w:type="pct"/>
                  <w:vMerge w:val="continue"/>
                  <w:tcBorders>
                    <w:left w:val="single" w:color="000000" w:sz="4" w:space="0"/>
                  </w:tcBorders>
                  <w:vAlign w:val="center"/>
                </w:tcPr>
                <w:p w14:paraId="437136C7">
                  <w:pPr>
                    <w:jc w:val="center"/>
                    <w:rPr>
                      <w:sz w:val="18"/>
                      <w:szCs w:val="18"/>
                    </w:rPr>
                  </w:pPr>
                </w:p>
              </w:tc>
            </w:tr>
            <w:tr w14:paraId="4503F0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6" w:hRule="atLeast"/>
                <w:jc w:val="center"/>
              </w:trPr>
              <w:tc>
                <w:tcPr>
                  <w:tcW w:w="176" w:type="pct"/>
                  <w:vAlign w:val="center"/>
                </w:tcPr>
                <w:p w14:paraId="348B0790">
                  <w:pPr>
                    <w:widowControl/>
                    <w:jc w:val="center"/>
                    <w:rPr>
                      <w:sz w:val="18"/>
                      <w:szCs w:val="18"/>
                    </w:rPr>
                  </w:pPr>
                  <w:r>
                    <w:rPr>
                      <w:sz w:val="18"/>
                      <w:szCs w:val="18"/>
                    </w:rPr>
                    <w:t>4</w:t>
                  </w:r>
                </w:p>
              </w:tc>
              <w:tc>
                <w:tcPr>
                  <w:tcW w:w="618" w:type="pct"/>
                  <w:vAlign w:val="center"/>
                </w:tcPr>
                <w:p w14:paraId="54ADE465">
                  <w:pPr>
                    <w:jc w:val="center"/>
                    <w:rPr>
                      <w:sz w:val="18"/>
                      <w:szCs w:val="18"/>
                    </w:rPr>
                  </w:pPr>
                  <w:r>
                    <w:rPr>
                      <w:rFonts w:hint="eastAsia"/>
                      <w:sz w:val="18"/>
                      <w:szCs w:val="18"/>
                    </w:rPr>
                    <w:t>喷淋废液</w:t>
                  </w:r>
                </w:p>
              </w:tc>
              <w:tc>
                <w:tcPr>
                  <w:tcW w:w="396" w:type="pct"/>
                  <w:vAlign w:val="center"/>
                </w:tcPr>
                <w:p w14:paraId="2E1FE2AA">
                  <w:pPr>
                    <w:widowControl/>
                    <w:adjustRightInd w:val="0"/>
                    <w:snapToGrid w:val="0"/>
                    <w:jc w:val="center"/>
                    <w:rPr>
                      <w:sz w:val="18"/>
                      <w:szCs w:val="18"/>
                    </w:rPr>
                  </w:pPr>
                  <w:r>
                    <w:rPr>
                      <w:rFonts w:hint="eastAsia"/>
                      <w:sz w:val="18"/>
                      <w:szCs w:val="18"/>
                    </w:rPr>
                    <w:t>HW49</w:t>
                  </w:r>
                </w:p>
              </w:tc>
              <w:tc>
                <w:tcPr>
                  <w:tcW w:w="532" w:type="pct"/>
                  <w:vAlign w:val="center"/>
                </w:tcPr>
                <w:p w14:paraId="184763C9">
                  <w:pPr>
                    <w:widowControl/>
                    <w:adjustRightInd w:val="0"/>
                    <w:snapToGrid w:val="0"/>
                    <w:jc w:val="center"/>
                    <w:rPr>
                      <w:sz w:val="18"/>
                      <w:szCs w:val="18"/>
                    </w:rPr>
                  </w:pPr>
                  <w:r>
                    <w:rPr>
                      <w:sz w:val="18"/>
                      <w:szCs w:val="18"/>
                    </w:rPr>
                    <w:t>900-047-49</w:t>
                  </w:r>
                </w:p>
              </w:tc>
              <w:tc>
                <w:tcPr>
                  <w:tcW w:w="500" w:type="pct"/>
                  <w:vAlign w:val="center"/>
                </w:tcPr>
                <w:p w14:paraId="05CBC933">
                  <w:pPr>
                    <w:jc w:val="center"/>
                    <w:rPr>
                      <w:sz w:val="18"/>
                      <w:szCs w:val="18"/>
                    </w:rPr>
                  </w:pPr>
                  <w:r>
                    <w:rPr>
                      <w:rFonts w:hint="eastAsia"/>
                      <w:sz w:val="18"/>
                      <w:szCs w:val="18"/>
                    </w:rPr>
                    <w:t>0.4</w:t>
                  </w:r>
                </w:p>
              </w:tc>
              <w:tc>
                <w:tcPr>
                  <w:tcW w:w="545" w:type="pct"/>
                  <w:vAlign w:val="center"/>
                </w:tcPr>
                <w:p w14:paraId="75F25F53">
                  <w:pPr>
                    <w:jc w:val="center"/>
                    <w:rPr>
                      <w:sz w:val="18"/>
                      <w:szCs w:val="18"/>
                    </w:rPr>
                  </w:pPr>
                  <w:r>
                    <w:rPr>
                      <w:rFonts w:hint="eastAsia"/>
                      <w:sz w:val="18"/>
                      <w:szCs w:val="18"/>
                    </w:rPr>
                    <w:t>废气处理</w:t>
                  </w:r>
                </w:p>
              </w:tc>
              <w:tc>
                <w:tcPr>
                  <w:tcW w:w="351" w:type="pct"/>
                  <w:vAlign w:val="center"/>
                </w:tcPr>
                <w:p w14:paraId="6E3FDD06">
                  <w:pPr>
                    <w:jc w:val="center"/>
                    <w:rPr>
                      <w:sz w:val="18"/>
                      <w:szCs w:val="18"/>
                    </w:rPr>
                  </w:pPr>
                  <w:r>
                    <w:rPr>
                      <w:rFonts w:hint="eastAsia"/>
                      <w:sz w:val="18"/>
                      <w:szCs w:val="18"/>
                    </w:rPr>
                    <w:t>液态</w:t>
                  </w:r>
                </w:p>
              </w:tc>
              <w:tc>
                <w:tcPr>
                  <w:tcW w:w="377" w:type="pct"/>
                  <w:vAlign w:val="center"/>
                </w:tcPr>
                <w:p w14:paraId="230F2259">
                  <w:pPr>
                    <w:jc w:val="center"/>
                    <w:rPr>
                      <w:sz w:val="18"/>
                      <w:szCs w:val="18"/>
                    </w:rPr>
                  </w:pPr>
                  <w:r>
                    <w:rPr>
                      <w:rFonts w:hint="eastAsia"/>
                      <w:sz w:val="18"/>
                      <w:szCs w:val="18"/>
                    </w:rPr>
                    <w:t>氨、酸等</w:t>
                  </w:r>
                </w:p>
              </w:tc>
              <w:tc>
                <w:tcPr>
                  <w:tcW w:w="414" w:type="pct"/>
                  <w:vAlign w:val="center"/>
                </w:tcPr>
                <w:p w14:paraId="16A56ADB">
                  <w:pPr>
                    <w:jc w:val="center"/>
                    <w:rPr>
                      <w:sz w:val="18"/>
                      <w:szCs w:val="18"/>
                    </w:rPr>
                  </w:pPr>
                  <w:r>
                    <w:rPr>
                      <w:sz w:val="18"/>
                      <w:szCs w:val="18"/>
                    </w:rPr>
                    <w:t>T/C/I/R</w:t>
                  </w:r>
                </w:p>
              </w:tc>
              <w:tc>
                <w:tcPr>
                  <w:tcW w:w="306" w:type="pct"/>
                  <w:vAlign w:val="center"/>
                </w:tcPr>
                <w:p w14:paraId="630101B6">
                  <w:pPr>
                    <w:widowControl/>
                    <w:jc w:val="center"/>
                    <w:rPr>
                      <w:szCs w:val="21"/>
                    </w:rPr>
                  </w:pPr>
                  <w:r>
                    <w:rPr>
                      <w:szCs w:val="21"/>
                    </w:rPr>
                    <w:fldChar w:fldCharType="begin"/>
                  </w:r>
                  <w:r>
                    <w:rPr>
                      <w:szCs w:val="21"/>
                    </w:rPr>
                    <w:instrText xml:space="preserve"> = 1 \* ROMAN \* MERGEFORMAT </w:instrText>
                  </w:r>
                  <w:r>
                    <w:rPr>
                      <w:szCs w:val="21"/>
                    </w:rPr>
                    <w:fldChar w:fldCharType="separate"/>
                  </w:r>
                  <w:r>
                    <w:rPr>
                      <w:szCs w:val="21"/>
                    </w:rPr>
                    <w:t>I</w:t>
                  </w:r>
                  <w:r>
                    <w:rPr>
                      <w:szCs w:val="21"/>
                    </w:rPr>
                    <w:fldChar w:fldCharType="end"/>
                  </w:r>
                </w:p>
              </w:tc>
              <w:tc>
                <w:tcPr>
                  <w:tcW w:w="292" w:type="pct"/>
                  <w:vMerge w:val="continue"/>
                  <w:tcBorders/>
                  <w:vAlign w:val="center"/>
                </w:tcPr>
                <w:p w14:paraId="38AB9F20">
                  <w:pPr>
                    <w:jc w:val="center"/>
                    <w:rPr>
                      <w:sz w:val="18"/>
                      <w:szCs w:val="18"/>
                    </w:rPr>
                  </w:pPr>
                </w:p>
              </w:tc>
              <w:tc>
                <w:tcPr>
                  <w:tcW w:w="189" w:type="pct"/>
                  <w:vMerge w:val="continue"/>
                  <w:tcBorders>
                    <w:right w:val="single" w:color="000000" w:sz="4" w:space="0"/>
                  </w:tcBorders>
                  <w:vAlign w:val="center"/>
                </w:tcPr>
                <w:p w14:paraId="2B0459B4">
                  <w:pPr>
                    <w:jc w:val="center"/>
                    <w:rPr>
                      <w:sz w:val="18"/>
                      <w:szCs w:val="18"/>
                    </w:rPr>
                  </w:pPr>
                </w:p>
              </w:tc>
              <w:tc>
                <w:tcPr>
                  <w:tcW w:w="294" w:type="pct"/>
                  <w:vMerge w:val="continue"/>
                  <w:tcBorders>
                    <w:left w:val="single" w:color="000000" w:sz="4" w:space="0"/>
                  </w:tcBorders>
                  <w:vAlign w:val="center"/>
                </w:tcPr>
                <w:p w14:paraId="60F22861">
                  <w:pPr>
                    <w:jc w:val="center"/>
                    <w:rPr>
                      <w:sz w:val="18"/>
                      <w:szCs w:val="18"/>
                    </w:rPr>
                  </w:pPr>
                </w:p>
              </w:tc>
            </w:tr>
            <w:tr w14:paraId="472FBC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6" w:hRule="atLeast"/>
                <w:jc w:val="center"/>
              </w:trPr>
              <w:tc>
                <w:tcPr>
                  <w:tcW w:w="176" w:type="pct"/>
                  <w:vAlign w:val="center"/>
                </w:tcPr>
                <w:p w14:paraId="343616E4">
                  <w:pPr>
                    <w:widowControl/>
                    <w:jc w:val="center"/>
                    <w:rPr>
                      <w:sz w:val="18"/>
                      <w:szCs w:val="18"/>
                    </w:rPr>
                  </w:pPr>
                  <w:r>
                    <w:rPr>
                      <w:rFonts w:hint="eastAsia"/>
                      <w:sz w:val="18"/>
                      <w:szCs w:val="18"/>
                    </w:rPr>
                    <w:t>5</w:t>
                  </w:r>
                </w:p>
              </w:tc>
              <w:tc>
                <w:tcPr>
                  <w:tcW w:w="618" w:type="pct"/>
                  <w:vAlign w:val="center"/>
                </w:tcPr>
                <w:p w14:paraId="1A19085D">
                  <w:pPr>
                    <w:jc w:val="center"/>
                    <w:rPr>
                      <w:sz w:val="18"/>
                      <w:szCs w:val="18"/>
                    </w:rPr>
                  </w:pPr>
                  <w:r>
                    <w:rPr>
                      <w:rFonts w:hint="eastAsia"/>
                      <w:sz w:val="18"/>
                      <w:szCs w:val="18"/>
                    </w:rPr>
                    <w:t>废活性炭</w:t>
                  </w:r>
                </w:p>
              </w:tc>
              <w:tc>
                <w:tcPr>
                  <w:tcW w:w="396" w:type="pct"/>
                  <w:vAlign w:val="center"/>
                </w:tcPr>
                <w:p w14:paraId="4D62A1F7">
                  <w:pPr>
                    <w:widowControl/>
                    <w:adjustRightInd w:val="0"/>
                    <w:snapToGrid w:val="0"/>
                    <w:jc w:val="center"/>
                    <w:rPr>
                      <w:sz w:val="18"/>
                      <w:szCs w:val="18"/>
                    </w:rPr>
                  </w:pPr>
                  <w:r>
                    <w:rPr>
                      <w:rFonts w:hint="eastAsia"/>
                      <w:sz w:val="18"/>
                      <w:szCs w:val="18"/>
                    </w:rPr>
                    <w:t>HW49</w:t>
                  </w:r>
                </w:p>
              </w:tc>
              <w:tc>
                <w:tcPr>
                  <w:tcW w:w="532" w:type="pct"/>
                  <w:vAlign w:val="center"/>
                </w:tcPr>
                <w:p w14:paraId="5BEC53D3">
                  <w:pPr>
                    <w:jc w:val="center"/>
                    <w:rPr>
                      <w:sz w:val="18"/>
                      <w:szCs w:val="18"/>
                    </w:rPr>
                  </w:pPr>
                  <w:r>
                    <w:rPr>
                      <w:sz w:val="18"/>
                      <w:szCs w:val="18"/>
                    </w:rPr>
                    <w:t>900-047-49</w:t>
                  </w:r>
                </w:p>
              </w:tc>
              <w:tc>
                <w:tcPr>
                  <w:tcW w:w="500" w:type="pct"/>
                  <w:vAlign w:val="center"/>
                </w:tcPr>
                <w:p w14:paraId="1458B05A">
                  <w:pPr>
                    <w:jc w:val="center"/>
                    <w:rPr>
                      <w:rFonts w:hint="eastAsia" w:eastAsia="宋体"/>
                      <w:sz w:val="18"/>
                      <w:szCs w:val="18"/>
                      <w:lang w:eastAsia="zh-CN"/>
                    </w:rPr>
                  </w:pPr>
                  <w:r>
                    <w:rPr>
                      <w:rFonts w:hint="eastAsia"/>
                      <w:color w:val="auto"/>
                      <w:sz w:val="18"/>
                      <w:szCs w:val="18"/>
                      <w:lang w:eastAsia="zh-CN"/>
                    </w:rPr>
                    <w:t>4.4435</w:t>
                  </w:r>
                </w:p>
              </w:tc>
              <w:tc>
                <w:tcPr>
                  <w:tcW w:w="545" w:type="pct"/>
                  <w:vAlign w:val="center"/>
                </w:tcPr>
                <w:p w14:paraId="29723959">
                  <w:pPr>
                    <w:jc w:val="center"/>
                    <w:rPr>
                      <w:sz w:val="18"/>
                      <w:szCs w:val="18"/>
                    </w:rPr>
                  </w:pPr>
                  <w:r>
                    <w:rPr>
                      <w:rFonts w:hint="eastAsia"/>
                      <w:sz w:val="18"/>
                      <w:szCs w:val="18"/>
                    </w:rPr>
                    <w:t>废气处理</w:t>
                  </w:r>
                </w:p>
              </w:tc>
              <w:tc>
                <w:tcPr>
                  <w:tcW w:w="351" w:type="pct"/>
                  <w:vAlign w:val="center"/>
                </w:tcPr>
                <w:p w14:paraId="1E0EDE35">
                  <w:pPr>
                    <w:jc w:val="center"/>
                    <w:rPr>
                      <w:sz w:val="18"/>
                      <w:szCs w:val="18"/>
                    </w:rPr>
                  </w:pPr>
                  <w:r>
                    <w:rPr>
                      <w:rFonts w:hint="eastAsia"/>
                      <w:sz w:val="18"/>
                      <w:szCs w:val="18"/>
                    </w:rPr>
                    <w:t>固态</w:t>
                  </w:r>
                </w:p>
              </w:tc>
              <w:tc>
                <w:tcPr>
                  <w:tcW w:w="377" w:type="pct"/>
                  <w:vAlign w:val="center"/>
                </w:tcPr>
                <w:p w14:paraId="3B6F46AF">
                  <w:pPr>
                    <w:jc w:val="center"/>
                    <w:rPr>
                      <w:sz w:val="18"/>
                      <w:szCs w:val="18"/>
                    </w:rPr>
                  </w:pPr>
                  <w:r>
                    <w:rPr>
                      <w:rFonts w:hint="eastAsia"/>
                      <w:sz w:val="18"/>
                      <w:szCs w:val="18"/>
                    </w:rPr>
                    <w:t>有机物等</w:t>
                  </w:r>
                </w:p>
              </w:tc>
              <w:tc>
                <w:tcPr>
                  <w:tcW w:w="414" w:type="pct"/>
                  <w:vAlign w:val="center"/>
                </w:tcPr>
                <w:p w14:paraId="36F78097">
                  <w:pPr>
                    <w:jc w:val="center"/>
                    <w:rPr>
                      <w:sz w:val="18"/>
                      <w:szCs w:val="18"/>
                    </w:rPr>
                  </w:pPr>
                  <w:r>
                    <w:rPr>
                      <w:sz w:val="18"/>
                      <w:szCs w:val="18"/>
                    </w:rPr>
                    <w:t>T/C/I/R</w:t>
                  </w:r>
                </w:p>
              </w:tc>
              <w:tc>
                <w:tcPr>
                  <w:tcW w:w="306" w:type="pct"/>
                  <w:vAlign w:val="center"/>
                </w:tcPr>
                <w:p w14:paraId="500CF29A">
                  <w:pPr>
                    <w:widowControl/>
                    <w:jc w:val="center"/>
                    <w:rPr>
                      <w:sz w:val="18"/>
                      <w:szCs w:val="18"/>
                    </w:rPr>
                  </w:pPr>
                  <w:r>
                    <w:rPr>
                      <w:szCs w:val="21"/>
                    </w:rPr>
                    <w:fldChar w:fldCharType="begin"/>
                  </w:r>
                  <w:r>
                    <w:rPr>
                      <w:szCs w:val="21"/>
                    </w:rPr>
                    <w:instrText xml:space="preserve"> = 1 \* ROMAN \* MERGEFORMAT </w:instrText>
                  </w:r>
                  <w:r>
                    <w:rPr>
                      <w:szCs w:val="21"/>
                    </w:rPr>
                    <w:fldChar w:fldCharType="separate"/>
                  </w:r>
                  <w:r>
                    <w:rPr>
                      <w:szCs w:val="21"/>
                    </w:rPr>
                    <w:t>I</w:t>
                  </w:r>
                  <w:r>
                    <w:rPr>
                      <w:szCs w:val="21"/>
                    </w:rPr>
                    <w:fldChar w:fldCharType="end"/>
                  </w:r>
                </w:p>
              </w:tc>
              <w:tc>
                <w:tcPr>
                  <w:tcW w:w="292" w:type="pct"/>
                  <w:vMerge w:val="continue"/>
                  <w:tcBorders/>
                  <w:vAlign w:val="center"/>
                </w:tcPr>
                <w:p w14:paraId="1BC3DE4E">
                  <w:pPr>
                    <w:widowControl/>
                    <w:jc w:val="center"/>
                    <w:rPr>
                      <w:kern w:val="0"/>
                      <w:sz w:val="20"/>
                      <w:szCs w:val="20"/>
                      <w:lang w:bidi="ar"/>
                    </w:rPr>
                  </w:pPr>
                </w:p>
              </w:tc>
              <w:tc>
                <w:tcPr>
                  <w:tcW w:w="189" w:type="pct"/>
                  <w:vMerge w:val="continue"/>
                  <w:tcBorders>
                    <w:right w:val="single" w:color="000000" w:sz="4" w:space="0"/>
                  </w:tcBorders>
                  <w:vAlign w:val="center"/>
                </w:tcPr>
                <w:p w14:paraId="44342071">
                  <w:pPr>
                    <w:widowControl/>
                    <w:jc w:val="center"/>
                    <w:rPr>
                      <w:kern w:val="0"/>
                      <w:sz w:val="20"/>
                      <w:szCs w:val="20"/>
                      <w:lang w:bidi="ar"/>
                    </w:rPr>
                  </w:pPr>
                </w:p>
              </w:tc>
              <w:tc>
                <w:tcPr>
                  <w:tcW w:w="294" w:type="pct"/>
                  <w:vMerge w:val="continue"/>
                  <w:tcBorders>
                    <w:left w:val="single" w:color="000000" w:sz="4" w:space="0"/>
                  </w:tcBorders>
                  <w:vAlign w:val="center"/>
                </w:tcPr>
                <w:p w14:paraId="1ECD5B2E">
                  <w:pPr>
                    <w:widowControl/>
                    <w:jc w:val="center"/>
                    <w:rPr>
                      <w:kern w:val="0"/>
                      <w:sz w:val="20"/>
                      <w:szCs w:val="20"/>
                      <w:lang w:bidi="ar"/>
                    </w:rPr>
                  </w:pPr>
                </w:p>
              </w:tc>
            </w:tr>
            <w:tr w14:paraId="2C0477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54" w:hRule="atLeast"/>
                <w:jc w:val="center"/>
              </w:trPr>
              <w:tc>
                <w:tcPr>
                  <w:tcW w:w="176" w:type="pct"/>
                  <w:vAlign w:val="center"/>
                </w:tcPr>
                <w:p w14:paraId="0D5289E7">
                  <w:pPr>
                    <w:widowControl/>
                    <w:jc w:val="center"/>
                    <w:rPr>
                      <w:sz w:val="18"/>
                      <w:szCs w:val="18"/>
                    </w:rPr>
                  </w:pPr>
                  <w:r>
                    <w:rPr>
                      <w:rFonts w:hint="eastAsia"/>
                      <w:sz w:val="18"/>
                      <w:szCs w:val="18"/>
                    </w:rPr>
                    <w:t>6</w:t>
                  </w:r>
                </w:p>
              </w:tc>
              <w:tc>
                <w:tcPr>
                  <w:tcW w:w="618" w:type="pct"/>
                  <w:vAlign w:val="center"/>
                </w:tcPr>
                <w:p w14:paraId="328112F3">
                  <w:pPr>
                    <w:pStyle w:val="55"/>
                    <w:spacing w:before="24" w:after="24"/>
                    <w:rPr>
                      <w:bCs/>
                      <w:kern w:val="2"/>
                      <w:sz w:val="18"/>
                      <w:szCs w:val="18"/>
                    </w:rPr>
                  </w:pPr>
                  <w:r>
                    <w:rPr>
                      <w:rFonts w:hint="eastAsia"/>
                      <w:bCs/>
                      <w:kern w:val="2"/>
                      <w:sz w:val="18"/>
                      <w:szCs w:val="18"/>
                    </w:rPr>
                    <w:t>废实验耗材</w:t>
                  </w:r>
                </w:p>
              </w:tc>
              <w:tc>
                <w:tcPr>
                  <w:tcW w:w="396" w:type="pct"/>
                  <w:vAlign w:val="center"/>
                </w:tcPr>
                <w:p w14:paraId="1CC0B851">
                  <w:pPr>
                    <w:widowControl/>
                    <w:adjustRightInd w:val="0"/>
                    <w:snapToGrid w:val="0"/>
                    <w:jc w:val="center"/>
                    <w:rPr>
                      <w:sz w:val="18"/>
                      <w:szCs w:val="18"/>
                    </w:rPr>
                  </w:pPr>
                  <w:r>
                    <w:rPr>
                      <w:rFonts w:hint="eastAsia"/>
                      <w:sz w:val="18"/>
                      <w:szCs w:val="18"/>
                    </w:rPr>
                    <w:t>HW49</w:t>
                  </w:r>
                </w:p>
              </w:tc>
              <w:tc>
                <w:tcPr>
                  <w:tcW w:w="532" w:type="pct"/>
                  <w:vAlign w:val="center"/>
                </w:tcPr>
                <w:p w14:paraId="286BAC35">
                  <w:pPr>
                    <w:widowControl/>
                    <w:adjustRightInd w:val="0"/>
                    <w:snapToGrid w:val="0"/>
                    <w:jc w:val="center"/>
                    <w:rPr>
                      <w:sz w:val="18"/>
                      <w:szCs w:val="18"/>
                    </w:rPr>
                  </w:pPr>
                  <w:r>
                    <w:rPr>
                      <w:sz w:val="18"/>
                      <w:szCs w:val="18"/>
                    </w:rPr>
                    <w:t>900-047-49</w:t>
                  </w:r>
                </w:p>
              </w:tc>
              <w:tc>
                <w:tcPr>
                  <w:tcW w:w="500" w:type="pct"/>
                  <w:vAlign w:val="center"/>
                </w:tcPr>
                <w:p w14:paraId="45BA2A3F">
                  <w:pPr>
                    <w:jc w:val="center"/>
                    <w:rPr>
                      <w:sz w:val="18"/>
                      <w:szCs w:val="18"/>
                    </w:rPr>
                  </w:pPr>
                  <w:r>
                    <w:rPr>
                      <w:rFonts w:hint="eastAsia"/>
                      <w:sz w:val="18"/>
                      <w:szCs w:val="18"/>
                    </w:rPr>
                    <w:t>0.1</w:t>
                  </w:r>
                </w:p>
              </w:tc>
              <w:tc>
                <w:tcPr>
                  <w:tcW w:w="545" w:type="pct"/>
                  <w:vAlign w:val="center"/>
                </w:tcPr>
                <w:p w14:paraId="11F3872F">
                  <w:pPr>
                    <w:pStyle w:val="55"/>
                    <w:spacing w:before="24" w:after="24"/>
                    <w:rPr>
                      <w:kern w:val="2"/>
                      <w:sz w:val="18"/>
                      <w:szCs w:val="18"/>
                    </w:rPr>
                  </w:pPr>
                  <w:r>
                    <w:rPr>
                      <w:rFonts w:hint="eastAsia"/>
                      <w:kern w:val="2"/>
                      <w:sz w:val="18"/>
                      <w:szCs w:val="18"/>
                    </w:rPr>
                    <w:t>职工生产</w:t>
                  </w:r>
                </w:p>
              </w:tc>
              <w:tc>
                <w:tcPr>
                  <w:tcW w:w="351" w:type="pct"/>
                  <w:vAlign w:val="center"/>
                </w:tcPr>
                <w:p w14:paraId="4695D6D0">
                  <w:pPr>
                    <w:pStyle w:val="55"/>
                    <w:spacing w:before="24" w:after="24"/>
                    <w:rPr>
                      <w:kern w:val="2"/>
                      <w:sz w:val="18"/>
                      <w:szCs w:val="18"/>
                    </w:rPr>
                  </w:pPr>
                  <w:r>
                    <w:rPr>
                      <w:kern w:val="2"/>
                      <w:sz w:val="18"/>
                      <w:szCs w:val="18"/>
                    </w:rPr>
                    <w:t>固态</w:t>
                  </w:r>
                </w:p>
              </w:tc>
              <w:tc>
                <w:tcPr>
                  <w:tcW w:w="377" w:type="pct"/>
                  <w:vAlign w:val="center"/>
                </w:tcPr>
                <w:p w14:paraId="7D5EC100">
                  <w:pPr>
                    <w:pStyle w:val="55"/>
                    <w:spacing w:before="24" w:after="24"/>
                    <w:rPr>
                      <w:kern w:val="2"/>
                      <w:sz w:val="18"/>
                      <w:szCs w:val="18"/>
                    </w:rPr>
                  </w:pPr>
                  <w:r>
                    <w:rPr>
                      <w:rFonts w:hint="eastAsia"/>
                      <w:kern w:val="2"/>
                      <w:sz w:val="18"/>
                      <w:szCs w:val="18"/>
                    </w:rPr>
                    <w:t>手套、口罩、纸张、玻璃等</w:t>
                  </w:r>
                </w:p>
              </w:tc>
              <w:tc>
                <w:tcPr>
                  <w:tcW w:w="414" w:type="pct"/>
                  <w:vAlign w:val="center"/>
                </w:tcPr>
                <w:p w14:paraId="371F1C3B">
                  <w:pPr>
                    <w:jc w:val="center"/>
                    <w:rPr>
                      <w:sz w:val="18"/>
                      <w:szCs w:val="18"/>
                    </w:rPr>
                  </w:pPr>
                  <w:r>
                    <w:rPr>
                      <w:sz w:val="18"/>
                      <w:szCs w:val="18"/>
                    </w:rPr>
                    <w:t>T/C/I/R</w:t>
                  </w:r>
                </w:p>
              </w:tc>
              <w:tc>
                <w:tcPr>
                  <w:tcW w:w="306" w:type="pct"/>
                  <w:vAlign w:val="center"/>
                </w:tcPr>
                <w:p w14:paraId="3F8AC765">
                  <w:pPr>
                    <w:widowControl/>
                    <w:jc w:val="center"/>
                    <w:rPr>
                      <w:sz w:val="18"/>
                      <w:szCs w:val="18"/>
                    </w:rPr>
                  </w:pPr>
                  <w:r>
                    <w:rPr>
                      <w:szCs w:val="21"/>
                    </w:rPr>
                    <w:fldChar w:fldCharType="begin"/>
                  </w:r>
                  <w:r>
                    <w:rPr>
                      <w:szCs w:val="21"/>
                    </w:rPr>
                    <w:instrText xml:space="preserve"> = 1 \* ROMAN \* MERGEFORMAT </w:instrText>
                  </w:r>
                  <w:r>
                    <w:rPr>
                      <w:szCs w:val="21"/>
                    </w:rPr>
                    <w:fldChar w:fldCharType="separate"/>
                  </w:r>
                  <w:r>
                    <w:rPr>
                      <w:szCs w:val="21"/>
                    </w:rPr>
                    <w:t>I</w:t>
                  </w:r>
                  <w:r>
                    <w:rPr>
                      <w:szCs w:val="21"/>
                    </w:rPr>
                    <w:fldChar w:fldCharType="end"/>
                  </w:r>
                </w:p>
              </w:tc>
              <w:tc>
                <w:tcPr>
                  <w:tcW w:w="292" w:type="pct"/>
                  <w:vMerge w:val="continue"/>
                  <w:tcBorders/>
                  <w:vAlign w:val="center"/>
                </w:tcPr>
                <w:p w14:paraId="4A103DDD">
                  <w:pPr>
                    <w:jc w:val="center"/>
                    <w:rPr>
                      <w:sz w:val="18"/>
                      <w:szCs w:val="18"/>
                    </w:rPr>
                  </w:pPr>
                </w:p>
              </w:tc>
              <w:tc>
                <w:tcPr>
                  <w:tcW w:w="189" w:type="pct"/>
                  <w:vMerge w:val="continue"/>
                  <w:tcBorders>
                    <w:right w:val="single" w:color="000000" w:sz="4" w:space="0"/>
                  </w:tcBorders>
                  <w:vAlign w:val="center"/>
                </w:tcPr>
                <w:p w14:paraId="6C222EC2">
                  <w:pPr>
                    <w:jc w:val="center"/>
                    <w:rPr>
                      <w:sz w:val="18"/>
                      <w:szCs w:val="18"/>
                    </w:rPr>
                  </w:pPr>
                </w:p>
              </w:tc>
              <w:tc>
                <w:tcPr>
                  <w:tcW w:w="294" w:type="pct"/>
                  <w:vMerge w:val="continue"/>
                  <w:tcBorders>
                    <w:left w:val="single" w:color="000000" w:sz="4" w:space="0"/>
                  </w:tcBorders>
                  <w:vAlign w:val="center"/>
                </w:tcPr>
                <w:p w14:paraId="7668C2C2">
                  <w:pPr>
                    <w:jc w:val="center"/>
                    <w:rPr>
                      <w:sz w:val="18"/>
                      <w:szCs w:val="18"/>
                    </w:rPr>
                  </w:pPr>
                </w:p>
              </w:tc>
            </w:tr>
            <w:tr w14:paraId="3A8089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54" w:hRule="atLeast"/>
                <w:jc w:val="center"/>
              </w:trPr>
              <w:tc>
                <w:tcPr>
                  <w:tcW w:w="176" w:type="pct"/>
                  <w:vAlign w:val="center"/>
                </w:tcPr>
                <w:p w14:paraId="3211A5BD">
                  <w:pPr>
                    <w:widowControl/>
                    <w:jc w:val="center"/>
                    <w:rPr>
                      <w:rFonts w:hint="eastAsia" w:eastAsia="宋体"/>
                      <w:sz w:val="18"/>
                      <w:szCs w:val="18"/>
                      <w:lang w:val="en-US" w:eastAsia="zh-CN"/>
                    </w:rPr>
                  </w:pPr>
                  <w:r>
                    <w:rPr>
                      <w:rFonts w:hint="eastAsia"/>
                      <w:sz w:val="18"/>
                      <w:szCs w:val="18"/>
                      <w:lang w:val="en-US" w:eastAsia="zh-CN"/>
                    </w:rPr>
                    <w:t>7</w:t>
                  </w:r>
                </w:p>
              </w:tc>
              <w:tc>
                <w:tcPr>
                  <w:tcW w:w="618" w:type="pct"/>
                  <w:shd w:val="clear" w:color="auto" w:fill="auto"/>
                  <w:vAlign w:val="center"/>
                </w:tcPr>
                <w:p w14:paraId="3429B4AE">
                  <w:pPr>
                    <w:pStyle w:val="55"/>
                    <w:spacing w:before="24" w:after="24"/>
                    <w:rPr>
                      <w:rFonts w:hint="eastAsia" w:ascii="宋体" w:hAnsi="Times New Roman" w:eastAsia="宋体" w:cs="Times New Roman"/>
                      <w:bCs/>
                      <w:kern w:val="2"/>
                      <w:sz w:val="18"/>
                      <w:szCs w:val="18"/>
                      <w:lang w:val="en-US" w:eastAsia="zh-CN" w:bidi="ar-SA"/>
                    </w:rPr>
                  </w:pPr>
                  <w:r>
                    <w:rPr>
                      <w:rFonts w:hint="eastAsia"/>
                      <w:bCs/>
                      <w:kern w:val="2"/>
                      <w:sz w:val="18"/>
                      <w:szCs w:val="18"/>
                      <w:lang w:val="en-US" w:eastAsia="zh-CN"/>
                    </w:rPr>
                    <w:t>废水处理污泥</w:t>
                  </w:r>
                </w:p>
              </w:tc>
              <w:tc>
                <w:tcPr>
                  <w:tcW w:w="396" w:type="pct"/>
                  <w:shd w:val="clear"/>
                  <w:vAlign w:val="center"/>
                </w:tcPr>
                <w:p w14:paraId="0A662D4D">
                  <w:pPr>
                    <w:widowControl/>
                    <w:adjustRightInd w:val="0"/>
                    <w:snapToGrid w:val="0"/>
                    <w:jc w:val="center"/>
                    <w:rPr>
                      <w:rFonts w:hint="eastAsia" w:ascii="Times New Roman" w:hAnsi="Times New Roman" w:eastAsia="宋体" w:cs="Times New Roman"/>
                      <w:kern w:val="2"/>
                      <w:sz w:val="18"/>
                      <w:szCs w:val="18"/>
                      <w:lang w:val="en-US" w:eastAsia="zh-CN" w:bidi="ar-SA"/>
                    </w:rPr>
                  </w:pPr>
                  <w:r>
                    <w:rPr>
                      <w:rFonts w:hint="eastAsia"/>
                      <w:sz w:val="18"/>
                      <w:szCs w:val="18"/>
                    </w:rPr>
                    <w:t>HW49</w:t>
                  </w:r>
                </w:p>
              </w:tc>
              <w:tc>
                <w:tcPr>
                  <w:tcW w:w="532" w:type="pct"/>
                  <w:vAlign w:val="center"/>
                </w:tcPr>
                <w:p w14:paraId="5B9E8160">
                  <w:pPr>
                    <w:jc w:val="center"/>
                    <w:rPr>
                      <w:sz w:val="18"/>
                      <w:szCs w:val="18"/>
                    </w:rPr>
                  </w:pPr>
                  <w:r>
                    <w:rPr>
                      <w:sz w:val="18"/>
                      <w:szCs w:val="18"/>
                    </w:rPr>
                    <w:t>900-047-49</w:t>
                  </w:r>
                </w:p>
              </w:tc>
              <w:tc>
                <w:tcPr>
                  <w:tcW w:w="500" w:type="pct"/>
                  <w:vAlign w:val="center"/>
                </w:tcPr>
                <w:p w14:paraId="14CA82D8">
                  <w:pPr>
                    <w:jc w:val="center"/>
                    <w:rPr>
                      <w:rFonts w:hint="default" w:eastAsia="宋体"/>
                      <w:sz w:val="18"/>
                      <w:szCs w:val="18"/>
                      <w:lang w:val="en-US" w:eastAsia="zh-CN"/>
                    </w:rPr>
                  </w:pPr>
                  <w:r>
                    <w:rPr>
                      <w:rFonts w:hint="eastAsia"/>
                      <w:sz w:val="18"/>
                      <w:szCs w:val="18"/>
                      <w:lang w:val="en-US" w:eastAsia="zh-CN"/>
                    </w:rPr>
                    <w:t>0.1</w:t>
                  </w:r>
                </w:p>
              </w:tc>
              <w:tc>
                <w:tcPr>
                  <w:tcW w:w="545" w:type="pct"/>
                  <w:shd w:val="clear" w:color="auto" w:fill="auto"/>
                  <w:vAlign w:val="center"/>
                </w:tcPr>
                <w:p w14:paraId="28EF7508">
                  <w:pPr>
                    <w:pStyle w:val="55"/>
                    <w:spacing w:before="24" w:after="24"/>
                    <w:rPr>
                      <w:rFonts w:hint="eastAsia" w:ascii="宋体" w:hAnsi="Times New Roman" w:eastAsia="宋体" w:cs="Times New Roman"/>
                      <w:kern w:val="2"/>
                      <w:sz w:val="18"/>
                      <w:szCs w:val="18"/>
                      <w:lang w:val="en-US" w:eastAsia="zh-CN" w:bidi="ar-SA"/>
                    </w:rPr>
                  </w:pPr>
                  <w:r>
                    <w:rPr>
                      <w:rFonts w:hint="eastAsia"/>
                      <w:kern w:val="2"/>
                      <w:sz w:val="18"/>
                      <w:szCs w:val="18"/>
                      <w:lang w:val="en-US" w:eastAsia="zh-CN"/>
                    </w:rPr>
                    <w:t>废水处理</w:t>
                  </w:r>
                </w:p>
              </w:tc>
              <w:tc>
                <w:tcPr>
                  <w:tcW w:w="351" w:type="pct"/>
                  <w:shd w:val="clear" w:color="auto" w:fill="auto"/>
                  <w:vAlign w:val="center"/>
                </w:tcPr>
                <w:p w14:paraId="6452F593">
                  <w:pPr>
                    <w:pStyle w:val="55"/>
                    <w:spacing w:before="24" w:after="24"/>
                    <w:rPr>
                      <w:rFonts w:ascii="宋体" w:hAnsi="Times New Roman" w:eastAsia="宋体" w:cs="Times New Roman"/>
                      <w:kern w:val="2"/>
                      <w:sz w:val="18"/>
                      <w:szCs w:val="18"/>
                      <w:lang w:val="en-US" w:eastAsia="zh-CN" w:bidi="ar-SA"/>
                    </w:rPr>
                  </w:pPr>
                  <w:r>
                    <w:rPr>
                      <w:kern w:val="2"/>
                      <w:sz w:val="18"/>
                      <w:szCs w:val="18"/>
                    </w:rPr>
                    <w:t>固态</w:t>
                  </w:r>
                </w:p>
              </w:tc>
              <w:tc>
                <w:tcPr>
                  <w:tcW w:w="377" w:type="pct"/>
                  <w:shd w:val="clear" w:color="auto" w:fill="auto"/>
                  <w:vAlign w:val="center"/>
                </w:tcPr>
                <w:p w14:paraId="767B6B57">
                  <w:pPr>
                    <w:pStyle w:val="55"/>
                    <w:spacing w:before="24" w:after="24"/>
                    <w:rPr>
                      <w:rFonts w:hint="eastAsia" w:ascii="宋体" w:hAnsi="Times New Roman" w:eastAsia="宋体" w:cs="Times New Roman"/>
                      <w:kern w:val="2"/>
                      <w:sz w:val="18"/>
                      <w:szCs w:val="18"/>
                      <w:lang w:val="en-US" w:eastAsia="zh-CN" w:bidi="ar-SA"/>
                    </w:rPr>
                  </w:pPr>
                  <w:r>
                    <w:rPr>
                      <w:rFonts w:hint="eastAsia"/>
                      <w:kern w:val="2"/>
                      <w:sz w:val="18"/>
                      <w:szCs w:val="18"/>
                      <w:lang w:val="en-US" w:eastAsia="zh-CN"/>
                    </w:rPr>
                    <w:t>污泥</w:t>
                  </w:r>
                </w:p>
              </w:tc>
              <w:tc>
                <w:tcPr>
                  <w:tcW w:w="414" w:type="pct"/>
                  <w:shd w:val="clear" w:color="auto" w:fill="auto"/>
                  <w:vAlign w:val="center"/>
                </w:tcPr>
                <w:p w14:paraId="40AD9DA0">
                  <w:pPr>
                    <w:jc w:val="center"/>
                    <w:rPr>
                      <w:rFonts w:hint="eastAsia" w:ascii="Times New Roman" w:hAnsi="Times New Roman" w:eastAsia="宋体" w:cs="Times New Roman"/>
                      <w:kern w:val="2"/>
                      <w:sz w:val="18"/>
                      <w:szCs w:val="18"/>
                      <w:lang w:val="en-US" w:eastAsia="zh-CN" w:bidi="ar-SA"/>
                    </w:rPr>
                  </w:pPr>
                  <w:r>
                    <w:rPr>
                      <w:sz w:val="18"/>
                      <w:szCs w:val="18"/>
                    </w:rPr>
                    <w:t>T/C/I/R</w:t>
                  </w:r>
                </w:p>
              </w:tc>
              <w:tc>
                <w:tcPr>
                  <w:tcW w:w="306" w:type="pct"/>
                  <w:vAlign w:val="center"/>
                </w:tcPr>
                <w:p w14:paraId="4F5ECD24">
                  <w:pPr>
                    <w:widowControl/>
                    <w:jc w:val="center"/>
                    <w:rPr>
                      <w:rFonts w:hint="eastAsia" w:ascii="微软雅黑" w:hAnsi="微软雅黑" w:eastAsia="微软雅黑" w:cs="微软雅黑"/>
                      <w:sz w:val="18"/>
                      <w:szCs w:val="18"/>
                    </w:rPr>
                  </w:pPr>
                  <w:r>
                    <w:rPr>
                      <w:szCs w:val="21"/>
                    </w:rPr>
                    <w:fldChar w:fldCharType="begin"/>
                  </w:r>
                  <w:r>
                    <w:rPr>
                      <w:szCs w:val="21"/>
                    </w:rPr>
                    <w:instrText xml:space="preserve"> = 1 \* ROMAN \* MERGEFORMAT </w:instrText>
                  </w:r>
                  <w:r>
                    <w:rPr>
                      <w:szCs w:val="21"/>
                    </w:rPr>
                    <w:fldChar w:fldCharType="separate"/>
                  </w:r>
                  <w:r>
                    <w:rPr>
                      <w:szCs w:val="21"/>
                    </w:rPr>
                    <w:t>I</w:t>
                  </w:r>
                  <w:r>
                    <w:rPr>
                      <w:szCs w:val="21"/>
                    </w:rPr>
                    <w:fldChar w:fldCharType="end"/>
                  </w:r>
                </w:p>
              </w:tc>
              <w:tc>
                <w:tcPr>
                  <w:tcW w:w="292" w:type="pct"/>
                  <w:vMerge w:val="continue"/>
                  <w:tcBorders/>
                  <w:vAlign w:val="center"/>
                </w:tcPr>
                <w:p w14:paraId="7D723FC0">
                  <w:pPr>
                    <w:jc w:val="center"/>
                    <w:rPr>
                      <w:sz w:val="18"/>
                      <w:szCs w:val="18"/>
                    </w:rPr>
                  </w:pPr>
                </w:p>
              </w:tc>
              <w:tc>
                <w:tcPr>
                  <w:tcW w:w="189" w:type="pct"/>
                  <w:vMerge w:val="continue"/>
                  <w:tcBorders>
                    <w:right w:val="single" w:color="000000" w:sz="4" w:space="0"/>
                  </w:tcBorders>
                  <w:vAlign w:val="center"/>
                </w:tcPr>
                <w:p w14:paraId="0DD75893">
                  <w:pPr>
                    <w:jc w:val="center"/>
                    <w:rPr>
                      <w:sz w:val="18"/>
                      <w:szCs w:val="18"/>
                    </w:rPr>
                  </w:pPr>
                </w:p>
              </w:tc>
              <w:tc>
                <w:tcPr>
                  <w:tcW w:w="294" w:type="pct"/>
                  <w:vMerge w:val="continue"/>
                  <w:tcBorders>
                    <w:left w:val="single" w:color="000000" w:sz="4" w:space="0"/>
                  </w:tcBorders>
                  <w:vAlign w:val="center"/>
                </w:tcPr>
                <w:p w14:paraId="1DDAF2CE">
                  <w:pPr>
                    <w:jc w:val="center"/>
                    <w:rPr>
                      <w:sz w:val="18"/>
                      <w:szCs w:val="18"/>
                    </w:rPr>
                  </w:pPr>
                </w:p>
              </w:tc>
            </w:tr>
            <w:tr w14:paraId="756F85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54" w:hRule="atLeast"/>
                <w:jc w:val="center"/>
              </w:trPr>
              <w:tc>
                <w:tcPr>
                  <w:tcW w:w="176" w:type="pct"/>
                  <w:vAlign w:val="center"/>
                </w:tcPr>
                <w:p w14:paraId="58F9F516">
                  <w:pPr>
                    <w:widowControl/>
                    <w:jc w:val="center"/>
                    <w:rPr>
                      <w:rFonts w:hint="eastAsia" w:eastAsia="宋体"/>
                      <w:sz w:val="18"/>
                      <w:szCs w:val="18"/>
                      <w:lang w:val="en-US" w:eastAsia="zh-CN"/>
                    </w:rPr>
                  </w:pPr>
                  <w:r>
                    <w:rPr>
                      <w:rFonts w:hint="eastAsia"/>
                      <w:sz w:val="18"/>
                      <w:szCs w:val="18"/>
                      <w:lang w:val="en-US" w:eastAsia="zh-CN"/>
                    </w:rPr>
                    <w:t>8</w:t>
                  </w:r>
                </w:p>
              </w:tc>
              <w:tc>
                <w:tcPr>
                  <w:tcW w:w="618" w:type="pct"/>
                  <w:shd w:val="clear" w:color="auto" w:fill="auto"/>
                  <w:vAlign w:val="center"/>
                </w:tcPr>
                <w:p w14:paraId="64706DBF">
                  <w:pPr>
                    <w:pStyle w:val="55"/>
                    <w:spacing w:before="24" w:after="24"/>
                    <w:rPr>
                      <w:rFonts w:hint="eastAsia" w:ascii="宋体" w:hAnsi="Times New Roman" w:eastAsia="宋体" w:cs="Times New Roman"/>
                      <w:bCs/>
                      <w:kern w:val="2"/>
                      <w:sz w:val="18"/>
                      <w:szCs w:val="18"/>
                      <w:lang w:val="en-US" w:eastAsia="zh-CN" w:bidi="ar-SA"/>
                    </w:rPr>
                  </w:pPr>
                  <w:r>
                    <w:rPr>
                      <w:rFonts w:hint="eastAsia"/>
                      <w:bCs/>
                      <w:kern w:val="2"/>
                      <w:sz w:val="18"/>
                      <w:szCs w:val="18"/>
                      <w:lang w:val="en-US" w:eastAsia="zh-CN"/>
                    </w:rPr>
                    <w:t>废过滤介质</w:t>
                  </w:r>
                </w:p>
              </w:tc>
              <w:tc>
                <w:tcPr>
                  <w:tcW w:w="396" w:type="pct"/>
                  <w:shd w:val="clear"/>
                  <w:vAlign w:val="center"/>
                </w:tcPr>
                <w:p w14:paraId="1CB8D001">
                  <w:pPr>
                    <w:widowControl/>
                    <w:adjustRightInd w:val="0"/>
                    <w:snapToGrid w:val="0"/>
                    <w:jc w:val="center"/>
                    <w:rPr>
                      <w:rFonts w:hint="eastAsia" w:ascii="Times New Roman" w:hAnsi="Times New Roman" w:eastAsia="宋体" w:cs="Times New Roman"/>
                      <w:kern w:val="2"/>
                      <w:sz w:val="18"/>
                      <w:szCs w:val="18"/>
                      <w:lang w:val="en-US" w:eastAsia="zh-CN" w:bidi="ar-SA"/>
                    </w:rPr>
                  </w:pPr>
                  <w:r>
                    <w:rPr>
                      <w:rFonts w:hint="eastAsia"/>
                      <w:sz w:val="18"/>
                      <w:szCs w:val="18"/>
                    </w:rPr>
                    <w:t>HW49</w:t>
                  </w:r>
                </w:p>
              </w:tc>
              <w:tc>
                <w:tcPr>
                  <w:tcW w:w="532" w:type="pct"/>
                  <w:vAlign w:val="center"/>
                </w:tcPr>
                <w:p w14:paraId="19A969BD">
                  <w:pPr>
                    <w:widowControl/>
                    <w:adjustRightInd w:val="0"/>
                    <w:snapToGrid w:val="0"/>
                    <w:jc w:val="center"/>
                    <w:rPr>
                      <w:sz w:val="18"/>
                      <w:szCs w:val="18"/>
                    </w:rPr>
                  </w:pPr>
                  <w:r>
                    <w:rPr>
                      <w:sz w:val="18"/>
                      <w:szCs w:val="18"/>
                    </w:rPr>
                    <w:t>900-047-49</w:t>
                  </w:r>
                </w:p>
              </w:tc>
              <w:tc>
                <w:tcPr>
                  <w:tcW w:w="500" w:type="pct"/>
                  <w:vAlign w:val="center"/>
                </w:tcPr>
                <w:p w14:paraId="4C64554C">
                  <w:pPr>
                    <w:jc w:val="center"/>
                    <w:rPr>
                      <w:rFonts w:hint="default" w:eastAsia="宋体"/>
                      <w:sz w:val="18"/>
                      <w:szCs w:val="18"/>
                      <w:lang w:val="en-US" w:eastAsia="zh-CN"/>
                    </w:rPr>
                  </w:pPr>
                  <w:r>
                    <w:rPr>
                      <w:rFonts w:hint="eastAsia"/>
                      <w:sz w:val="18"/>
                      <w:szCs w:val="18"/>
                      <w:lang w:val="en-US" w:eastAsia="zh-CN"/>
                    </w:rPr>
                    <w:t>0.1</w:t>
                  </w:r>
                </w:p>
              </w:tc>
              <w:tc>
                <w:tcPr>
                  <w:tcW w:w="545" w:type="pct"/>
                  <w:shd w:val="clear" w:color="auto" w:fill="auto"/>
                  <w:vAlign w:val="center"/>
                </w:tcPr>
                <w:p w14:paraId="7E2AA12B">
                  <w:pPr>
                    <w:pStyle w:val="55"/>
                    <w:spacing w:before="24" w:after="24"/>
                    <w:rPr>
                      <w:rFonts w:hint="eastAsia" w:ascii="宋体" w:hAnsi="Times New Roman" w:eastAsia="宋体" w:cs="Times New Roman"/>
                      <w:kern w:val="2"/>
                      <w:sz w:val="18"/>
                      <w:szCs w:val="18"/>
                      <w:lang w:val="en-US" w:eastAsia="zh-CN" w:bidi="ar-SA"/>
                    </w:rPr>
                  </w:pPr>
                  <w:r>
                    <w:rPr>
                      <w:rFonts w:hint="eastAsia"/>
                      <w:kern w:val="2"/>
                      <w:sz w:val="18"/>
                      <w:szCs w:val="18"/>
                      <w:lang w:val="en-US" w:eastAsia="zh-CN"/>
                    </w:rPr>
                    <w:t>废水处理</w:t>
                  </w:r>
                </w:p>
              </w:tc>
              <w:tc>
                <w:tcPr>
                  <w:tcW w:w="351" w:type="pct"/>
                  <w:shd w:val="clear" w:color="auto" w:fill="auto"/>
                  <w:vAlign w:val="center"/>
                </w:tcPr>
                <w:p w14:paraId="00E7E2DF">
                  <w:pPr>
                    <w:pStyle w:val="55"/>
                    <w:spacing w:before="24" w:after="24"/>
                    <w:rPr>
                      <w:rFonts w:ascii="宋体" w:hAnsi="Times New Roman" w:eastAsia="宋体" w:cs="Times New Roman"/>
                      <w:kern w:val="2"/>
                      <w:sz w:val="18"/>
                      <w:szCs w:val="18"/>
                      <w:lang w:val="en-US" w:eastAsia="zh-CN" w:bidi="ar-SA"/>
                    </w:rPr>
                  </w:pPr>
                  <w:r>
                    <w:rPr>
                      <w:kern w:val="2"/>
                      <w:sz w:val="18"/>
                      <w:szCs w:val="18"/>
                    </w:rPr>
                    <w:t>固态</w:t>
                  </w:r>
                </w:p>
              </w:tc>
              <w:tc>
                <w:tcPr>
                  <w:tcW w:w="377" w:type="pct"/>
                  <w:shd w:val="clear" w:color="auto" w:fill="auto"/>
                  <w:vAlign w:val="center"/>
                </w:tcPr>
                <w:p w14:paraId="33537BFF">
                  <w:pPr>
                    <w:pStyle w:val="55"/>
                    <w:spacing w:before="24" w:after="24"/>
                    <w:rPr>
                      <w:rFonts w:hint="eastAsia" w:ascii="宋体" w:hAnsi="Times New Roman" w:eastAsia="宋体" w:cs="Times New Roman"/>
                      <w:kern w:val="2"/>
                      <w:sz w:val="18"/>
                      <w:szCs w:val="18"/>
                      <w:lang w:val="en-US" w:eastAsia="zh-CN" w:bidi="ar-SA"/>
                    </w:rPr>
                  </w:pPr>
                  <w:r>
                    <w:rPr>
                      <w:rFonts w:hint="eastAsia"/>
                      <w:kern w:val="2"/>
                      <w:sz w:val="18"/>
                      <w:szCs w:val="18"/>
                      <w:lang w:val="en-US" w:eastAsia="zh-CN"/>
                    </w:rPr>
                    <w:t>石英砂、活性炭</w:t>
                  </w:r>
                </w:p>
              </w:tc>
              <w:tc>
                <w:tcPr>
                  <w:tcW w:w="414" w:type="pct"/>
                  <w:shd w:val="clear" w:color="auto" w:fill="auto"/>
                  <w:vAlign w:val="center"/>
                </w:tcPr>
                <w:p w14:paraId="7212DEBB">
                  <w:pPr>
                    <w:jc w:val="center"/>
                    <w:rPr>
                      <w:rFonts w:hint="eastAsia" w:ascii="Times New Roman" w:hAnsi="Times New Roman" w:eastAsia="宋体" w:cs="Times New Roman"/>
                      <w:kern w:val="2"/>
                      <w:sz w:val="18"/>
                      <w:szCs w:val="18"/>
                      <w:lang w:val="en-US" w:eastAsia="zh-CN" w:bidi="ar-SA"/>
                    </w:rPr>
                  </w:pPr>
                  <w:r>
                    <w:rPr>
                      <w:sz w:val="18"/>
                      <w:szCs w:val="18"/>
                    </w:rPr>
                    <w:t>T/C/I/R</w:t>
                  </w:r>
                </w:p>
              </w:tc>
              <w:tc>
                <w:tcPr>
                  <w:tcW w:w="306" w:type="pct"/>
                  <w:vAlign w:val="center"/>
                </w:tcPr>
                <w:p w14:paraId="3661F646">
                  <w:pPr>
                    <w:widowControl/>
                    <w:jc w:val="center"/>
                    <w:rPr>
                      <w:rFonts w:hint="eastAsia" w:ascii="微软雅黑" w:hAnsi="微软雅黑" w:eastAsia="微软雅黑" w:cs="微软雅黑"/>
                      <w:sz w:val="18"/>
                      <w:szCs w:val="18"/>
                    </w:rPr>
                  </w:pPr>
                  <w:r>
                    <w:rPr>
                      <w:szCs w:val="21"/>
                    </w:rPr>
                    <w:fldChar w:fldCharType="begin"/>
                  </w:r>
                  <w:r>
                    <w:rPr>
                      <w:szCs w:val="21"/>
                    </w:rPr>
                    <w:instrText xml:space="preserve"> = 1 \* ROMAN \* MERGEFORMAT </w:instrText>
                  </w:r>
                  <w:r>
                    <w:rPr>
                      <w:szCs w:val="21"/>
                    </w:rPr>
                    <w:fldChar w:fldCharType="separate"/>
                  </w:r>
                  <w:r>
                    <w:rPr>
                      <w:szCs w:val="21"/>
                    </w:rPr>
                    <w:t>I</w:t>
                  </w:r>
                  <w:r>
                    <w:rPr>
                      <w:szCs w:val="21"/>
                    </w:rPr>
                    <w:fldChar w:fldCharType="end"/>
                  </w:r>
                </w:p>
              </w:tc>
              <w:tc>
                <w:tcPr>
                  <w:tcW w:w="292" w:type="pct"/>
                  <w:vMerge w:val="continue"/>
                  <w:tcBorders/>
                  <w:vAlign w:val="center"/>
                </w:tcPr>
                <w:p w14:paraId="71FE60A2">
                  <w:pPr>
                    <w:jc w:val="center"/>
                    <w:rPr>
                      <w:sz w:val="18"/>
                      <w:szCs w:val="18"/>
                    </w:rPr>
                  </w:pPr>
                </w:p>
              </w:tc>
              <w:tc>
                <w:tcPr>
                  <w:tcW w:w="189" w:type="pct"/>
                  <w:vMerge w:val="continue"/>
                  <w:tcBorders>
                    <w:right w:val="single" w:color="000000" w:sz="4" w:space="0"/>
                  </w:tcBorders>
                  <w:vAlign w:val="center"/>
                </w:tcPr>
                <w:p w14:paraId="71CA4C25">
                  <w:pPr>
                    <w:jc w:val="center"/>
                    <w:rPr>
                      <w:sz w:val="18"/>
                      <w:szCs w:val="18"/>
                    </w:rPr>
                  </w:pPr>
                </w:p>
              </w:tc>
              <w:tc>
                <w:tcPr>
                  <w:tcW w:w="294" w:type="pct"/>
                  <w:vMerge w:val="continue"/>
                  <w:tcBorders>
                    <w:left w:val="single" w:color="000000" w:sz="4" w:space="0"/>
                  </w:tcBorders>
                  <w:vAlign w:val="center"/>
                </w:tcPr>
                <w:p w14:paraId="52E0485B">
                  <w:pPr>
                    <w:jc w:val="center"/>
                    <w:rPr>
                      <w:sz w:val="18"/>
                      <w:szCs w:val="18"/>
                    </w:rPr>
                  </w:pPr>
                </w:p>
              </w:tc>
            </w:tr>
            <w:tr w14:paraId="3CB510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1725" w:type="pct"/>
                  <w:gridSpan w:val="4"/>
                  <w:vAlign w:val="center"/>
                </w:tcPr>
                <w:p w14:paraId="4259E634">
                  <w:pPr>
                    <w:widowControl/>
                    <w:jc w:val="center"/>
                    <w:rPr>
                      <w:sz w:val="18"/>
                      <w:szCs w:val="18"/>
                    </w:rPr>
                  </w:pPr>
                  <w:r>
                    <w:rPr>
                      <w:sz w:val="18"/>
                      <w:szCs w:val="18"/>
                    </w:rPr>
                    <w:t>合计</w:t>
                  </w:r>
                </w:p>
              </w:tc>
              <w:tc>
                <w:tcPr>
                  <w:tcW w:w="500" w:type="pct"/>
                  <w:vAlign w:val="center"/>
                </w:tcPr>
                <w:p w14:paraId="0DE136DB">
                  <w:pPr>
                    <w:jc w:val="center"/>
                    <w:rPr>
                      <w:rFonts w:hint="eastAsia" w:eastAsia="宋体"/>
                      <w:sz w:val="18"/>
                      <w:szCs w:val="18"/>
                      <w:lang w:eastAsia="zh-CN"/>
                    </w:rPr>
                  </w:pPr>
                  <w:r>
                    <w:rPr>
                      <w:rFonts w:hint="eastAsia"/>
                      <w:sz w:val="18"/>
                      <w:szCs w:val="18"/>
                      <w:lang w:eastAsia="zh-CN"/>
                    </w:rPr>
                    <w:t>8.5735</w:t>
                  </w:r>
                </w:p>
              </w:tc>
              <w:tc>
                <w:tcPr>
                  <w:tcW w:w="545" w:type="pct"/>
                  <w:vAlign w:val="center"/>
                </w:tcPr>
                <w:p w14:paraId="14021A7F">
                  <w:pPr>
                    <w:widowControl/>
                    <w:jc w:val="center"/>
                    <w:rPr>
                      <w:sz w:val="18"/>
                      <w:szCs w:val="18"/>
                    </w:rPr>
                  </w:pPr>
                  <w:r>
                    <w:rPr>
                      <w:sz w:val="18"/>
                      <w:szCs w:val="18"/>
                    </w:rPr>
                    <w:t>/</w:t>
                  </w:r>
                </w:p>
              </w:tc>
              <w:tc>
                <w:tcPr>
                  <w:tcW w:w="351" w:type="pct"/>
                  <w:vAlign w:val="center"/>
                </w:tcPr>
                <w:p w14:paraId="2FBF30B0">
                  <w:pPr>
                    <w:widowControl/>
                    <w:jc w:val="center"/>
                    <w:rPr>
                      <w:sz w:val="18"/>
                      <w:szCs w:val="18"/>
                    </w:rPr>
                  </w:pPr>
                  <w:r>
                    <w:rPr>
                      <w:sz w:val="18"/>
                      <w:szCs w:val="18"/>
                    </w:rPr>
                    <w:t>/</w:t>
                  </w:r>
                </w:p>
              </w:tc>
              <w:tc>
                <w:tcPr>
                  <w:tcW w:w="377" w:type="pct"/>
                  <w:vAlign w:val="center"/>
                </w:tcPr>
                <w:p w14:paraId="54BB8C67">
                  <w:pPr>
                    <w:widowControl/>
                    <w:jc w:val="center"/>
                    <w:rPr>
                      <w:sz w:val="18"/>
                      <w:szCs w:val="18"/>
                    </w:rPr>
                  </w:pPr>
                  <w:r>
                    <w:rPr>
                      <w:sz w:val="18"/>
                      <w:szCs w:val="18"/>
                    </w:rPr>
                    <w:t>/</w:t>
                  </w:r>
                </w:p>
              </w:tc>
              <w:tc>
                <w:tcPr>
                  <w:tcW w:w="414" w:type="pct"/>
                  <w:vAlign w:val="center"/>
                </w:tcPr>
                <w:p w14:paraId="3A063BA9">
                  <w:pPr>
                    <w:jc w:val="center"/>
                    <w:rPr>
                      <w:sz w:val="18"/>
                      <w:szCs w:val="18"/>
                    </w:rPr>
                  </w:pPr>
                  <w:r>
                    <w:rPr>
                      <w:sz w:val="18"/>
                      <w:szCs w:val="18"/>
                    </w:rPr>
                    <w:t>/</w:t>
                  </w:r>
                </w:p>
              </w:tc>
              <w:tc>
                <w:tcPr>
                  <w:tcW w:w="306" w:type="pct"/>
                  <w:vAlign w:val="center"/>
                </w:tcPr>
                <w:p w14:paraId="1C2B9FFC">
                  <w:pPr>
                    <w:jc w:val="center"/>
                    <w:rPr>
                      <w:sz w:val="18"/>
                      <w:szCs w:val="18"/>
                    </w:rPr>
                  </w:pPr>
                  <w:r>
                    <w:rPr>
                      <w:sz w:val="18"/>
                      <w:szCs w:val="18"/>
                    </w:rPr>
                    <w:t>/</w:t>
                  </w:r>
                </w:p>
              </w:tc>
              <w:tc>
                <w:tcPr>
                  <w:tcW w:w="292" w:type="pct"/>
                  <w:shd w:val="clear"/>
                  <w:vAlign w:val="center"/>
                </w:tcPr>
                <w:p w14:paraId="50A53500">
                  <w:pPr>
                    <w:jc w:val="center"/>
                    <w:rPr>
                      <w:rFonts w:hint="default" w:ascii="Times New Roman" w:hAnsi="Times New Roman" w:eastAsia="宋体" w:cs="Times New Roman"/>
                      <w:kern w:val="2"/>
                      <w:sz w:val="18"/>
                      <w:szCs w:val="18"/>
                      <w:lang w:val="en-US" w:eastAsia="zh-CN" w:bidi="ar-SA"/>
                    </w:rPr>
                  </w:pPr>
                  <w:r>
                    <w:rPr>
                      <w:rFonts w:hint="eastAsia"/>
                      <w:sz w:val="18"/>
                      <w:szCs w:val="18"/>
                      <w:lang w:val="en-US" w:eastAsia="zh-CN"/>
                    </w:rPr>
                    <w:t>8.5735</w:t>
                  </w:r>
                </w:p>
              </w:tc>
              <w:tc>
                <w:tcPr>
                  <w:tcW w:w="189" w:type="pct"/>
                  <w:tcBorders>
                    <w:right w:val="single" w:color="000000" w:sz="4" w:space="0"/>
                  </w:tcBorders>
                  <w:shd w:val="clear"/>
                  <w:vAlign w:val="center"/>
                </w:tcPr>
                <w:p w14:paraId="6CEF3284">
                  <w:pPr>
                    <w:jc w:val="center"/>
                    <w:rPr>
                      <w:rFonts w:ascii="Times New Roman" w:hAnsi="Times New Roman" w:eastAsia="宋体" w:cs="Times New Roman"/>
                      <w:kern w:val="2"/>
                      <w:sz w:val="18"/>
                      <w:szCs w:val="18"/>
                      <w:lang w:val="en-US" w:eastAsia="zh-CN" w:bidi="ar-SA"/>
                    </w:rPr>
                  </w:pPr>
                  <w:r>
                    <w:rPr>
                      <w:rFonts w:hint="eastAsia"/>
                      <w:sz w:val="18"/>
                      <w:szCs w:val="18"/>
                    </w:rPr>
                    <w:t>0</w:t>
                  </w:r>
                </w:p>
              </w:tc>
              <w:tc>
                <w:tcPr>
                  <w:tcW w:w="294" w:type="pct"/>
                  <w:tcBorders>
                    <w:left w:val="single" w:color="000000" w:sz="4" w:space="0"/>
                  </w:tcBorders>
                  <w:shd w:val="clear"/>
                  <w:vAlign w:val="center"/>
                </w:tcPr>
                <w:p w14:paraId="2F71D2E9">
                  <w:pPr>
                    <w:jc w:val="center"/>
                    <w:rPr>
                      <w:rFonts w:hint="eastAsia" w:ascii="Times New Roman" w:hAnsi="Times New Roman" w:eastAsia="宋体" w:cs="Times New Roman"/>
                      <w:kern w:val="2"/>
                      <w:sz w:val="18"/>
                      <w:szCs w:val="18"/>
                      <w:lang w:val="en-US" w:eastAsia="zh-CN" w:bidi="ar-SA"/>
                    </w:rPr>
                  </w:pPr>
                  <w:r>
                    <w:rPr>
                      <w:rFonts w:hint="eastAsia"/>
                      <w:sz w:val="18"/>
                      <w:szCs w:val="18"/>
                      <w:lang w:val="en-US" w:eastAsia="zh-CN"/>
                    </w:rPr>
                    <w:t>0</w:t>
                  </w:r>
                </w:p>
              </w:tc>
            </w:tr>
          </w:tbl>
          <w:p w14:paraId="093E799E">
            <w:pPr>
              <w:widowControl/>
              <w:shd w:val="clear" w:color="auto" w:fill="FFFFFF"/>
              <w:spacing w:before="120" w:beforeLines="50" w:line="360" w:lineRule="auto"/>
              <w:ind w:firstLine="392" w:firstLineChars="200"/>
              <w:jc w:val="left"/>
              <w:rPr>
                <w:spacing w:val="8"/>
                <w:kern w:val="0"/>
                <w:sz w:val="18"/>
                <w:szCs w:val="18"/>
              </w:rPr>
            </w:pPr>
            <w:r>
              <w:rPr>
                <w:rFonts w:hint="eastAsia"/>
                <w:spacing w:val="8"/>
                <w:kern w:val="0"/>
                <w:sz w:val="18"/>
                <w:szCs w:val="18"/>
              </w:rPr>
              <w:t>注：危险废物环境风险等级判别参照《省生态环境厅关于印发&lt;江苏省危险废物集中收集体系建设工作方案（试行）&gt;的通知》（苏环办〔2021〕290号）。本企业属于特别行业单位。</w:t>
            </w:r>
          </w:p>
          <w:p w14:paraId="3CCC659C">
            <w:pPr>
              <w:widowControl/>
              <w:shd w:val="clear" w:color="auto" w:fill="FFFFFF"/>
              <w:spacing w:before="120" w:beforeLines="50" w:line="360" w:lineRule="auto"/>
              <w:ind w:firstLine="452" w:firstLineChars="200"/>
              <w:jc w:val="left"/>
              <w:rPr>
                <w:spacing w:val="8"/>
                <w:kern w:val="0"/>
                <w:szCs w:val="21"/>
              </w:rPr>
            </w:pPr>
            <w:r>
              <w:rPr>
                <w:spacing w:val="8"/>
                <w:kern w:val="0"/>
                <w:szCs w:val="21"/>
              </w:rPr>
              <w:t>从项目采用的固废利用及处置方式来分析，对产生的各类固废按其性质分类分区收集和暂存，并均能得到有效利用或妥善处置。在严格管理下，本项目的固体废物对周围环境不会产生二次污染。</w:t>
            </w:r>
          </w:p>
          <w:p w14:paraId="0862E8E4">
            <w:pPr>
              <w:widowControl/>
              <w:shd w:val="clear" w:color="auto" w:fill="FFFFFF"/>
              <w:spacing w:line="360" w:lineRule="auto"/>
              <w:ind w:firstLine="454" w:firstLineChars="200"/>
              <w:jc w:val="left"/>
              <w:rPr>
                <w:b/>
                <w:bCs/>
                <w:spacing w:val="8"/>
                <w:kern w:val="0"/>
                <w:szCs w:val="21"/>
              </w:rPr>
            </w:pPr>
            <w:r>
              <w:rPr>
                <w:b/>
                <w:bCs/>
                <w:spacing w:val="8"/>
                <w:kern w:val="0"/>
                <w:szCs w:val="21"/>
              </w:rPr>
              <w:t>（4）固废暂存场所（设施）环境影响分析</w:t>
            </w:r>
          </w:p>
          <w:p w14:paraId="558D36C9">
            <w:pPr>
              <w:widowControl/>
              <w:shd w:val="clear" w:color="auto" w:fill="FFFFFF"/>
              <w:spacing w:line="360" w:lineRule="auto"/>
              <w:ind w:firstLine="452" w:firstLineChars="200"/>
              <w:jc w:val="left"/>
              <w:rPr>
                <w:spacing w:val="8"/>
                <w:kern w:val="0"/>
                <w:szCs w:val="21"/>
              </w:rPr>
            </w:pPr>
            <w:r>
              <w:rPr>
                <w:spacing w:val="8"/>
                <w:kern w:val="0"/>
                <w:szCs w:val="21"/>
              </w:rPr>
              <w:t>建设项目拟建</w:t>
            </w:r>
            <w:r>
              <w:rPr>
                <w:rFonts w:hint="eastAsia"/>
                <w:spacing w:val="8"/>
                <w:kern w:val="0"/>
                <w:szCs w:val="21"/>
                <w:lang w:val="en-US" w:eastAsia="zh-CN"/>
              </w:rPr>
              <w:t>9</w:t>
            </w:r>
            <w:r>
              <w:rPr>
                <w:spacing w:val="8"/>
                <w:kern w:val="0"/>
                <w:szCs w:val="21"/>
              </w:rPr>
              <w:t>m</w:t>
            </w:r>
            <w:r>
              <w:rPr>
                <w:spacing w:val="8"/>
                <w:kern w:val="0"/>
                <w:szCs w:val="21"/>
                <w:vertAlign w:val="superscript"/>
              </w:rPr>
              <w:t>2</w:t>
            </w:r>
            <w:r>
              <w:rPr>
                <w:spacing w:val="8"/>
                <w:kern w:val="0"/>
                <w:szCs w:val="21"/>
              </w:rPr>
              <w:t>的危险废物贮存场所，贮存场所拟按照《危险废物贮存污染控制标准》（GB18597-2023）的相关要求建设，建设项目危废分类存放、贮存，不相容的危险废物除分类存放，还应设置隔离间隔断。</w:t>
            </w:r>
          </w:p>
          <w:p w14:paraId="257BB38F">
            <w:pPr>
              <w:widowControl/>
              <w:shd w:val="clear" w:color="auto" w:fill="FFFFFF"/>
              <w:spacing w:line="360" w:lineRule="auto"/>
              <w:ind w:firstLine="452" w:firstLineChars="200"/>
              <w:jc w:val="left"/>
              <w:rPr>
                <w:spacing w:val="8"/>
                <w:kern w:val="0"/>
                <w:szCs w:val="21"/>
              </w:rPr>
            </w:pPr>
            <w:r>
              <w:rPr>
                <w:spacing w:val="8"/>
                <w:kern w:val="0"/>
                <w:szCs w:val="21"/>
              </w:rPr>
              <w:t>本项目危险废物包括：</w:t>
            </w:r>
            <w:r>
              <w:rPr>
                <w:rFonts w:hint="eastAsia"/>
                <w:spacing w:val="8"/>
                <w:kern w:val="0"/>
                <w:szCs w:val="21"/>
              </w:rPr>
              <w:t>废试剂包装</w:t>
            </w:r>
            <w:r>
              <w:rPr>
                <w:spacing w:val="8"/>
                <w:kern w:val="0"/>
                <w:szCs w:val="21"/>
              </w:rPr>
              <w:t>、</w:t>
            </w:r>
            <w:r>
              <w:rPr>
                <w:rFonts w:hint="eastAsia"/>
                <w:spacing w:val="8"/>
                <w:kern w:val="0"/>
                <w:szCs w:val="21"/>
              </w:rPr>
              <w:t>实验废液、</w:t>
            </w:r>
            <w:r>
              <w:rPr>
                <w:rFonts w:hint="eastAsia"/>
                <w:spacing w:val="8"/>
                <w:kern w:val="0"/>
                <w:szCs w:val="21"/>
                <w:lang w:val="en-US" w:eastAsia="zh-CN"/>
              </w:rPr>
              <w:t>初道</w:t>
            </w:r>
            <w:r>
              <w:rPr>
                <w:rFonts w:hint="eastAsia"/>
                <w:spacing w:val="8"/>
                <w:kern w:val="0"/>
                <w:szCs w:val="21"/>
              </w:rPr>
              <w:t>清洗废水、废活性炭</w:t>
            </w:r>
            <w:r>
              <w:rPr>
                <w:rFonts w:hint="eastAsia"/>
                <w:spacing w:val="8"/>
                <w:kern w:val="0"/>
                <w:szCs w:val="21"/>
                <w:lang w:eastAsia="zh-CN"/>
              </w:rPr>
              <w:t>、</w:t>
            </w:r>
            <w:r>
              <w:rPr>
                <w:rFonts w:hint="eastAsia"/>
                <w:spacing w:val="8"/>
                <w:kern w:val="0"/>
                <w:szCs w:val="21"/>
              </w:rPr>
              <w:t>废实验耗材</w:t>
            </w:r>
            <w:r>
              <w:rPr>
                <w:rFonts w:hint="eastAsia"/>
                <w:spacing w:val="8"/>
                <w:kern w:val="0"/>
                <w:szCs w:val="21"/>
                <w:lang w:eastAsia="zh-CN"/>
              </w:rPr>
              <w:t>、</w:t>
            </w:r>
            <w:r>
              <w:rPr>
                <w:rFonts w:hint="eastAsia"/>
                <w:spacing w:val="8"/>
                <w:kern w:val="0"/>
                <w:szCs w:val="21"/>
                <w:lang w:val="en-US" w:eastAsia="zh-CN"/>
              </w:rPr>
              <w:t>废水处理污泥和废过滤介质</w:t>
            </w:r>
            <w:r>
              <w:rPr>
                <w:rFonts w:hint="eastAsia"/>
                <w:spacing w:val="8"/>
                <w:kern w:val="0"/>
                <w:szCs w:val="21"/>
              </w:rPr>
              <w:t>。</w:t>
            </w:r>
          </w:p>
          <w:p w14:paraId="15A43611">
            <w:pPr>
              <w:widowControl/>
              <w:shd w:val="clear" w:color="auto" w:fill="FFFFFF"/>
              <w:spacing w:line="360" w:lineRule="auto"/>
              <w:ind w:firstLine="420" w:firstLineChars="200"/>
              <w:rPr>
                <w:kern w:val="0"/>
                <w:szCs w:val="21"/>
              </w:rPr>
            </w:pPr>
            <w:r>
              <w:rPr>
                <w:rFonts w:hint="eastAsia"/>
                <w:szCs w:val="21"/>
              </w:rPr>
              <w:t>废活性炭采用密封袋装贮存，每3个月转运一次，每次约</w:t>
            </w:r>
            <w:r>
              <w:rPr>
                <w:rFonts w:hint="eastAsia"/>
                <w:szCs w:val="21"/>
                <w:lang w:val="en-US" w:eastAsia="zh-CN"/>
              </w:rPr>
              <w:t>1.1109</w:t>
            </w:r>
            <w:r>
              <w:rPr>
                <w:rFonts w:hint="eastAsia"/>
                <w:szCs w:val="21"/>
              </w:rPr>
              <w:t>t，</w:t>
            </w:r>
            <w:r>
              <w:rPr>
                <w:rFonts w:hint="eastAsia"/>
                <w:szCs w:val="21"/>
                <w:lang w:val="en-US" w:eastAsia="zh-CN"/>
              </w:rPr>
              <w:t>2</w:t>
            </w:r>
            <w:r>
              <w:rPr>
                <w:rFonts w:hint="eastAsia"/>
                <w:szCs w:val="21"/>
              </w:rPr>
              <w:t>个吨袋，</w:t>
            </w:r>
            <w:r>
              <w:rPr>
                <w:rFonts w:hint="eastAsia"/>
                <w:szCs w:val="21"/>
                <w:lang w:val="en-US" w:eastAsia="zh-CN"/>
              </w:rPr>
              <w:t>2层堆放，</w:t>
            </w:r>
            <w:r>
              <w:rPr>
                <w:rFonts w:hint="eastAsia"/>
                <w:szCs w:val="21"/>
              </w:rPr>
              <w:t>设置贮存区面积1m</w:t>
            </w:r>
            <w:r>
              <w:rPr>
                <w:rFonts w:hint="eastAsia"/>
                <w:szCs w:val="21"/>
                <w:vertAlign w:val="superscript"/>
              </w:rPr>
              <w:t>2</w:t>
            </w:r>
            <w:r>
              <w:rPr>
                <w:rFonts w:hint="eastAsia"/>
                <w:szCs w:val="21"/>
              </w:rPr>
              <w:t>；</w:t>
            </w:r>
          </w:p>
          <w:p w14:paraId="57BAD7BB">
            <w:pPr>
              <w:widowControl/>
              <w:shd w:val="clear" w:color="auto" w:fill="FFFFFF"/>
              <w:spacing w:line="360" w:lineRule="auto"/>
              <w:ind w:firstLine="452" w:firstLineChars="200"/>
              <w:rPr>
                <w:spacing w:val="8"/>
                <w:kern w:val="0"/>
                <w:szCs w:val="21"/>
              </w:rPr>
            </w:pPr>
            <w:r>
              <w:rPr>
                <w:rFonts w:hint="eastAsia"/>
                <w:spacing w:val="8"/>
                <w:kern w:val="0"/>
                <w:szCs w:val="21"/>
              </w:rPr>
              <w:t>废试剂包装</w:t>
            </w:r>
            <w:r>
              <w:rPr>
                <w:rFonts w:hint="eastAsia"/>
                <w:szCs w:val="21"/>
              </w:rPr>
              <w:t>采用密封袋装贮存，</w:t>
            </w:r>
            <w:r>
              <w:rPr>
                <w:kern w:val="0"/>
                <w:szCs w:val="21"/>
              </w:rPr>
              <w:t>每年转运一次，每次约</w:t>
            </w:r>
            <w:r>
              <w:rPr>
                <w:rFonts w:hint="eastAsia"/>
                <w:kern w:val="0"/>
                <w:szCs w:val="21"/>
              </w:rPr>
              <w:t>0.9</w:t>
            </w:r>
            <w:r>
              <w:rPr>
                <w:kern w:val="0"/>
                <w:szCs w:val="21"/>
              </w:rPr>
              <w:t>t，设置贮存区面积约1m</w:t>
            </w:r>
            <w:r>
              <w:rPr>
                <w:kern w:val="0"/>
                <w:szCs w:val="21"/>
                <w:vertAlign w:val="superscript"/>
              </w:rPr>
              <w:t>2</w:t>
            </w:r>
            <w:r>
              <w:rPr>
                <w:kern w:val="0"/>
                <w:szCs w:val="21"/>
              </w:rPr>
              <w:t>；</w:t>
            </w:r>
          </w:p>
          <w:p w14:paraId="35F30B8F">
            <w:pPr>
              <w:widowControl/>
              <w:shd w:val="clear" w:color="auto" w:fill="FFFFFF"/>
              <w:spacing w:line="360" w:lineRule="auto"/>
              <w:ind w:firstLine="452" w:firstLineChars="200"/>
              <w:rPr>
                <w:kern w:val="0"/>
                <w:szCs w:val="21"/>
              </w:rPr>
            </w:pPr>
            <w:r>
              <w:rPr>
                <w:rFonts w:hint="eastAsia"/>
                <w:spacing w:val="8"/>
                <w:kern w:val="0"/>
                <w:szCs w:val="21"/>
              </w:rPr>
              <w:t>实验废液</w:t>
            </w:r>
            <w:r>
              <w:rPr>
                <w:rFonts w:hint="eastAsia"/>
                <w:kern w:val="0"/>
                <w:szCs w:val="21"/>
              </w:rPr>
              <w:t>加盖密封</w:t>
            </w:r>
            <w:r>
              <w:rPr>
                <w:kern w:val="0"/>
                <w:szCs w:val="21"/>
              </w:rPr>
              <w:t>贮存，每年转运一次，每次约</w:t>
            </w:r>
            <w:r>
              <w:rPr>
                <w:rFonts w:hint="eastAsia"/>
                <w:kern w:val="0"/>
                <w:szCs w:val="21"/>
                <w:lang w:eastAsia="zh-CN"/>
              </w:rPr>
              <w:t>0.53</w:t>
            </w:r>
            <w:r>
              <w:rPr>
                <w:kern w:val="0"/>
                <w:szCs w:val="21"/>
              </w:rPr>
              <w:t>t，设置贮存区面积约1m</w:t>
            </w:r>
            <w:r>
              <w:rPr>
                <w:kern w:val="0"/>
                <w:szCs w:val="21"/>
                <w:vertAlign w:val="superscript"/>
              </w:rPr>
              <w:t>2</w:t>
            </w:r>
            <w:r>
              <w:rPr>
                <w:kern w:val="0"/>
                <w:szCs w:val="21"/>
              </w:rPr>
              <w:t>；</w:t>
            </w:r>
          </w:p>
          <w:p w14:paraId="0A8E2FE3">
            <w:pPr>
              <w:widowControl/>
              <w:shd w:val="clear" w:color="auto" w:fill="FFFFFF"/>
              <w:spacing w:line="360" w:lineRule="auto"/>
              <w:ind w:firstLine="420" w:firstLineChars="200"/>
              <w:rPr>
                <w:kern w:val="0"/>
                <w:szCs w:val="21"/>
              </w:rPr>
            </w:pPr>
            <w:r>
              <w:rPr>
                <w:rFonts w:hint="eastAsia"/>
                <w:kern w:val="0"/>
                <w:szCs w:val="21"/>
                <w:lang w:val="en-US" w:eastAsia="zh-CN"/>
              </w:rPr>
              <w:t>初道清洗</w:t>
            </w:r>
            <w:r>
              <w:rPr>
                <w:rFonts w:hint="eastAsia"/>
                <w:kern w:val="0"/>
                <w:szCs w:val="21"/>
              </w:rPr>
              <w:t>废水加盖密封</w:t>
            </w:r>
            <w:r>
              <w:rPr>
                <w:kern w:val="0"/>
                <w:szCs w:val="21"/>
              </w:rPr>
              <w:t>贮存，每年转运一次，每次约</w:t>
            </w:r>
            <w:r>
              <w:rPr>
                <w:rFonts w:hint="eastAsia"/>
                <w:kern w:val="0"/>
                <w:szCs w:val="21"/>
                <w:lang w:val="en-US" w:eastAsia="zh-CN"/>
              </w:rPr>
              <w:t>2</w:t>
            </w:r>
            <w:r>
              <w:rPr>
                <w:kern w:val="0"/>
                <w:szCs w:val="21"/>
              </w:rPr>
              <w:t>t，设置贮存区面积约</w:t>
            </w:r>
            <w:r>
              <w:rPr>
                <w:rFonts w:hint="eastAsia"/>
                <w:kern w:val="0"/>
                <w:szCs w:val="21"/>
                <w:lang w:val="en-US" w:eastAsia="zh-CN"/>
              </w:rPr>
              <w:t>2</w:t>
            </w:r>
            <w:r>
              <w:rPr>
                <w:kern w:val="0"/>
                <w:szCs w:val="21"/>
              </w:rPr>
              <w:t>m</w:t>
            </w:r>
            <w:r>
              <w:rPr>
                <w:kern w:val="0"/>
                <w:szCs w:val="21"/>
                <w:vertAlign w:val="superscript"/>
              </w:rPr>
              <w:t>2</w:t>
            </w:r>
            <w:r>
              <w:rPr>
                <w:kern w:val="0"/>
                <w:szCs w:val="21"/>
              </w:rPr>
              <w:t>；</w:t>
            </w:r>
          </w:p>
          <w:p w14:paraId="7037122D">
            <w:pPr>
              <w:pStyle w:val="4"/>
              <w:spacing w:before="0" w:after="0" w:line="360" w:lineRule="auto"/>
              <w:rPr>
                <w:b w:val="0"/>
                <w:bCs w:val="0"/>
                <w:sz w:val="21"/>
                <w:szCs w:val="21"/>
              </w:rPr>
            </w:pPr>
            <w:r>
              <w:rPr>
                <w:rFonts w:hint="eastAsia"/>
                <w:sz w:val="21"/>
                <w:szCs w:val="21"/>
              </w:rPr>
              <w:t xml:space="preserve">    </w:t>
            </w:r>
            <w:r>
              <w:rPr>
                <w:rFonts w:hint="eastAsia"/>
                <w:b w:val="0"/>
                <w:bCs w:val="0"/>
                <w:sz w:val="21"/>
                <w:szCs w:val="21"/>
              </w:rPr>
              <w:t>废气喷淋废液加盖密封贮存，每年转运一次，每次约0.4t，设置贮存区面积约</w:t>
            </w:r>
            <w:r>
              <w:rPr>
                <w:rFonts w:hint="eastAsia"/>
                <w:b w:val="0"/>
                <w:bCs w:val="0"/>
                <w:sz w:val="21"/>
                <w:szCs w:val="21"/>
                <w:lang w:val="en-US" w:eastAsia="zh-CN"/>
              </w:rPr>
              <w:t>0.5</w:t>
            </w:r>
            <w:r>
              <w:rPr>
                <w:rFonts w:hint="eastAsia"/>
                <w:b w:val="0"/>
                <w:bCs w:val="0"/>
                <w:sz w:val="21"/>
                <w:szCs w:val="21"/>
              </w:rPr>
              <w:t>m</w:t>
            </w:r>
            <w:r>
              <w:rPr>
                <w:rFonts w:hint="eastAsia"/>
                <w:b w:val="0"/>
                <w:bCs w:val="0"/>
                <w:sz w:val="21"/>
                <w:szCs w:val="21"/>
                <w:vertAlign w:val="superscript"/>
              </w:rPr>
              <w:t>2</w:t>
            </w:r>
            <w:r>
              <w:rPr>
                <w:rFonts w:hint="eastAsia"/>
                <w:b w:val="0"/>
                <w:bCs w:val="0"/>
                <w:sz w:val="21"/>
                <w:szCs w:val="21"/>
              </w:rPr>
              <w:t>；</w:t>
            </w:r>
          </w:p>
          <w:p w14:paraId="52FA45EA">
            <w:pPr>
              <w:pStyle w:val="4"/>
              <w:spacing w:before="0" w:after="0" w:line="360" w:lineRule="auto"/>
              <w:ind w:left="420" w:leftChars="200" w:firstLine="0" w:firstLineChars="0"/>
              <w:rPr>
                <w:rFonts w:hint="eastAsia" w:eastAsia="宋体"/>
                <w:b w:val="0"/>
                <w:bCs w:val="0"/>
                <w:sz w:val="21"/>
                <w:szCs w:val="21"/>
                <w:lang w:eastAsia="zh-CN"/>
              </w:rPr>
            </w:pPr>
            <w:r>
              <w:rPr>
                <w:rFonts w:hint="eastAsia"/>
                <w:b w:val="0"/>
                <w:bCs w:val="0"/>
                <w:sz w:val="21"/>
                <w:szCs w:val="21"/>
              </w:rPr>
              <w:t>废实验耗材采用密封袋装贮存，每年转运一次，每次0.1t，1个吨袋，设置贮存区面积</w:t>
            </w:r>
            <w:r>
              <w:rPr>
                <w:rFonts w:hint="eastAsia"/>
                <w:b w:val="0"/>
                <w:bCs w:val="0"/>
                <w:sz w:val="21"/>
                <w:szCs w:val="21"/>
                <w:lang w:val="en-US" w:eastAsia="zh-CN"/>
              </w:rPr>
              <w:t>0.5</w:t>
            </w:r>
            <w:r>
              <w:rPr>
                <w:rFonts w:hint="eastAsia"/>
                <w:b w:val="0"/>
                <w:bCs w:val="0"/>
                <w:sz w:val="21"/>
                <w:szCs w:val="21"/>
              </w:rPr>
              <w:t>m</w:t>
            </w:r>
            <w:r>
              <w:rPr>
                <w:rFonts w:hint="eastAsia"/>
                <w:b w:val="0"/>
                <w:bCs w:val="0"/>
                <w:sz w:val="21"/>
                <w:szCs w:val="21"/>
                <w:vertAlign w:val="superscript"/>
              </w:rPr>
              <w:t>2</w:t>
            </w:r>
            <w:r>
              <w:rPr>
                <w:rFonts w:hint="eastAsia"/>
                <w:b w:val="0"/>
                <w:bCs w:val="0"/>
                <w:sz w:val="21"/>
                <w:szCs w:val="21"/>
                <w:lang w:eastAsia="zh-CN"/>
              </w:rPr>
              <w:t>；</w:t>
            </w:r>
            <w:r>
              <w:rPr>
                <w:rFonts w:hint="eastAsia"/>
                <w:b w:val="0"/>
                <w:bCs w:val="0"/>
                <w:sz w:val="21"/>
                <w:szCs w:val="21"/>
                <w:lang w:val="en-US" w:eastAsia="zh-CN"/>
              </w:rPr>
              <w:t>废水处理污泥</w:t>
            </w:r>
            <w:r>
              <w:rPr>
                <w:rFonts w:hint="eastAsia"/>
                <w:b w:val="0"/>
                <w:bCs w:val="0"/>
                <w:sz w:val="21"/>
                <w:szCs w:val="21"/>
              </w:rPr>
              <w:t>采用密封袋装贮存，每年转运一次，每次0.1t，1个吨袋，设置贮存区面积</w:t>
            </w:r>
            <w:r>
              <w:rPr>
                <w:rFonts w:hint="eastAsia"/>
                <w:b w:val="0"/>
                <w:bCs w:val="0"/>
                <w:sz w:val="21"/>
                <w:szCs w:val="21"/>
                <w:lang w:val="en-US" w:eastAsia="zh-CN"/>
              </w:rPr>
              <w:t>0.5</w:t>
            </w:r>
            <w:r>
              <w:rPr>
                <w:rFonts w:hint="eastAsia"/>
                <w:b w:val="0"/>
                <w:bCs w:val="0"/>
                <w:sz w:val="21"/>
                <w:szCs w:val="21"/>
              </w:rPr>
              <w:t>m</w:t>
            </w:r>
            <w:r>
              <w:rPr>
                <w:rFonts w:hint="eastAsia"/>
                <w:b w:val="0"/>
                <w:bCs w:val="0"/>
                <w:sz w:val="21"/>
                <w:szCs w:val="21"/>
                <w:vertAlign w:val="superscript"/>
              </w:rPr>
              <w:t>2</w:t>
            </w:r>
            <w:r>
              <w:rPr>
                <w:rFonts w:hint="eastAsia"/>
                <w:b w:val="0"/>
                <w:bCs w:val="0"/>
                <w:sz w:val="21"/>
                <w:szCs w:val="21"/>
                <w:lang w:eastAsia="zh-CN"/>
              </w:rPr>
              <w:t>；</w:t>
            </w:r>
          </w:p>
          <w:p w14:paraId="33A607B3">
            <w:pPr>
              <w:pStyle w:val="4"/>
              <w:spacing w:before="0" w:after="0" w:line="360" w:lineRule="auto"/>
              <w:ind w:firstLine="420" w:firstLineChars="200"/>
              <w:rPr>
                <w:rFonts w:hint="eastAsia"/>
                <w:b w:val="0"/>
                <w:bCs w:val="0"/>
                <w:sz w:val="21"/>
                <w:szCs w:val="21"/>
              </w:rPr>
            </w:pPr>
            <w:r>
              <w:rPr>
                <w:rFonts w:hint="eastAsia"/>
                <w:b w:val="0"/>
                <w:bCs w:val="0"/>
                <w:sz w:val="21"/>
                <w:szCs w:val="21"/>
                <w:lang w:val="en-US" w:eastAsia="zh-CN"/>
              </w:rPr>
              <w:t>废过滤介质</w:t>
            </w:r>
            <w:r>
              <w:rPr>
                <w:rFonts w:hint="eastAsia"/>
                <w:b w:val="0"/>
                <w:bCs w:val="0"/>
                <w:sz w:val="21"/>
                <w:szCs w:val="21"/>
              </w:rPr>
              <w:t>采用密封袋装贮存，每年转运一次，每次0.1t，1个吨袋，设置贮存区面积</w:t>
            </w:r>
            <w:r>
              <w:rPr>
                <w:rFonts w:hint="eastAsia"/>
                <w:b w:val="0"/>
                <w:bCs w:val="0"/>
                <w:sz w:val="21"/>
                <w:szCs w:val="21"/>
                <w:lang w:val="en-US" w:eastAsia="zh-CN"/>
              </w:rPr>
              <w:t>0.5</w:t>
            </w:r>
            <w:r>
              <w:rPr>
                <w:rFonts w:hint="eastAsia"/>
                <w:b w:val="0"/>
                <w:bCs w:val="0"/>
                <w:sz w:val="21"/>
                <w:szCs w:val="21"/>
              </w:rPr>
              <w:t>m</w:t>
            </w:r>
            <w:r>
              <w:rPr>
                <w:rFonts w:hint="eastAsia"/>
                <w:b w:val="0"/>
                <w:bCs w:val="0"/>
                <w:sz w:val="21"/>
                <w:szCs w:val="21"/>
                <w:vertAlign w:val="superscript"/>
              </w:rPr>
              <w:t>2</w:t>
            </w:r>
            <w:r>
              <w:rPr>
                <w:rFonts w:hint="eastAsia"/>
                <w:b w:val="0"/>
                <w:bCs w:val="0"/>
                <w:sz w:val="21"/>
                <w:szCs w:val="21"/>
              </w:rPr>
              <w:t>。</w:t>
            </w:r>
          </w:p>
          <w:p w14:paraId="0A1647D9">
            <w:pPr>
              <w:widowControl/>
              <w:shd w:val="clear" w:color="auto" w:fill="FFFFFF"/>
              <w:spacing w:line="360" w:lineRule="auto"/>
              <w:ind w:firstLine="420" w:firstLineChars="200"/>
              <w:rPr>
                <w:kern w:val="0"/>
                <w:szCs w:val="21"/>
              </w:rPr>
            </w:pPr>
            <w:r>
              <w:rPr>
                <w:kern w:val="0"/>
                <w:szCs w:val="21"/>
              </w:rPr>
              <w:t>综上分析，本项目所产生的危废仓库共需</w:t>
            </w:r>
            <w:r>
              <w:rPr>
                <w:rFonts w:hint="eastAsia"/>
                <w:kern w:val="0"/>
                <w:szCs w:val="21"/>
                <w:lang w:val="en-US" w:eastAsia="zh-CN"/>
              </w:rPr>
              <w:t>7</w:t>
            </w:r>
            <w:r>
              <w:rPr>
                <w:kern w:val="0"/>
                <w:szCs w:val="21"/>
              </w:rPr>
              <w:t>m</w:t>
            </w:r>
            <w:r>
              <w:rPr>
                <w:kern w:val="0"/>
                <w:szCs w:val="21"/>
                <w:vertAlign w:val="superscript"/>
              </w:rPr>
              <w:t>2</w:t>
            </w:r>
            <w:r>
              <w:rPr>
                <w:kern w:val="0"/>
                <w:szCs w:val="21"/>
              </w:rPr>
              <w:t>，考虑危废仓库还需设置过道、导流渠、收集池等，本项目设置危废仓库面积约</w:t>
            </w:r>
            <w:r>
              <w:rPr>
                <w:rFonts w:hint="eastAsia"/>
                <w:kern w:val="0"/>
                <w:szCs w:val="21"/>
                <w:lang w:val="en-US" w:eastAsia="zh-CN"/>
              </w:rPr>
              <w:t>9</w:t>
            </w:r>
            <w:r>
              <w:rPr>
                <w:kern w:val="0"/>
                <w:szCs w:val="21"/>
              </w:rPr>
              <w:t>m</w:t>
            </w:r>
            <w:r>
              <w:rPr>
                <w:kern w:val="0"/>
                <w:szCs w:val="21"/>
                <w:vertAlign w:val="superscript"/>
              </w:rPr>
              <w:t>2</w:t>
            </w:r>
            <w:r>
              <w:rPr>
                <w:kern w:val="0"/>
                <w:szCs w:val="21"/>
              </w:rPr>
              <w:t>可以满足贮存要求。</w:t>
            </w:r>
          </w:p>
          <w:p w14:paraId="13CEFEE4">
            <w:pPr>
              <w:widowControl/>
              <w:shd w:val="clear" w:color="auto" w:fill="FFFFFF"/>
              <w:spacing w:line="360" w:lineRule="auto"/>
              <w:ind w:firstLine="480" w:firstLineChars="200"/>
              <w:jc w:val="center"/>
              <w:rPr>
                <w:rFonts w:hint="eastAsia" w:eastAsia="宋体"/>
                <w:kern w:val="0"/>
                <w:sz w:val="24"/>
                <w:lang w:eastAsia="zh-CN"/>
              </w:rPr>
            </w:pPr>
            <w:r>
              <w:rPr>
                <w:rFonts w:hint="eastAsia" w:eastAsia="宋体"/>
                <w:kern w:val="0"/>
                <w:sz w:val="24"/>
                <w:lang w:eastAsia="zh-CN"/>
              </w:rPr>
              <w:drawing>
                <wp:inline distT="0" distB="0" distL="114300" distR="114300">
                  <wp:extent cx="3115310" cy="3176905"/>
                  <wp:effectExtent l="0" t="0" r="8890" b="444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48"/>
                          <a:stretch>
                            <a:fillRect/>
                          </a:stretch>
                        </pic:blipFill>
                        <pic:spPr>
                          <a:xfrm>
                            <a:off x="0" y="0"/>
                            <a:ext cx="3115310" cy="3176905"/>
                          </a:xfrm>
                          <a:prstGeom prst="rect">
                            <a:avLst/>
                          </a:prstGeom>
                        </pic:spPr>
                      </pic:pic>
                    </a:graphicData>
                  </a:graphic>
                </wp:inline>
              </w:drawing>
            </w:r>
          </w:p>
          <w:p w14:paraId="07152701">
            <w:pPr>
              <w:adjustRightInd w:val="0"/>
              <w:snapToGrid w:val="0"/>
              <w:spacing w:line="360" w:lineRule="auto"/>
              <w:jc w:val="center"/>
              <w:rPr>
                <w:b/>
                <w:bCs/>
                <w:szCs w:val="21"/>
              </w:rPr>
            </w:pPr>
            <w:r>
              <w:rPr>
                <w:b/>
                <w:szCs w:val="21"/>
              </w:rPr>
              <w:t>图4-</w:t>
            </w:r>
            <w:r>
              <w:rPr>
                <w:rFonts w:hint="eastAsia"/>
                <w:b/>
                <w:szCs w:val="21"/>
              </w:rPr>
              <w:t>6</w:t>
            </w:r>
            <w:r>
              <w:rPr>
                <w:b/>
                <w:szCs w:val="21"/>
              </w:rPr>
              <w:t xml:space="preserve"> </w:t>
            </w:r>
            <w:r>
              <w:rPr>
                <w:b/>
                <w:color w:val="auto"/>
              </w:rPr>
              <w:t>危废仓库贮存示意图</w:t>
            </w:r>
          </w:p>
          <w:p w14:paraId="5186115A">
            <w:pPr>
              <w:widowControl/>
              <w:shd w:val="clear" w:color="auto" w:fill="FFFFFF"/>
              <w:spacing w:line="360" w:lineRule="auto"/>
              <w:ind w:firstLine="452" w:firstLineChars="200"/>
              <w:jc w:val="left"/>
              <w:rPr>
                <w:spacing w:val="8"/>
                <w:kern w:val="0"/>
                <w:szCs w:val="21"/>
              </w:rPr>
            </w:pPr>
            <w:r>
              <w:rPr>
                <w:spacing w:val="8"/>
                <w:kern w:val="0"/>
                <w:szCs w:val="21"/>
              </w:rPr>
              <w:t>收集的危险废物及时贮存至危废间，同时建立危险废物管理制度，设置储存台账，如实记录危险废物储存及处理情况，贮存场所拟在出入口设置在线视频监控。</w:t>
            </w:r>
            <w:r>
              <w:rPr>
                <w:rFonts w:hint="eastAsia"/>
                <w:spacing w:val="8"/>
                <w:kern w:val="0"/>
                <w:szCs w:val="21"/>
              </w:rPr>
              <w:t>项目危废仓库拟设置废气收集处理设施，废气经整体抽风收集，送入活性炭吸附装置处理后排放</w:t>
            </w:r>
            <w:r>
              <w:rPr>
                <w:spacing w:val="8"/>
                <w:kern w:val="0"/>
                <w:szCs w:val="21"/>
              </w:rPr>
              <w:t>，符合相关管理要求。</w:t>
            </w:r>
          </w:p>
          <w:p w14:paraId="1F54882F">
            <w:pPr>
              <w:widowControl/>
              <w:shd w:val="clear" w:color="auto" w:fill="FFFFFF"/>
              <w:spacing w:line="360" w:lineRule="auto"/>
              <w:ind w:firstLine="452" w:firstLineChars="200"/>
              <w:jc w:val="left"/>
              <w:rPr>
                <w:spacing w:val="8"/>
                <w:kern w:val="0"/>
                <w:szCs w:val="21"/>
              </w:rPr>
            </w:pPr>
            <w:r>
              <w:rPr>
                <w:spacing w:val="8"/>
                <w:kern w:val="0"/>
                <w:szCs w:val="21"/>
              </w:rPr>
              <w:t>因此，危险废物的贮存满足《危险废物贮存污染控制标准》（GB18597-2023）的相关要求。</w:t>
            </w:r>
          </w:p>
          <w:p w14:paraId="08F9286D">
            <w:pPr>
              <w:widowControl/>
              <w:shd w:val="clear" w:color="auto" w:fill="FFFFFF"/>
              <w:spacing w:line="360" w:lineRule="auto"/>
              <w:ind w:firstLine="454" w:firstLineChars="200"/>
              <w:jc w:val="left"/>
              <w:rPr>
                <w:b/>
                <w:bCs/>
                <w:spacing w:val="8"/>
                <w:kern w:val="0"/>
                <w:szCs w:val="21"/>
              </w:rPr>
            </w:pPr>
            <w:r>
              <w:rPr>
                <w:b/>
                <w:bCs/>
                <w:spacing w:val="8"/>
                <w:kern w:val="0"/>
                <w:szCs w:val="21"/>
              </w:rPr>
              <w:t>（5）运输过程的环境影响分析</w:t>
            </w:r>
          </w:p>
          <w:p w14:paraId="59909DA9">
            <w:pPr>
              <w:widowControl/>
              <w:shd w:val="clear" w:color="auto" w:fill="FFFFFF"/>
              <w:spacing w:line="360" w:lineRule="auto"/>
              <w:ind w:firstLine="452" w:firstLineChars="200"/>
              <w:jc w:val="left"/>
              <w:rPr>
                <w:spacing w:val="8"/>
                <w:kern w:val="0"/>
                <w:szCs w:val="21"/>
              </w:rPr>
            </w:pPr>
            <w:r>
              <w:rPr>
                <w:spacing w:val="8"/>
                <w:kern w:val="0"/>
                <w:szCs w:val="21"/>
              </w:rPr>
              <w:t>危险废物的收集、运输按照《危险废物收集</w:t>
            </w:r>
            <w:r>
              <w:rPr>
                <w:rFonts w:hint="eastAsia"/>
                <w:spacing w:val="8"/>
                <w:kern w:val="0"/>
                <w:szCs w:val="21"/>
              </w:rPr>
              <w:t xml:space="preserve"> </w:t>
            </w:r>
            <w:r>
              <w:rPr>
                <w:spacing w:val="8"/>
                <w:kern w:val="0"/>
                <w:szCs w:val="21"/>
              </w:rPr>
              <w:t>贮存</w:t>
            </w:r>
            <w:r>
              <w:rPr>
                <w:rFonts w:hint="eastAsia"/>
                <w:spacing w:val="8"/>
                <w:kern w:val="0"/>
                <w:szCs w:val="21"/>
              </w:rPr>
              <w:t xml:space="preserve"> </w:t>
            </w:r>
            <w:r>
              <w:rPr>
                <w:spacing w:val="8"/>
                <w:kern w:val="0"/>
                <w:szCs w:val="21"/>
              </w:rPr>
              <w:t>运输技术规范》（HJ2025-2012）的要求进行。在运输过程中，按照《江苏省固体废物污染环境防治条例》中对危险废物的包装、运输的有关标准、技术规范和要求进行，有效防止危险废物转移过程中污染环境。项目需处理的危险废物采用专门的车辆，密闭运输，严格禁止抛洒滴漏，杜绝在运输过程中造成环境的二次污染。在危险废物的运输中执行</w:t>
            </w:r>
            <w:r>
              <w:rPr>
                <w:rFonts w:hint="eastAsia"/>
                <w:spacing w:val="8"/>
                <w:kern w:val="0"/>
                <w:szCs w:val="21"/>
              </w:rPr>
              <w:t>《</w:t>
            </w:r>
            <w:r>
              <w:rPr>
                <w:spacing w:val="8"/>
                <w:kern w:val="0"/>
                <w:szCs w:val="21"/>
              </w:rPr>
              <w:t>危险废物转移</w:t>
            </w:r>
            <w:r>
              <w:rPr>
                <w:rFonts w:hint="eastAsia"/>
                <w:spacing w:val="8"/>
                <w:kern w:val="0"/>
                <w:szCs w:val="21"/>
              </w:rPr>
              <w:t>管理办法》</w:t>
            </w:r>
            <w:r>
              <w:rPr>
                <w:spacing w:val="8"/>
                <w:kern w:val="0"/>
                <w:szCs w:val="21"/>
              </w:rPr>
              <w:t>有关的规定和要求。</w:t>
            </w:r>
          </w:p>
          <w:p w14:paraId="1BFD41DA">
            <w:pPr>
              <w:widowControl/>
              <w:shd w:val="clear" w:color="auto" w:fill="FFFFFF"/>
              <w:spacing w:line="360" w:lineRule="auto"/>
              <w:ind w:firstLine="452" w:firstLineChars="200"/>
              <w:jc w:val="left"/>
              <w:rPr>
                <w:spacing w:val="8"/>
                <w:kern w:val="0"/>
                <w:szCs w:val="21"/>
              </w:rPr>
            </w:pPr>
            <w:r>
              <w:rPr>
                <w:spacing w:val="8"/>
                <w:kern w:val="0"/>
                <w:szCs w:val="21"/>
              </w:rPr>
              <w:t>建设单位须针对此对员工进行培训，加强安全生产及防止污染的意识，培训通过后方可上岗，对于固体废弃物的收集、运输要实施专人专职管理制度并建立好台账。</w:t>
            </w:r>
          </w:p>
          <w:p w14:paraId="5DD3F96C">
            <w:pPr>
              <w:widowControl/>
              <w:shd w:val="clear" w:color="auto" w:fill="FFFFFF"/>
              <w:spacing w:line="360" w:lineRule="auto"/>
              <w:ind w:firstLine="454" w:firstLineChars="200"/>
              <w:jc w:val="left"/>
              <w:rPr>
                <w:b/>
                <w:bCs/>
                <w:spacing w:val="8"/>
                <w:kern w:val="0"/>
                <w:szCs w:val="21"/>
              </w:rPr>
            </w:pPr>
            <w:r>
              <w:rPr>
                <w:b/>
                <w:bCs/>
                <w:spacing w:val="8"/>
                <w:kern w:val="0"/>
                <w:szCs w:val="21"/>
              </w:rPr>
              <w:t>（6）委托处置的环境影响分析</w:t>
            </w:r>
          </w:p>
          <w:p w14:paraId="28148B0A">
            <w:pPr>
              <w:widowControl/>
              <w:shd w:val="clear" w:color="auto" w:fill="FFFFFF"/>
              <w:spacing w:line="360" w:lineRule="auto"/>
              <w:ind w:firstLine="452" w:firstLineChars="200"/>
              <w:jc w:val="left"/>
              <w:rPr>
                <w:spacing w:val="8"/>
                <w:kern w:val="0"/>
                <w:szCs w:val="21"/>
              </w:rPr>
            </w:pPr>
            <w:r>
              <w:rPr>
                <w:spacing w:val="8"/>
                <w:kern w:val="0"/>
                <w:szCs w:val="21"/>
              </w:rPr>
              <w:t>本项目位于海安市，周边主要的危废处置单位有南通九洲环保科技有限公司、南通润启环保服务有限公司等。危废处置单位情况见下表。</w:t>
            </w:r>
          </w:p>
          <w:p w14:paraId="3726BA34">
            <w:pPr>
              <w:widowControl/>
              <w:shd w:val="clear" w:color="auto" w:fill="FFFFFF"/>
              <w:jc w:val="center"/>
              <w:rPr>
                <w:b/>
                <w:bCs/>
                <w:spacing w:val="8"/>
                <w:kern w:val="0"/>
                <w:szCs w:val="21"/>
              </w:rPr>
            </w:pPr>
            <w:r>
              <w:rPr>
                <w:b/>
                <w:bCs/>
                <w:spacing w:val="8"/>
                <w:kern w:val="0"/>
                <w:szCs w:val="21"/>
              </w:rPr>
              <w:t>表4-2</w:t>
            </w:r>
            <w:r>
              <w:rPr>
                <w:rFonts w:hint="eastAsia"/>
                <w:b/>
                <w:bCs/>
                <w:spacing w:val="8"/>
                <w:kern w:val="0"/>
                <w:szCs w:val="21"/>
                <w:lang w:val="en-US" w:eastAsia="zh-CN"/>
              </w:rPr>
              <w:t>7</w:t>
            </w:r>
            <w:r>
              <w:rPr>
                <w:b/>
                <w:bCs/>
                <w:spacing w:val="8"/>
                <w:kern w:val="0"/>
                <w:szCs w:val="21"/>
              </w:rPr>
              <w:t xml:space="preserve"> 周边危废处置单位情况表</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957"/>
              <w:gridCol w:w="1014"/>
              <w:gridCol w:w="769"/>
              <w:gridCol w:w="6056"/>
            </w:tblGrid>
            <w:tr w14:paraId="0D27A2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4" w:hRule="atLeast"/>
                <w:jc w:val="center"/>
              </w:trPr>
              <w:tc>
                <w:tcPr>
                  <w:tcW w:w="953" w:type="dxa"/>
                  <w:vAlign w:val="center"/>
                </w:tcPr>
                <w:p w14:paraId="63C21FE0">
                  <w:pPr>
                    <w:pStyle w:val="22"/>
                    <w:adjustRightInd w:val="0"/>
                    <w:snapToGrid w:val="0"/>
                    <w:ind w:firstLine="0" w:firstLineChars="0"/>
                    <w:jc w:val="center"/>
                    <w:rPr>
                      <w:b/>
                      <w:bCs/>
                      <w:sz w:val="18"/>
                      <w:szCs w:val="18"/>
                    </w:rPr>
                  </w:pPr>
                  <w:r>
                    <w:rPr>
                      <w:b/>
                      <w:bCs/>
                      <w:sz w:val="18"/>
                      <w:szCs w:val="18"/>
                    </w:rPr>
                    <w:t>单位名称</w:t>
                  </w:r>
                </w:p>
              </w:tc>
              <w:tc>
                <w:tcPr>
                  <w:tcW w:w="1009" w:type="dxa"/>
                  <w:vAlign w:val="center"/>
                </w:tcPr>
                <w:p w14:paraId="294DBD0D">
                  <w:pPr>
                    <w:pStyle w:val="22"/>
                    <w:adjustRightInd w:val="0"/>
                    <w:snapToGrid w:val="0"/>
                    <w:ind w:firstLine="0" w:firstLineChars="0"/>
                    <w:jc w:val="center"/>
                    <w:rPr>
                      <w:b/>
                      <w:bCs/>
                      <w:sz w:val="18"/>
                      <w:szCs w:val="18"/>
                    </w:rPr>
                  </w:pPr>
                  <w:r>
                    <w:rPr>
                      <w:b/>
                      <w:bCs/>
                      <w:sz w:val="18"/>
                      <w:szCs w:val="18"/>
                    </w:rPr>
                    <w:t>地址</w:t>
                  </w:r>
                </w:p>
              </w:tc>
              <w:tc>
                <w:tcPr>
                  <w:tcW w:w="766" w:type="dxa"/>
                  <w:vAlign w:val="center"/>
                </w:tcPr>
                <w:p w14:paraId="265A6C0C">
                  <w:pPr>
                    <w:pStyle w:val="22"/>
                    <w:adjustRightInd w:val="0"/>
                    <w:snapToGrid w:val="0"/>
                    <w:ind w:firstLine="0" w:firstLineChars="0"/>
                    <w:jc w:val="center"/>
                    <w:rPr>
                      <w:b/>
                      <w:bCs/>
                      <w:sz w:val="18"/>
                      <w:szCs w:val="18"/>
                    </w:rPr>
                  </w:pPr>
                  <w:r>
                    <w:rPr>
                      <w:b/>
                      <w:bCs/>
                      <w:sz w:val="18"/>
                      <w:szCs w:val="18"/>
                    </w:rPr>
                    <w:t>许可量</w:t>
                  </w:r>
                </w:p>
              </w:tc>
              <w:tc>
                <w:tcPr>
                  <w:tcW w:w="6028" w:type="dxa"/>
                  <w:vAlign w:val="center"/>
                </w:tcPr>
                <w:p w14:paraId="75EFD768">
                  <w:pPr>
                    <w:pStyle w:val="22"/>
                    <w:adjustRightInd w:val="0"/>
                    <w:snapToGrid w:val="0"/>
                    <w:ind w:firstLine="0" w:firstLineChars="0"/>
                    <w:jc w:val="center"/>
                    <w:rPr>
                      <w:b/>
                      <w:bCs/>
                      <w:sz w:val="18"/>
                      <w:szCs w:val="18"/>
                    </w:rPr>
                  </w:pPr>
                  <w:r>
                    <w:rPr>
                      <w:b/>
                      <w:bCs/>
                      <w:sz w:val="18"/>
                      <w:szCs w:val="18"/>
                    </w:rPr>
                    <w:t>经营范围</w:t>
                  </w:r>
                </w:p>
              </w:tc>
            </w:tr>
            <w:tr w14:paraId="121E27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953" w:type="dxa"/>
                  <w:vAlign w:val="center"/>
                </w:tcPr>
                <w:p w14:paraId="449E3DD0">
                  <w:pPr>
                    <w:pStyle w:val="95"/>
                    <w:adjustRightInd w:val="0"/>
                    <w:snapToGrid w:val="0"/>
                    <w:jc w:val="center"/>
                    <w:rPr>
                      <w:rFonts w:ascii="Times New Roman" w:hAnsi="Times New Roman"/>
                      <w:sz w:val="18"/>
                      <w:szCs w:val="18"/>
                      <w:lang w:eastAsia="zh-CN"/>
                    </w:rPr>
                  </w:pPr>
                  <w:r>
                    <w:rPr>
                      <w:rFonts w:ascii="Times New Roman" w:hAnsi="Times New Roman"/>
                      <w:sz w:val="18"/>
                      <w:szCs w:val="18"/>
                      <w:lang w:eastAsia="zh-CN"/>
                    </w:rPr>
                    <w:t>南通润启环保服务有限公司</w:t>
                  </w:r>
                </w:p>
              </w:tc>
              <w:tc>
                <w:tcPr>
                  <w:tcW w:w="1009" w:type="dxa"/>
                  <w:vAlign w:val="center"/>
                </w:tcPr>
                <w:p w14:paraId="05B62125">
                  <w:pPr>
                    <w:pStyle w:val="95"/>
                    <w:adjustRightInd w:val="0"/>
                    <w:snapToGrid w:val="0"/>
                    <w:jc w:val="center"/>
                    <w:rPr>
                      <w:rFonts w:ascii="Times New Roman" w:hAnsi="Times New Roman"/>
                      <w:sz w:val="18"/>
                      <w:szCs w:val="18"/>
                      <w:lang w:eastAsia="zh-CN"/>
                    </w:rPr>
                  </w:pPr>
                  <w:r>
                    <w:rPr>
                      <w:rFonts w:ascii="Times New Roman" w:hAnsi="Times New Roman"/>
                      <w:sz w:val="18"/>
                      <w:szCs w:val="18"/>
                      <w:lang w:eastAsia="zh-CN"/>
                    </w:rPr>
                    <w:t>启东市滨江精细化工园上海路318号</w:t>
                  </w:r>
                </w:p>
              </w:tc>
              <w:tc>
                <w:tcPr>
                  <w:tcW w:w="766" w:type="dxa"/>
                  <w:vAlign w:val="center"/>
                </w:tcPr>
                <w:p w14:paraId="37222DFB">
                  <w:pPr>
                    <w:pStyle w:val="95"/>
                    <w:adjustRightInd w:val="0"/>
                    <w:snapToGrid w:val="0"/>
                    <w:jc w:val="center"/>
                    <w:rPr>
                      <w:rFonts w:ascii="Times New Roman" w:hAnsi="Times New Roman"/>
                      <w:sz w:val="18"/>
                      <w:szCs w:val="18"/>
                      <w:lang w:eastAsia="zh-CN"/>
                    </w:rPr>
                  </w:pPr>
                  <w:r>
                    <w:rPr>
                      <w:rFonts w:ascii="Times New Roman" w:hAnsi="Times New Roman"/>
                      <w:sz w:val="18"/>
                      <w:szCs w:val="18"/>
                      <w:lang w:eastAsia="zh-CN"/>
                    </w:rPr>
                    <w:t>25000t/a</w:t>
                  </w:r>
                </w:p>
              </w:tc>
              <w:tc>
                <w:tcPr>
                  <w:tcW w:w="6028" w:type="dxa"/>
                  <w:vAlign w:val="center"/>
                </w:tcPr>
                <w:p w14:paraId="354AD019">
                  <w:pPr>
                    <w:pStyle w:val="95"/>
                    <w:adjustRightInd w:val="0"/>
                    <w:snapToGrid w:val="0"/>
                    <w:jc w:val="center"/>
                    <w:rPr>
                      <w:rFonts w:ascii="Times New Roman" w:hAnsi="Times New Roman"/>
                      <w:sz w:val="18"/>
                      <w:szCs w:val="18"/>
                      <w:lang w:eastAsia="zh-CN"/>
                    </w:rPr>
                  </w:pPr>
                  <w:r>
                    <w:rPr>
                      <w:rFonts w:ascii="Times New Roman" w:hAnsi="Times New Roman"/>
                      <w:sz w:val="18"/>
                      <w:szCs w:val="18"/>
                      <w:lang w:eastAsia="zh-CN"/>
                    </w:rPr>
                    <w:t>焚烧处置医药废物（HW02）、废药物药品（HW03）、农药废物（HW04）、木材防腐剂废物（HW05）、废有机溶剂与含有机溶剂废物（HW06）、废矿物油与含矿物油废物（HW08）、油/水、烃/水混合物或乳化液（HW09）、精（蒸）馏残渣（HW11）、染料及涂料废物（HW12）、有机树脂类废物（HW13）、新化学物质废物（HW14）、表面处理废物（HW17，仅限 336-050-17、#336-051-17、336-053-17、336-055-17、336-060-17、336-067-17、#336-068-17、336-069-17、336-101-17）、有机硅烷化合物废物（HW37）、有机氰化物废物（HW38）、含酚废物（HW39）、含醚废物（HW40）、含有机卤化物废物（HW45）、其他废物（HW49，仅限 900-039-49、900-041-49、900-042-49、900-046-49、900-047-49、#900-999-49）、废催化剂（HW50，仅限 261-151-50、261-152-50、#261-183-50、263-013-50、271-006-50、275-009-50、276-006-50、#900-048-50）</w:t>
                  </w:r>
                </w:p>
              </w:tc>
            </w:tr>
            <w:tr w14:paraId="1354C4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953" w:type="dxa"/>
                  <w:vAlign w:val="center"/>
                </w:tcPr>
                <w:p w14:paraId="29E6B97A">
                  <w:pPr>
                    <w:pStyle w:val="22"/>
                    <w:adjustRightInd w:val="0"/>
                    <w:snapToGrid w:val="0"/>
                    <w:ind w:firstLine="0" w:firstLineChars="0"/>
                    <w:jc w:val="center"/>
                    <w:rPr>
                      <w:sz w:val="18"/>
                      <w:szCs w:val="18"/>
                    </w:rPr>
                  </w:pPr>
                  <w:r>
                    <w:rPr>
                      <w:sz w:val="18"/>
                      <w:szCs w:val="18"/>
                    </w:rPr>
                    <w:t>南通九洲环保科技有限公司</w:t>
                  </w:r>
                </w:p>
              </w:tc>
              <w:tc>
                <w:tcPr>
                  <w:tcW w:w="1009" w:type="dxa"/>
                  <w:vAlign w:val="center"/>
                </w:tcPr>
                <w:p w14:paraId="13664BEC">
                  <w:pPr>
                    <w:pStyle w:val="22"/>
                    <w:adjustRightInd w:val="0"/>
                    <w:snapToGrid w:val="0"/>
                    <w:ind w:firstLine="0" w:firstLineChars="0"/>
                    <w:jc w:val="center"/>
                    <w:rPr>
                      <w:sz w:val="18"/>
                      <w:szCs w:val="18"/>
                    </w:rPr>
                  </w:pPr>
                  <w:r>
                    <w:rPr>
                      <w:sz w:val="18"/>
                      <w:szCs w:val="18"/>
                    </w:rPr>
                    <w:t>南通市如皋市长江镇规划路1 号</w:t>
                  </w:r>
                </w:p>
              </w:tc>
              <w:tc>
                <w:tcPr>
                  <w:tcW w:w="766" w:type="dxa"/>
                  <w:vAlign w:val="center"/>
                </w:tcPr>
                <w:p w14:paraId="567B64F7">
                  <w:pPr>
                    <w:pStyle w:val="22"/>
                    <w:adjustRightInd w:val="0"/>
                    <w:snapToGrid w:val="0"/>
                    <w:ind w:firstLine="0" w:firstLineChars="0"/>
                    <w:jc w:val="center"/>
                    <w:rPr>
                      <w:sz w:val="18"/>
                      <w:szCs w:val="18"/>
                    </w:rPr>
                  </w:pPr>
                  <w:r>
                    <w:rPr>
                      <w:sz w:val="18"/>
                      <w:szCs w:val="18"/>
                    </w:rPr>
                    <w:t>20000</w:t>
                  </w:r>
                </w:p>
                <w:p w14:paraId="56DD3577">
                  <w:pPr>
                    <w:pStyle w:val="22"/>
                    <w:adjustRightInd w:val="0"/>
                    <w:snapToGrid w:val="0"/>
                    <w:ind w:firstLine="0" w:firstLineChars="0"/>
                    <w:jc w:val="center"/>
                    <w:rPr>
                      <w:sz w:val="18"/>
                      <w:szCs w:val="18"/>
                    </w:rPr>
                  </w:pPr>
                  <w:r>
                    <w:rPr>
                      <w:sz w:val="18"/>
                      <w:szCs w:val="18"/>
                    </w:rPr>
                    <w:t>t/a</w:t>
                  </w:r>
                </w:p>
              </w:tc>
              <w:tc>
                <w:tcPr>
                  <w:tcW w:w="6028" w:type="dxa"/>
                  <w:vAlign w:val="center"/>
                </w:tcPr>
                <w:p w14:paraId="7F58F8FB">
                  <w:pPr>
                    <w:pStyle w:val="95"/>
                    <w:adjustRightInd w:val="0"/>
                    <w:snapToGrid w:val="0"/>
                    <w:jc w:val="center"/>
                    <w:rPr>
                      <w:rFonts w:ascii="Times New Roman" w:hAnsi="Times New Roman"/>
                      <w:sz w:val="18"/>
                      <w:szCs w:val="18"/>
                      <w:lang w:eastAsia="zh-CN"/>
                    </w:rPr>
                  </w:pPr>
                  <w:r>
                    <w:rPr>
                      <w:rFonts w:ascii="Times New Roman" w:hAnsi="Times New Roman"/>
                      <w:sz w:val="18"/>
                      <w:szCs w:val="18"/>
                      <w:lang w:eastAsia="zh-CN"/>
                    </w:rPr>
                    <w:t>焚烧处置医药废物（HW02）、废药物药品（HW03）、农药废物（HW04）、木材防腐剂废物（HW05）、废有机溶剂与含有机溶剂废物（HW06）、废矿物油与含矿物油废物（HW08）、油/水、烃/水混合物或乳化液（HW09）、精（蒸）馏残渣（HW11）、染料、涂料废物（HW12）、有机树脂类废物（HW13）、新化学药品废物（HW14）、表面处理废物（HW17）、有机磷化合物废物（HW37）、有机氰化物废物（HW38）、含酚废物（HW39）、含醚类废物（HW40）、含有机卤化物废物（HW45）、其他废物（HW49）（不含309-001-49、900-042-49、900-044-49、900-045-49、900-999-49）、废催化剂（HW50，275-009-50、276-006-50、263-013-50、261-151-50、261-183-50）共计20000吨/年</w:t>
                  </w:r>
                </w:p>
              </w:tc>
            </w:tr>
          </w:tbl>
          <w:p w14:paraId="360F8E12">
            <w:pPr>
              <w:widowControl/>
              <w:shd w:val="clear" w:color="auto" w:fill="FFFFFF"/>
              <w:spacing w:line="360" w:lineRule="auto"/>
              <w:ind w:firstLine="452" w:firstLineChars="200"/>
              <w:jc w:val="left"/>
              <w:rPr>
                <w:spacing w:val="8"/>
                <w:kern w:val="0"/>
                <w:szCs w:val="21"/>
              </w:rPr>
            </w:pPr>
            <w:r>
              <w:rPr>
                <w:spacing w:val="8"/>
                <w:kern w:val="0"/>
                <w:szCs w:val="21"/>
              </w:rPr>
              <w:t>本项目产生的危险废物，可综合选择相应公司委托进行处理处置。</w:t>
            </w:r>
          </w:p>
          <w:p w14:paraId="0DCA23F4">
            <w:pPr>
              <w:widowControl/>
              <w:shd w:val="clear" w:color="auto" w:fill="FFFFFF"/>
              <w:spacing w:line="360" w:lineRule="auto"/>
              <w:ind w:firstLine="452" w:firstLineChars="200"/>
              <w:jc w:val="left"/>
              <w:rPr>
                <w:spacing w:val="8"/>
                <w:kern w:val="0"/>
                <w:szCs w:val="21"/>
              </w:rPr>
            </w:pPr>
            <w:r>
              <w:rPr>
                <w:spacing w:val="8"/>
                <w:kern w:val="0"/>
                <w:szCs w:val="21"/>
              </w:rPr>
              <w:t>综上分析可知，本项目产生的固体废物经有效处理和处置后对环境影响较小。</w:t>
            </w:r>
          </w:p>
          <w:p w14:paraId="1ED21232">
            <w:pPr>
              <w:widowControl/>
              <w:shd w:val="clear" w:color="auto" w:fill="FFFFFF"/>
              <w:spacing w:line="360" w:lineRule="auto"/>
              <w:ind w:firstLine="454" w:firstLineChars="200"/>
              <w:jc w:val="left"/>
              <w:rPr>
                <w:b/>
                <w:bCs/>
                <w:spacing w:val="8"/>
                <w:kern w:val="0"/>
                <w:szCs w:val="21"/>
              </w:rPr>
            </w:pPr>
            <w:r>
              <w:rPr>
                <w:b/>
                <w:bCs/>
                <w:spacing w:val="8"/>
                <w:kern w:val="0"/>
                <w:szCs w:val="21"/>
              </w:rPr>
              <w:t>（7）污染防治措施及其经济、技术分析</w:t>
            </w:r>
          </w:p>
          <w:p w14:paraId="7C10D7BC">
            <w:pPr>
              <w:widowControl/>
              <w:shd w:val="clear" w:color="auto" w:fill="FFFFFF"/>
              <w:spacing w:line="360" w:lineRule="auto"/>
              <w:ind w:firstLine="452" w:firstLineChars="200"/>
              <w:jc w:val="left"/>
              <w:rPr>
                <w:spacing w:val="8"/>
                <w:kern w:val="0"/>
                <w:szCs w:val="21"/>
              </w:rPr>
            </w:pPr>
            <w:r>
              <w:rPr>
                <w:spacing w:val="8"/>
                <w:kern w:val="0"/>
                <w:szCs w:val="21"/>
              </w:rPr>
              <w:t>1）贮存场所（设施）污染防治措施</w:t>
            </w:r>
          </w:p>
          <w:p w14:paraId="2D3143C1">
            <w:pPr>
              <w:widowControl/>
              <w:shd w:val="clear" w:color="auto" w:fill="FFFFFF"/>
              <w:spacing w:line="360" w:lineRule="auto"/>
              <w:ind w:firstLine="452" w:firstLineChars="200"/>
              <w:jc w:val="left"/>
              <w:rPr>
                <w:spacing w:val="8"/>
                <w:kern w:val="0"/>
                <w:szCs w:val="21"/>
              </w:rPr>
            </w:pPr>
            <w:r>
              <w:rPr>
                <w:spacing w:val="8"/>
                <w:kern w:val="0"/>
                <w:szCs w:val="21"/>
              </w:rPr>
              <w:t>建设项目拟建</w:t>
            </w:r>
            <w:r>
              <w:rPr>
                <w:rFonts w:hint="eastAsia"/>
                <w:spacing w:val="8"/>
                <w:kern w:val="0"/>
                <w:szCs w:val="21"/>
                <w:lang w:val="en-US" w:eastAsia="zh-CN"/>
              </w:rPr>
              <w:t>9</w:t>
            </w:r>
            <w:r>
              <w:rPr>
                <w:spacing w:val="8"/>
                <w:kern w:val="0"/>
                <w:szCs w:val="21"/>
              </w:rPr>
              <w:t>m</w:t>
            </w:r>
            <w:r>
              <w:rPr>
                <w:spacing w:val="8"/>
                <w:kern w:val="0"/>
                <w:szCs w:val="21"/>
                <w:vertAlign w:val="superscript"/>
              </w:rPr>
              <w:t>2</w:t>
            </w:r>
            <w:r>
              <w:rPr>
                <w:spacing w:val="8"/>
                <w:kern w:val="0"/>
                <w:szCs w:val="21"/>
              </w:rPr>
              <w:t>的危险废物贮存场所，贮存场所贮存能力满足要求。</w:t>
            </w:r>
          </w:p>
          <w:p w14:paraId="560111B6">
            <w:pPr>
              <w:widowControl/>
              <w:shd w:val="clear" w:color="auto" w:fill="FFFFFF"/>
              <w:jc w:val="center"/>
              <w:rPr>
                <w:b/>
                <w:bCs/>
                <w:spacing w:val="8"/>
                <w:kern w:val="0"/>
                <w:szCs w:val="21"/>
              </w:rPr>
            </w:pPr>
            <w:r>
              <w:rPr>
                <w:b/>
                <w:bCs/>
                <w:spacing w:val="8"/>
                <w:kern w:val="0"/>
                <w:szCs w:val="21"/>
              </w:rPr>
              <w:t>表4-2</w:t>
            </w:r>
            <w:r>
              <w:rPr>
                <w:rFonts w:hint="eastAsia"/>
                <w:b/>
                <w:bCs/>
                <w:spacing w:val="8"/>
                <w:kern w:val="0"/>
                <w:szCs w:val="21"/>
                <w:lang w:val="en-US" w:eastAsia="zh-CN"/>
              </w:rPr>
              <w:t>8</w:t>
            </w:r>
            <w:r>
              <w:rPr>
                <w:b/>
                <w:bCs/>
                <w:spacing w:val="8"/>
                <w:kern w:val="0"/>
                <w:szCs w:val="21"/>
              </w:rPr>
              <w:t xml:space="preserve"> 危险废物贮存基本情况表</w:t>
            </w:r>
          </w:p>
          <w:tbl>
            <w:tblPr>
              <w:tblStyle w:val="23"/>
              <w:tblW w:w="498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47"/>
              <w:gridCol w:w="729"/>
              <w:gridCol w:w="1160"/>
              <w:gridCol w:w="821"/>
              <w:gridCol w:w="1589"/>
              <w:gridCol w:w="784"/>
              <w:gridCol w:w="786"/>
              <w:gridCol w:w="784"/>
              <w:gridCol w:w="784"/>
              <w:gridCol w:w="893"/>
            </w:tblGrid>
            <w:tr w14:paraId="6E1CC1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55" w:type="pct"/>
                  <w:vAlign w:val="center"/>
                </w:tcPr>
                <w:p w14:paraId="021161B7">
                  <w:pPr>
                    <w:adjustRightInd w:val="0"/>
                    <w:snapToGrid w:val="0"/>
                    <w:jc w:val="center"/>
                    <w:rPr>
                      <w:b/>
                      <w:bCs/>
                      <w:sz w:val="18"/>
                      <w:szCs w:val="18"/>
                    </w:rPr>
                  </w:pPr>
                  <w:r>
                    <w:rPr>
                      <w:b/>
                      <w:bCs/>
                      <w:sz w:val="18"/>
                      <w:szCs w:val="18"/>
                    </w:rPr>
                    <w:t>序号</w:t>
                  </w:r>
                </w:p>
              </w:tc>
              <w:tc>
                <w:tcPr>
                  <w:tcW w:w="415" w:type="pct"/>
                  <w:vAlign w:val="center"/>
                </w:tcPr>
                <w:p w14:paraId="6FDE60DA">
                  <w:pPr>
                    <w:adjustRightInd w:val="0"/>
                    <w:snapToGrid w:val="0"/>
                    <w:jc w:val="center"/>
                    <w:rPr>
                      <w:b/>
                      <w:bCs/>
                      <w:sz w:val="18"/>
                      <w:szCs w:val="18"/>
                    </w:rPr>
                  </w:pPr>
                  <w:r>
                    <w:rPr>
                      <w:b/>
                      <w:bCs/>
                      <w:sz w:val="18"/>
                      <w:szCs w:val="18"/>
                    </w:rPr>
                    <w:t>贮存场所</w:t>
                  </w:r>
                </w:p>
              </w:tc>
              <w:tc>
                <w:tcPr>
                  <w:tcW w:w="660" w:type="pct"/>
                  <w:vAlign w:val="center"/>
                </w:tcPr>
                <w:p w14:paraId="41366DF4">
                  <w:pPr>
                    <w:adjustRightInd w:val="0"/>
                    <w:snapToGrid w:val="0"/>
                    <w:jc w:val="center"/>
                    <w:rPr>
                      <w:b/>
                      <w:bCs/>
                      <w:sz w:val="18"/>
                      <w:szCs w:val="18"/>
                    </w:rPr>
                  </w:pPr>
                  <w:r>
                    <w:rPr>
                      <w:b/>
                      <w:bCs/>
                      <w:sz w:val="18"/>
                      <w:szCs w:val="18"/>
                    </w:rPr>
                    <w:t>危险废物名称</w:t>
                  </w:r>
                </w:p>
              </w:tc>
              <w:tc>
                <w:tcPr>
                  <w:tcW w:w="467" w:type="pct"/>
                  <w:vAlign w:val="center"/>
                </w:tcPr>
                <w:p w14:paraId="602503A1">
                  <w:pPr>
                    <w:adjustRightInd w:val="0"/>
                    <w:snapToGrid w:val="0"/>
                    <w:jc w:val="center"/>
                    <w:rPr>
                      <w:b/>
                      <w:bCs/>
                      <w:sz w:val="18"/>
                      <w:szCs w:val="18"/>
                    </w:rPr>
                  </w:pPr>
                  <w:r>
                    <w:rPr>
                      <w:b/>
                      <w:bCs/>
                      <w:sz w:val="18"/>
                      <w:szCs w:val="18"/>
                    </w:rPr>
                    <w:t>废物类别</w:t>
                  </w:r>
                </w:p>
              </w:tc>
              <w:tc>
                <w:tcPr>
                  <w:tcW w:w="904" w:type="pct"/>
                  <w:vAlign w:val="center"/>
                </w:tcPr>
                <w:p w14:paraId="0709171A">
                  <w:pPr>
                    <w:adjustRightInd w:val="0"/>
                    <w:snapToGrid w:val="0"/>
                    <w:jc w:val="center"/>
                    <w:rPr>
                      <w:b/>
                      <w:bCs/>
                      <w:sz w:val="18"/>
                      <w:szCs w:val="18"/>
                    </w:rPr>
                  </w:pPr>
                  <w:r>
                    <w:rPr>
                      <w:b/>
                      <w:bCs/>
                      <w:sz w:val="18"/>
                      <w:szCs w:val="18"/>
                    </w:rPr>
                    <w:t>危险废物代码</w:t>
                  </w:r>
                </w:p>
              </w:tc>
              <w:tc>
                <w:tcPr>
                  <w:tcW w:w="446" w:type="pct"/>
                  <w:vAlign w:val="center"/>
                </w:tcPr>
                <w:p w14:paraId="02C7EB3C">
                  <w:pPr>
                    <w:adjustRightInd w:val="0"/>
                    <w:snapToGrid w:val="0"/>
                    <w:jc w:val="center"/>
                    <w:rPr>
                      <w:b/>
                      <w:bCs/>
                      <w:sz w:val="18"/>
                      <w:szCs w:val="18"/>
                    </w:rPr>
                  </w:pPr>
                  <w:r>
                    <w:rPr>
                      <w:b/>
                      <w:bCs/>
                      <w:sz w:val="18"/>
                      <w:szCs w:val="18"/>
                    </w:rPr>
                    <w:t>位置</w:t>
                  </w:r>
                </w:p>
              </w:tc>
              <w:tc>
                <w:tcPr>
                  <w:tcW w:w="447" w:type="pct"/>
                  <w:vAlign w:val="center"/>
                </w:tcPr>
                <w:p w14:paraId="4A980568">
                  <w:pPr>
                    <w:adjustRightInd w:val="0"/>
                    <w:snapToGrid w:val="0"/>
                    <w:jc w:val="center"/>
                    <w:rPr>
                      <w:b/>
                      <w:bCs/>
                      <w:sz w:val="18"/>
                      <w:szCs w:val="18"/>
                    </w:rPr>
                  </w:pPr>
                  <w:r>
                    <w:rPr>
                      <w:b/>
                      <w:bCs/>
                      <w:sz w:val="18"/>
                      <w:szCs w:val="18"/>
                    </w:rPr>
                    <w:t>占地面积</w:t>
                  </w:r>
                </w:p>
              </w:tc>
              <w:tc>
                <w:tcPr>
                  <w:tcW w:w="446" w:type="pct"/>
                  <w:vAlign w:val="center"/>
                </w:tcPr>
                <w:p w14:paraId="451451DB">
                  <w:pPr>
                    <w:adjustRightInd w:val="0"/>
                    <w:snapToGrid w:val="0"/>
                    <w:jc w:val="center"/>
                    <w:rPr>
                      <w:b/>
                      <w:bCs/>
                      <w:sz w:val="18"/>
                      <w:szCs w:val="18"/>
                    </w:rPr>
                  </w:pPr>
                  <w:r>
                    <w:rPr>
                      <w:b/>
                      <w:bCs/>
                      <w:sz w:val="18"/>
                      <w:szCs w:val="18"/>
                    </w:rPr>
                    <w:t>贮存方式</w:t>
                  </w:r>
                </w:p>
              </w:tc>
              <w:tc>
                <w:tcPr>
                  <w:tcW w:w="446" w:type="pct"/>
                  <w:vAlign w:val="center"/>
                </w:tcPr>
                <w:p w14:paraId="37951EB1">
                  <w:pPr>
                    <w:adjustRightInd w:val="0"/>
                    <w:snapToGrid w:val="0"/>
                    <w:jc w:val="center"/>
                    <w:rPr>
                      <w:b/>
                      <w:bCs/>
                      <w:sz w:val="18"/>
                      <w:szCs w:val="18"/>
                    </w:rPr>
                  </w:pPr>
                  <w:r>
                    <w:rPr>
                      <w:b/>
                      <w:bCs/>
                      <w:sz w:val="18"/>
                      <w:szCs w:val="18"/>
                    </w:rPr>
                    <w:t>贮存能力</w:t>
                  </w:r>
                </w:p>
              </w:tc>
              <w:tc>
                <w:tcPr>
                  <w:tcW w:w="508" w:type="pct"/>
                  <w:vAlign w:val="center"/>
                </w:tcPr>
                <w:p w14:paraId="6EC747DC">
                  <w:pPr>
                    <w:adjustRightInd w:val="0"/>
                    <w:snapToGrid w:val="0"/>
                    <w:jc w:val="center"/>
                    <w:rPr>
                      <w:b/>
                      <w:bCs/>
                      <w:sz w:val="18"/>
                      <w:szCs w:val="18"/>
                    </w:rPr>
                  </w:pPr>
                  <w:r>
                    <w:rPr>
                      <w:b/>
                      <w:bCs/>
                      <w:sz w:val="18"/>
                      <w:szCs w:val="18"/>
                    </w:rPr>
                    <w:t>贮存周期</w:t>
                  </w:r>
                </w:p>
              </w:tc>
            </w:tr>
            <w:tr w14:paraId="6ABC14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255" w:type="pct"/>
                  <w:vAlign w:val="center"/>
                </w:tcPr>
                <w:p w14:paraId="6042B6B3">
                  <w:pPr>
                    <w:widowControl/>
                    <w:jc w:val="center"/>
                    <w:rPr>
                      <w:sz w:val="18"/>
                      <w:szCs w:val="18"/>
                    </w:rPr>
                  </w:pPr>
                  <w:r>
                    <w:rPr>
                      <w:sz w:val="18"/>
                      <w:szCs w:val="18"/>
                    </w:rPr>
                    <w:t>1</w:t>
                  </w:r>
                </w:p>
              </w:tc>
              <w:tc>
                <w:tcPr>
                  <w:tcW w:w="415" w:type="pct"/>
                  <w:vMerge w:val="restart"/>
                  <w:vAlign w:val="center"/>
                </w:tcPr>
                <w:p w14:paraId="7A67CEE9">
                  <w:pPr>
                    <w:adjustRightInd w:val="0"/>
                    <w:snapToGrid w:val="0"/>
                    <w:jc w:val="center"/>
                    <w:rPr>
                      <w:sz w:val="18"/>
                      <w:szCs w:val="18"/>
                    </w:rPr>
                  </w:pPr>
                  <w:r>
                    <w:rPr>
                      <w:sz w:val="18"/>
                      <w:szCs w:val="18"/>
                    </w:rPr>
                    <w:t>危废仓库</w:t>
                  </w:r>
                </w:p>
              </w:tc>
              <w:tc>
                <w:tcPr>
                  <w:tcW w:w="660" w:type="pct"/>
                  <w:vAlign w:val="center"/>
                </w:tcPr>
                <w:p w14:paraId="7B79B155">
                  <w:pPr>
                    <w:jc w:val="center"/>
                    <w:rPr>
                      <w:sz w:val="18"/>
                      <w:szCs w:val="18"/>
                    </w:rPr>
                  </w:pPr>
                  <w:r>
                    <w:rPr>
                      <w:sz w:val="18"/>
                      <w:szCs w:val="18"/>
                    </w:rPr>
                    <w:t>废试剂包装</w:t>
                  </w:r>
                </w:p>
              </w:tc>
              <w:tc>
                <w:tcPr>
                  <w:tcW w:w="467" w:type="pct"/>
                  <w:vAlign w:val="center"/>
                </w:tcPr>
                <w:p w14:paraId="06951147">
                  <w:pPr>
                    <w:jc w:val="center"/>
                    <w:rPr>
                      <w:sz w:val="18"/>
                      <w:szCs w:val="18"/>
                    </w:rPr>
                  </w:pPr>
                  <w:r>
                    <w:rPr>
                      <w:rFonts w:hint="eastAsia"/>
                      <w:sz w:val="18"/>
                      <w:szCs w:val="18"/>
                    </w:rPr>
                    <w:t>HW49</w:t>
                  </w:r>
                </w:p>
              </w:tc>
              <w:tc>
                <w:tcPr>
                  <w:tcW w:w="904" w:type="pct"/>
                  <w:vAlign w:val="center"/>
                </w:tcPr>
                <w:p w14:paraId="1FC48CF6">
                  <w:pPr>
                    <w:jc w:val="center"/>
                    <w:rPr>
                      <w:sz w:val="18"/>
                      <w:szCs w:val="18"/>
                    </w:rPr>
                  </w:pPr>
                  <w:r>
                    <w:rPr>
                      <w:sz w:val="18"/>
                      <w:szCs w:val="18"/>
                    </w:rPr>
                    <w:t>900-047-49</w:t>
                  </w:r>
                </w:p>
              </w:tc>
              <w:tc>
                <w:tcPr>
                  <w:tcW w:w="446" w:type="pct"/>
                  <w:vMerge w:val="restart"/>
                  <w:vAlign w:val="center"/>
                </w:tcPr>
                <w:p w14:paraId="52608DBC">
                  <w:pPr>
                    <w:adjustRightInd w:val="0"/>
                    <w:snapToGrid w:val="0"/>
                    <w:jc w:val="center"/>
                    <w:rPr>
                      <w:sz w:val="18"/>
                      <w:szCs w:val="18"/>
                    </w:rPr>
                  </w:pPr>
                  <w:r>
                    <w:rPr>
                      <w:rFonts w:hint="eastAsia"/>
                      <w:sz w:val="18"/>
                      <w:szCs w:val="18"/>
                    </w:rPr>
                    <w:t>厂区东侧</w:t>
                  </w:r>
                </w:p>
              </w:tc>
              <w:tc>
                <w:tcPr>
                  <w:tcW w:w="447" w:type="pct"/>
                  <w:vMerge w:val="restart"/>
                  <w:vAlign w:val="center"/>
                </w:tcPr>
                <w:p w14:paraId="5D2A535D">
                  <w:pPr>
                    <w:adjustRightInd w:val="0"/>
                    <w:snapToGrid w:val="0"/>
                    <w:jc w:val="center"/>
                    <w:rPr>
                      <w:sz w:val="18"/>
                      <w:szCs w:val="18"/>
                    </w:rPr>
                  </w:pPr>
                  <w:r>
                    <w:rPr>
                      <w:rFonts w:hint="eastAsia"/>
                      <w:sz w:val="18"/>
                      <w:szCs w:val="18"/>
                      <w:lang w:val="en-US" w:eastAsia="zh-CN"/>
                    </w:rPr>
                    <w:t>9</w:t>
                  </w:r>
                  <w:r>
                    <w:rPr>
                      <w:sz w:val="18"/>
                      <w:szCs w:val="18"/>
                    </w:rPr>
                    <w:t>m</w:t>
                  </w:r>
                  <w:r>
                    <w:rPr>
                      <w:sz w:val="18"/>
                      <w:szCs w:val="18"/>
                      <w:vertAlign w:val="superscript"/>
                    </w:rPr>
                    <w:t>2</w:t>
                  </w:r>
                </w:p>
              </w:tc>
              <w:tc>
                <w:tcPr>
                  <w:tcW w:w="446" w:type="pct"/>
                  <w:vAlign w:val="center"/>
                </w:tcPr>
                <w:p w14:paraId="3BCD1078">
                  <w:pPr>
                    <w:adjustRightInd w:val="0"/>
                    <w:snapToGrid w:val="0"/>
                    <w:jc w:val="center"/>
                    <w:rPr>
                      <w:sz w:val="18"/>
                      <w:szCs w:val="18"/>
                    </w:rPr>
                  </w:pPr>
                  <w:r>
                    <w:rPr>
                      <w:sz w:val="18"/>
                      <w:szCs w:val="18"/>
                    </w:rPr>
                    <w:t>袋装</w:t>
                  </w:r>
                </w:p>
              </w:tc>
              <w:tc>
                <w:tcPr>
                  <w:tcW w:w="446" w:type="pct"/>
                  <w:vMerge w:val="restart"/>
                  <w:vAlign w:val="center"/>
                </w:tcPr>
                <w:p w14:paraId="44FDA4D5">
                  <w:pPr>
                    <w:adjustRightInd w:val="0"/>
                    <w:snapToGrid w:val="0"/>
                    <w:jc w:val="center"/>
                    <w:rPr>
                      <w:sz w:val="18"/>
                      <w:szCs w:val="18"/>
                    </w:rPr>
                  </w:pPr>
                  <w:r>
                    <w:rPr>
                      <w:rFonts w:hint="eastAsia"/>
                      <w:sz w:val="18"/>
                      <w:szCs w:val="18"/>
                    </w:rPr>
                    <w:t>1</w:t>
                  </w:r>
                  <w:r>
                    <w:rPr>
                      <w:sz w:val="18"/>
                      <w:szCs w:val="18"/>
                    </w:rPr>
                    <w:t>0t</w:t>
                  </w:r>
                </w:p>
              </w:tc>
              <w:tc>
                <w:tcPr>
                  <w:tcW w:w="508" w:type="pct"/>
                  <w:vAlign w:val="center"/>
                </w:tcPr>
                <w:p w14:paraId="51A96608">
                  <w:pPr>
                    <w:adjustRightInd w:val="0"/>
                    <w:snapToGrid w:val="0"/>
                    <w:jc w:val="center"/>
                    <w:rPr>
                      <w:sz w:val="18"/>
                      <w:szCs w:val="18"/>
                    </w:rPr>
                  </w:pPr>
                  <w:r>
                    <w:rPr>
                      <w:sz w:val="18"/>
                      <w:szCs w:val="18"/>
                    </w:rPr>
                    <w:t>一年</w:t>
                  </w:r>
                </w:p>
              </w:tc>
            </w:tr>
            <w:tr w14:paraId="0EE77E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8" w:hRule="atLeast"/>
              </w:trPr>
              <w:tc>
                <w:tcPr>
                  <w:tcW w:w="255" w:type="pct"/>
                  <w:vAlign w:val="center"/>
                </w:tcPr>
                <w:p w14:paraId="4C7AAD25">
                  <w:pPr>
                    <w:widowControl/>
                    <w:jc w:val="center"/>
                    <w:rPr>
                      <w:sz w:val="18"/>
                      <w:szCs w:val="18"/>
                    </w:rPr>
                  </w:pPr>
                  <w:r>
                    <w:rPr>
                      <w:sz w:val="18"/>
                      <w:szCs w:val="18"/>
                    </w:rPr>
                    <w:t>2</w:t>
                  </w:r>
                </w:p>
              </w:tc>
              <w:tc>
                <w:tcPr>
                  <w:tcW w:w="415" w:type="pct"/>
                  <w:vMerge w:val="continue"/>
                  <w:tcBorders/>
                  <w:vAlign w:val="center"/>
                </w:tcPr>
                <w:p w14:paraId="19514C5F">
                  <w:pPr>
                    <w:adjustRightInd w:val="0"/>
                    <w:snapToGrid w:val="0"/>
                    <w:jc w:val="center"/>
                    <w:rPr>
                      <w:sz w:val="18"/>
                      <w:szCs w:val="18"/>
                    </w:rPr>
                  </w:pPr>
                </w:p>
              </w:tc>
              <w:tc>
                <w:tcPr>
                  <w:tcW w:w="660" w:type="pct"/>
                  <w:vAlign w:val="center"/>
                </w:tcPr>
                <w:p w14:paraId="5EEB8983">
                  <w:pPr>
                    <w:jc w:val="center"/>
                    <w:rPr>
                      <w:sz w:val="18"/>
                      <w:szCs w:val="18"/>
                    </w:rPr>
                  </w:pPr>
                  <w:r>
                    <w:rPr>
                      <w:rFonts w:hint="eastAsia"/>
                      <w:sz w:val="18"/>
                      <w:szCs w:val="18"/>
                    </w:rPr>
                    <w:t>实验废液</w:t>
                  </w:r>
                </w:p>
              </w:tc>
              <w:tc>
                <w:tcPr>
                  <w:tcW w:w="467" w:type="pct"/>
                  <w:vAlign w:val="center"/>
                </w:tcPr>
                <w:p w14:paraId="0D075EDA">
                  <w:pPr>
                    <w:widowControl/>
                    <w:adjustRightInd w:val="0"/>
                    <w:snapToGrid w:val="0"/>
                    <w:jc w:val="center"/>
                    <w:rPr>
                      <w:sz w:val="18"/>
                      <w:szCs w:val="18"/>
                    </w:rPr>
                  </w:pPr>
                  <w:r>
                    <w:rPr>
                      <w:rFonts w:hint="eastAsia"/>
                      <w:sz w:val="18"/>
                      <w:szCs w:val="18"/>
                    </w:rPr>
                    <w:t>HW49</w:t>
                  </w:r>
                </w:p>
              </w:tc>
              <w:tc>
                <w:tcPr>
                  <w:tcW w:w="904" w:type="pct"/>
                  <w:vAlign w:val="center"/>
                </w:tcPr>
                <w:p w14:paraId="6ECE9920">
                  <w:pPr>
                    <w:widowControl/>
                    <w:adjustRightInd w:val="0"/>
                    <w:snapToGrid w:val="0"/>
                    <w:jc w:val="center"/>
                    <w:rPr>
                      <w:sz w:val="18"/>
                      <w:szCs w:val="18"/>
                    </w:rPr>
                  </w:pPr>
                  <w:r>
                    <w:rPr>
                      <w:sz w:val="18"/>
                      <w:szCs w:val="18"/>
                    </w:rPr>
                    <w:t>900-047-49</w:t>
                  </w:r>
                </w:p>
              </w:tc>
              <w:tc>
                <w:tcPr>
                  <w:tcW w:w="446" w:type="pct"/>
                  <w:vMerge w:val="continue"/>
                  <w:tcBorders/>
                  <w:vAlign w:val="center"/>
                </w:tcPr>
                <w:p w14:paraId="06D548DB">
                  <w:pPr>
                    <w:adjustRightInd w:val="0"/>
                    <w:snapToGrid w:val="0"/>
                    <w:jc w:val="center"/>
                    <w:rPr>
                      <w:sz w:val="18"/>
                      <w:szCs w:val="18"/>
                    </w:rPr>
                  </w:pPr>
                </w:p>
              </w:tc>
              <w:tc>
                <w:tcPr>
                  <w:tcW w:w="447" w:type="pct"/>
                  <w:vMerge w:val="continue"/>
                  <w:tcBorders/>
                  <w:vAlign w:val="center"/>
                </w:tcPr>
                <w:p w14:paraId="3F58A026">
                  <w:pPr>
                    <w:adjustRightInd w:val="0"/>
                    <w:snapToGrid w:val="0"/>
                    <w:jc w:val="center"/>
                    <w:rPr>
                      <w:sz w:val="18"/>
                      <w:szCs w:val="18"/>
                    </w:rPr>
                  </w:pPr>
                </w:p>
              </w:tc>
              <w:tc>
                <w:tcPr>
                  <w:tcW w:w="446" w:type="pct"/>
                  <w:vAlign w:val="center"/>
                </w:tcPr>
                <w:p w14:paraId="46049A2F">
                  <w:pPr>
                    <w:adjustRightInd w:val="0"/>
                    <w:snapToGrid w:val="0"/>
                    <w:jc w:val="center"/>
                    <w:rPr>
                      <w:sz w:val="18"/>
                      <w:szCs w:val="18"/>
                    </w:rPr>
                  </w:pPr>
                  <w:r>
                    <w:rPr>
                      <w:rFonts w:hint="eastAsia"/>
                      <w:sz w:val="18"/>
                      <w:szCs w:val="18"/>
                    </w:rPr>
                    <w:t>加盖密封</w:t>
                  </w:r>
                </w:p>
              </w:tc>
              <w:tc>
                <w:tcPr>
                  <w:tcW w:w="446" w:type="pct"/>
                  <w:vMerge w:val="continue"/>
                  <w:tcBorders/>
                  <w:vAlign w:val="center"/>
                </w:tcPr>
                <w:p w14:paraId="399BE8BF">
                  <w:pPr>
                    <w:adjustRightInd w:val="0"/>
                    <w:snapToGrid w:val="0"/>
                    <w:jc w:val="center"/>
                    <w:rPr>
                      <w:sz w:val="18"/>
                      <w:szCs w:val="18"/>
                    </w:rPr>
                  </w:pPr>
                </w:p>
              </w:tc>
              <w:tc>
                <w:tcPr>
                  <w:tcW w:w="508" w:type="pct"/>
                  <w:vAlign w:val="center"/>
                </w:tcPr>
                <w:p w14:paraId="2D3CC1E7">
                  <w:pPr>
                    <w:adjustRightInd w:val="0"/>
                    <w:snapToGrid w:val="0"/>
                    <w:jc w:val="center"/>
                    <w:rPr>
                      <w:sz w:val="18"/>
                      <w:szCs w:val="18"/>
                    </w:rPr>
                  </w:pPr>
                  <w:r>
                    <w:rPr>
                      <w:sz w:val="18"/>
                      <w:szCs w:val="18"/>
                    </w:rPr>
                    <w:t>一年</w:t>
                  </w:r>
                </w:p>
              </w:tc>
            </w:tr>
            <w:tr w14:paraId="7BE096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55" w:type="pct"/>
                  <w:vAlign w:val="center"/>
                </w:tcPr>
                <w:p w14:paraId="61EFCE6D">
                  <w:pPr>
                    <w:widowControl/>
                    <w:jc w:val="center"/>
                    <w:rPr>
                      <w:sz w:val="18"/>
                      <w:szCs w:val="18"/>
                    </w:rPr>
                  </w:pPr>
                  <w:r>
                    <w:rPr>
                      <w:sz w:val="18"/>
                      <w:szCs w:val="18"/>
                    </w:rPr>
                    <w:t>3</w:t>
                  </w:r>
                </w:p>
              </w:tc>
              <w:tc>
                <w:tcPr>
                  <w:tcW w:w="415" w:type="pct"/>
                  <w:vMerge w:val="continue"/>
                  <w:tcBorders/>
                  <w:vAlign w:val="center"/>
                </w:tcPr>
                <w:p w14:paraId="47CF238F">
                  <w:pPr>
                    <w:adjustRightInd w:val="0"/>
                    <w:snapToGrid w:val="0"/>
                    <w:jc w:val="center"/>
                    <w:rPr>
                      <w:sz w:val="18"/>
                      <w:szCs w:val="18"/>
                    </w:rPr>
                  </w:pPr>
                </w:p>
              </w:tc>
              <w:tc>
                <w:tcPr>
                  <w:tcW w:w="660" w:type="pct"/>
                  <w:shd w:val="clear"/>
                  <w:vAlign w:val="center"/>
                </w:tcPr>
                <w:p w14:paraId="7093F75E">
                  <w:pPr>
                    <w:jc w:val="center"/>
                    <w:rPr>
                      <w:rFonts w:ascii="Times New Roman" w:hAnsi="Times New Roman" w:eastAsia="宋体" w:cs="Times New Roman"/>
                      <w:kern w:val="2"/>
                      <w:sz w:val="18"/>
                      <w:szCs w:val="18"/>
                      <w:lang w:val="en-US" w:eastAsia="zh-CN" w:bidi="ar-SA"/>
                    </w:rPr>
                  </w:pPr>
                  <w:r>
                    <w:rPr>
                      <w:rFonts w:hint="eastAsia"/>
                      <w:sz w:val="18"/>
                      <w:szCs w:val="18"/>
                      <w:lang w:val="en-US" w:eastAsia="zh-CN"/>
                    </w:rPr>
                    <w:t>初道</w:t>
                  </w:r>
                  <w:r>
                    <w:rPr>
                      <w:rFonts w:hint="eastAsia"/>
                      <w:sz w:val="18"/>
                      <w:szCs w:val="18"/>
                    </w:rPr>
                    <w:t>清洗废水</w:t>
                  </w:r>
                </w:p>
              </w:tc>
              <w:tc>
                <w:tcPr>
                  <w:tcW w:w="467" w:type="pct"/>
                  <w:shd w:val="clear"/>
                  <w:vAlign w:val="center"/>
                </w:tcPr>
                <w:p w14:paraId="7785C9DB">
                  <w:pPr>
                    <w:widowControl/>
                    <w:adjustRightInd w:val="0"/>
                    <w:snapToGrid w:val="0"/>
                    <w:jc w:val="center"/>
                    <w:rPr>
                      <w:rFonts w:ascii="Times New Roman" w:hAnsi="Times New Roman" w:eastAsia="宋体" w:cs="Times New Roman"/>
                      <w:kern w:val="2"/>
                      <w:sz w:val="18"/>
                      <w:szCs w:val="18"/>
                      <w:lang w:val="en-US" w:eastAsia="zh-CN" w:bidi="ar-SA"/>
                    </w:rPr>
                  </w:pPr>
                  <w:r>
                    <w:rPr>
                      <w:rFonts w:hint="eastAsia"/>
                      <w:sz w:val="18"/>
                      <w:szCs w:val="18"/>
                    </w:rPr>
                    <w:t>HW49</w:t>
                  </w:r>
                </w:p>
              </w:tc>
              <w:tc>
                <w:tcPr>
                  <w:tcW w:w="904" w:type="pct"/>
                  <w:shd w:val="clear"/>
                  <w:vAlign w:val="center"/>
                </w:tcPr>
                <w:p w14:paraId="629DC85F">
                  <w:pPr>
                    <w:widowControl/>
                    <w:adjustRightInd w:val="0"/>
                    <w:snapToGrid w:val="0"/>
                    <w:jc w:val="center"/>
                    <w:rPr>
                      <w:rFonts w:ascii="Times New Roman" w:hAnsi="Times New Roman" w:eastAsia="宋体" w:cs="Times New Roman"/>
                      <w:kern w:val="2"/>
                      <w:sz w:val="18"/>
                      <w:szCs w:val="18"/>
                      <w:lang w:val="en-US" w:eastAsia="zh-CN" w:bidi="ar-SA"/>
                    </w:rPr>
                  </w:pPr>
                  <w:r>
                    <w:rPr>
                      <w:sz w:val="18"/>
                      <w:szCs w:val="18"/>
                    </w:rPr>
                    <w:t>900-047-49</w:t>
                  </w:r>
                </w:p>
              </w:tc>
              <w:tc>
                <w:tcPr>
                  <w:tcW w:w="446" w:type="pct"/>
                  <w:vMerge w:val="continue"/>
                  <w:tcBorders/>
                  <w:vAlign w:val="center"/>
                </w:tcPr>
                <w:p w14:paraId="5A1CE16A">
                  <w:pPr>
                    <w:adjustRightInd w:val="0"/>
                    <w:snapToGrid w:val="0"/>
                    <w:jc w:val="center"/>
                    <w:rPr>
                      <w:sz w:val="18"/>
                      <w:szCs w:val="18"/>
                    </w:rPr>
                  </w:pPr>
                </w:p>
              </w:tc>
              <w:tc>
                <w:tcPr>
                  <w:tcW w:w="447" w:type="pct"/>
                  <w:vMerge w:val="continue"/>
                  <w:tcBorders/>
                  <w:vAlign w:val="center"/>
                </w:tcPr>
                <w:p w14:paraId="210097D8">
                  <w:pPr>
                    <w:adjustRightInd w:val="0"/>
                    <w:snapToGrid w:val="0"/>
                    <w:jc w:val="center"/>
                    <w:rPr>
                      <w:sz w:val="18"/>
                      <w:szCs w:val="18"/>
                    </w:rPr>
                  </w:pPr>
                </w:p>
              </w:tc>
              <w:tc>
                <w:tcPr>
                  <w:tcW w:w="446" w:type="pct"/>
                  <w:vAlign w:val="center"/>
                </w:tcPr>
                <w:p w14:paraId="2ECE085F">
                  <w:pPr>
                    <w:adjustRightInd w:val="0"/>
                    <w:snapToGrid w:val="0"/>
                    <w:jc w:val="center"/>
                    <w:rPr>
                      <w:sz w:val="18"/>
                      <w:szCs w:val="18"/>
                    </w:rPr>
                  </w:pPr>
                  <w:r>
                    <w:rPr>
                      <w:rFonts w:hint="eastAsia"/>
                      <w:sz w:val="18"/>
                      <w:szCs w:val="18"/>
                    </w:rPr>
                    <w:t>加盖密封</w:t>
                  </w:r>
                </w:p>
              </w:tc>
              <w:tc>
                <w:tcPr>
                  <w:tcW w:w="446" w:type="pct"/>
                  <w:vMerge w:val="continue"/>
                  <w:tcBorders/>
                  <w:vAlign w:val="center"/>
                </w:tcPr>
                <w:p w14:paraId="3123E241">
                  <w:pPr>
                    <w:adjustRightInd w:val="0"/>
                    <w:snapToGrid w:val="0"/>
                    <w:jc w:val="center"/>
                    <w:rPr>
                      <w:sz w:val="18"/>
                      <w:szCs w:val="18"/>
                    </w:rPr>
                  </w:pPr>
                </w:p>
              </w:tc>
              <w:tc>
                <w:tcPr>
                  <w:tcW w:w="508" w:type="pct"/>
                  <w:vAlign w:val="center"/>
                </w:tcPr>
                <w:p w14:paraId="48ABA4DD">
                  <w:pPr>
                    <w:adjustRightInd w:val="0"/>
                    <w:snapToGrid w:val="0"/>
                    <w:jc w:val="center"/>
                    <w:rPr>
                      <w:sz w:val="18"/>
                      <w:szCs w:val="18"/>
                    </w:rPr>
                  </w:pPr>
                  <w:r>
                    <w:rPr>
                      <w:sz w:val="18"/>
                      <w:szCs w:val="18"/>
                    </w:rPr>
                    <w:t>一年</w:t>
                  </w:r>
                </w:p>
              </w:tc>
            </w:tr>
            <w:tr w14:paraId="47BFAC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8" w:hRule="atLeast"/>
              </w:trPr>
              <w:tc>
                <w:tcPr>
                  <w:tcW w:w="255" w:type="pct"/>
                  <w:vAlign w:val="center"/>
                </w:tcPr>
                <w:p w14:paraId="239F9CAE">
                  <w:pPr>
                    <w:widowControl/>
                    <w:jc w:val="center"/>
                    <w:rPr>
                      <w:sz w:val="18"/>
                      <w:szCs w:val="18"/>
                    </w:rPr>
                  </w:pPr>
                  <w:r>
                    <w:rPr>
                      <w:rFonts w:hint="eastAsia"/>
                      <w:sz w:val="18"/>
                      <w:szCs w:val="18"/>
                    </w:rPr>
                    <w:t>4</w:t>
                  </w:r>
                </w:p>
              </w:tc>
              <w:tc>
                <w:tcPr>
                  <w:tcW w:w="415" w:type="pct"/>
                  <w:vMerge w:val="continue"/>
                  <w:tcBorders/>
                  <w:vAlign w:val="center"/>
                </w:tcPr>
                <w:p w14:paraId="744803CF">
                  <w:pPr>
                    <w:adjustRightInd w:val="0"/>
                    <w:snapToGrid w:val="0"/>
                    <w:jc w:val="center"/>
                    <w:rPr>
                      <w:sz w:val="18"/>
                      <w:szCs w:val="18"/>
                    </w:rPr>
                  </w:pPr>
                </w:p>
              </w:tc>
              <w:tc>
                <w:tcPr>
                  <w:tcW w:w="660" w:type="pct"/>
                  <w:vAlign w:val="center"/>
                </w:tcPr>
                <w:p w14:paraId="4D2C7134">
                  <w:pPr>
                    <w:jc w:val="center"/>
                    <w:rPr>
                      <w:sz w:val="18"/>
                      <w:szCs w:val="18"/>
                    </w:rPr>
                  </w:pPr>
                  <w:r>
                    <w:rPr>
                      <w:rFonts w:hint="eastAsia"/>
                      <w:sz w:val="18"/>
                      <w:szCs w:val="18"/>
                    </w:rPr>
                    <w:t>喷淋废液</w:t>
                  </w:r>
                </w:p>
              </w:tc>
              <w:tc>
                <w:tcPr>
                  <w:tcW w:w="467" w:type="pct"/>
                  <w:shd w:val="clear" w:color="auto" w:fill="auto"/>
                  <w:vAlign w:val="center"/>
                </w:tcPr>
                <w:p w14:paraId="0F5C471C">
                  <w:pPr>
                    <w:widowControl/>
                    <w:adjustRightInd w:val="0"/>
                    <w:snapToGrid w:val="0"/>
                    <w:jc w:val="center"/>
                    <w:rPr>
                      <w:rFonts w:ascii="Times New Roman" w:hAnsi="Times New Roman" w:eastAsia="宋体" w:cs="Times New Roman"/>
                      <w:kern w:val="2"/>
                      <w:sz w:val="18"/>
                      <w:szCs w:val="18"/>
                      <w:lang w:val="en-US" w:eastAsia="zh-CN" w:bidi="ar-SA"/>
                    </w:rPr>
                  </w:pPr>
                  <w:r>
                    <w:rPr>
                      <w:rFonts w:hint="eastAsia"/>
                      <w:sz w:val="18"/>
                      <w:szCs w:val="18"/>
                    </w:rPr>
                    <w:t>HW49</w:t>
                  </w:r>
                </w:p>
              </w:tc>
              <w:tc>
                <w:tcPr>
                  <w:tcW w:w="904" w:type="pct"/>
                  <w:shd w:val="clear" w:color="auto" w:fill="auto"/>
                  <w:vAlign w:val="center"/>
                </w:tcPr>
                <w:p w14:paraId="29A0535C">
                  <w:pPr>
                    <w:widowControl/>
                    <w:adjustRightInd w:val="0"/>
                    <w:snapToGrid w:val="0"/>
                    <w:jc w:val="center"/>
                    <w:rPr>
                      <w:rFonts w:ascii="Times New Roman" w:hAnsi="Times New Roman" w:eastAsia="宋体" w:cs="Times New Roman"/>
                      <w:kern w:val="2"/>
                      <w:sz w:val="18"/>
                      <w:szCs w:val="18"/>
                      <w:lang w:val="en-US" w:eastAsia="zh-CN" w:bidi="ar-SA"/>
                    </w:rPr>
                  </w:pPr>
                  <w:r>
                    <w:rPr>
                      <w:sz w:val="18"/>
                      <w:szCs w:val="18"/>
                    </w:rPr>
                    <w:t>900-047-49</w:t>
                  </w:r>
                </w:p>
              </w:tc>
              <w:tc>
                <w:tcPr>
                  <w:tcW w:w="446" w:type="pct"/>
                  <w:vMerge w:val="continue"/>
                  <w:tcBorders/>
                  <w:vAlign w:val="center"/>
                </w:tcPr>
                <w:p w14:paraId="1943FDA5">
                  <w:pPr>
                    <w:adjustRightInd w:val="0"/>
                    <w:snapToGrid w:val="0"/>
                    <w:jc w:val="center"/>
                    <w:rPr>
                      <w:sz w:val="18"/>
                      <w:szCs w:val="18"/>
                    </w:rPr>
                  </w:pPr>
                </w:p>
              </w:tc>
              <w:tc>
                <w:tcPr>
                  <w:tcW w:w="447" w:type="pct"/>
                  <w:vMerge w:val="continue"/>
                  <w:tcBorders/>
                  <w:vAlign w:val="center"/>
                </w:tcPr>
                <w:p w14:paraId="7E26A3FE">
                  <w:pPr>
                    <w:adjustRightInd w:val="0"/>
                    <w:snapToGrid w:val="0"/>
                    <w:jc w:val="center"/>
                    <w:rPr>
                      <w:sz w:val="18"/>
                      <w:szCs w:val="18"/>
                    </w:rPr>
                  </w:pPr>
                </w:p>
              </w:tc>
              <w:tc>
                <w:tcPr>
                  <w:tcW w:w="446" w:type="pct"/>
                  <w:vAlign w:val="center"/>
                </w:tcPr>
                <w:p w14:paraId="2C7AAC0F">
                  <w:pPr>
                    <w:adjustRightInd w:val="0"/>
                    <w:snapToGrid w:val="0"/>
                    <w:jc w:val="center"/>
                    <w:rPr>
                      <w:sz w:val="18"/>
                      <w:szCs w:val="18"/>
                    </w:rPr>
                  </w:pPr>
                  <w:r>
                    <w:rPr>
                      <w:rFonts w:hint="eastAsia"/>
                      <w:sz w:val="18"/>
                      <w:szCs w:val="18"/>
                    </w:rPr>
                    <w:t>加盖密封</w:t>
                  </w:r>
                </w:p>
              </w:tc>
              <w:tc>
                <w:tcPr>
                  <w:tcW w:w="446" w:type="pct"/>
                  <w:vMerge w:val="continue"/>
                  <w:tcBorders/>
                  <w:vAlign w:val="center"/>
                </w:tcPr>
                <w:p w14:paraId="59CA47C3">
                  <w:pPr>
                    <w:adjustRightInd w:val="0"/>
                    <w:snapToGrid w:val="0"/>
                    <w:jc w:val="center"/>
                    <w:rPr>
                      <w:sz w:val="18"/>
                      <w:szCs w:val="18"/>
                    </w:rPr>
                  </w:pPr>
                </w:p>
              </w:tc>
              <w:tc>
                <w:tcPr>
                  <w:tcW w:w="508" w:type="pct"/>
                  <w:vAlign w:val="center"/>
                </w:tcPr>
                <w:p w14:paraId="7C7234A4">
                  <w:pPr>
                    <w:adjustRightInd w:val="0"/>
                    <w:snapToGrid w:val="0"/>
                    <w:jc w:val="center"/>
                    <w:rPr>
                      <w:sz w:val="18"/>
                      <w:szCs w:val="18"/>
                    </w:rPr>
                  </w:pPr>
                  <w:r>
                    <w:rPr>
                      <w:sz w:val="18"/>
                      <w:szCs w:val="18"/>
                    </w:rPr>
                    <w:t>一年</w:t>
                  </w:r>
                </w:p>
              </w:tc>
            </w:tr>
            <w:tr w14:paraId="0A79C8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6" w:hRule="atLeast"/>
              </w:trPr>
              <w:tc>
                <w:tcPr>
                  <w:tcW w:w="255" w:type="pct"/>
                  <w:shd w:val="clear"/>
                  <w:vAlign w:val="center"/>
                </w:tcPr>
                <w:p w14:paraId="1094D382">
                  <w:pPr>
                    <w:widowControl/>
                    <w:jc w:val="center"/>
                    <w:rPr>
                      <w:rFonts w:hint="eastAsia" w:ascii="Times New Roman" w:hAnsi="Times New Roman" w:eastAsia="宋体" w:cs="Times New Roman"/>
                      <w:kern w:val="2"/>
                      <w:sz w:val="18"/>
                      <w:szCs w:val="18"/>
                      <w:lang w:val="en-US" w:eastAsia="zh-CN" w:bidi="ar-SA"/>
                    </w:rPr>
                  </w:pPr>
                  <w:r>
                    <w:rPr>
                      <w:rFonts w:hint="eastAsia"/>
                      <w:sz w:val="18"/>
                      <w:szCs w:val="18"/>
                    </w:rPr>
                    <w:t>5</w:t>
                  </w:r>
                </w:p>
              </w:tc>
              <w:tc>
                <w:tcPr>
                  <w:tcW w:w="415" w:type="pct"/>
                  <w:vMerge w:val="continue"/>
                  <w:tcBorders/>
                  <w:vAlign w:val="center"/>
                </w:tcPr>
                <w:p w14:paraId="5CC0176C">
                  <w:pPr>
                    <w:adjustRightInd w:val="0"/>
                    <w:snapToGrid w:val="0"/>
                    <w:jc w:val="center"/>
                    <w:rPr>
                      <w:sz w:val="18"/>
                      <w:szCs w:val="18"/>
                    </w:rPr>
                  </w:pPr>
                </w:p>
              </w:tc>
              <w:tc>
                <w:tcPr>
                  <w:tcW w:w="660" w:type="pct"/>
                  <w:shd w:val="clear"/>
                  <w:vAlign w:val="center"/>
                </w:tcPr>
                <w:p w14:paraId="0671E232">
                  <w:pPr>
                    <w:jc w:val="center"/>
                    <w:rPr>
                      <w:rFonts w:hint="eastAsia" w:ascii="Times New Roman" w:hAnsi="Times New Roman" w:eastAsia="宋体" w:cs="Times New Roman"/>
                      <w:kern w:val="2"/>
                      <w:sz w:val="18"/>
                      <w:szCs w:val="18"/>
                      <w:lang w:val="en-US" w:eastAsia="zh-CN" w:bidi="ar-SA"/>
                    </w:rPr>
                  </w:pPr>
                  <w:r>
                    <w:rPr>
                      <w:rFonts w:hint="eastAsia"/>
                      <w:sz w:val="18"/>
                      <w:szCs w:val="18"/>
                    </w:rPr>
                    <w:t>废活性炭</w:t>
                  </w:r>
                </w:p>
              </w:tc>
              <w:tc>
                <w:tcPr>
                  <w:tcW w:w="467" w:type="pct"/>
                  <w:shd w:val="clear"/>
                  <w:vAlign w:val="center"/>
                </w:tcPr>
                <w:p w14:paraId="1F10F1D0">
                  <w:pPr>
                    <w:widowControl/>
                    <w:adjustRightInd w:val="0"/>
                    <w:snapToGrid w:val="0"/>
                    <w:jc w:val="center"/>
                    <w:rPr>
                      <w:rFonts w:hint="eastAsia" w:ascii="Times New Roman" w:hAnsi="Times New Roman" w:eastAsia="宋体" w:cs="Times New Roman"/>
                      <w:kern w:val="2"/>
                      <w:sz w:val="18"/>
                      <w:szCs w:val="18"/>
                      <w:lang w:val="en-US" w:eastAsia="zh-CN" w:bidi="ar-SA"/>
                    </w:rPr>
                  </w:pPr>
                  <w:r>
                    <w:rPr>
                      <w:rFonts w:hint="eastAsia"/>
                      <w:sz w:val="18"/>
                      <w:szCs w:val="18"/>
                    </w:rPr>
                    <w:t>HW49</w:t>
                  </w:r>
                </w:p>
              </w:tc>
              <w:tc>
                <w:tcPr>
                  <w:tcW w:w="904" w:type="pct"/>
                  <w:shd w:val="clear"/>
                  <w:vAlign w:val="center"/>
                </w:tcPr>
                <w:p w14:paraId="06573DEA">
                  <w:pPr>
                    <w:jc w:val="center"/>
                    <w:rPr>
                      <w:rFonts w:ascii="Times New Roman" w:hAnsi="Times New Roman" w:eastAsia="宋体" w:cs="Times New Roman"/>
                      <w:kern w:val="2"/>
                      <w:sz w:val="18"/>
                      <w:szCs w:val="18"/>
                      <w:lang w:val="en-US" w:eastAsia="zh-CN" w:bidi="ar-SA"/>
                    </w:rPr>
                  </w:pPr>
                  <w:r>
                    <w:rPr>
                      <w:sz w:val="18"/>
                      <w:szCs w:val="18"/>
                    </w:rPr>
                    <w:t>900-047-49</w:t>
                  </w:r>
                </w:p>
              </w:tc>
              <w:tc>
                <w:tcPr>
                  <w:tcW w:w="446" w:type="pct"/>
                  <w:vMerge w:val="continue"/>
                  <w:tcBorders/>
                  <w:vAlign w:val="center"/>
                </w:tcPr>
                <w:p w14:paraId="0C2D35CE">
                  <w:pPr>
                    <w:adjustRightInd w:val="0"/>
                    <w:snapToGrid w:val="0"/>
                    <w:jc w:val="center"/>
                    <w:rPr>
                      <w:sz w:val="18"/>
                      <w:szCs w:val="18"/>
                    </w:rPr>
                  </w:pPr>
                </w:p>
              </w:tc>
              <w:tc>
                <w:tcPr>
                  <w:tcW w:w="447" w:type="pct"/>
                  <w:vMerge w:val="continue"/>
                  <w:tcBorders/>
                  <w:vAlign w:val="center"/>
                </w:tcPr>
                <w:p w14:paraId="6A17923F">
                  <w:pPr>
                    <w:adjustRightInd w:val="0"/>
                    <w:snapToGrid w:val="0"/>
                    <w:jc w:val="center"/>
                    <w:rPr>
                      <w:sz w:val="18"/>
                      <w:szCs w:val="18"/>
                    </w:rPr>
                  </w:pPr>
                </w:p>
              </w:tc>
              <w:tc>
                <w:tcPr>
                  <w:tcW w:w="446" w:type="pct"/>
                  <w:vAlign w:val="center"/>
                </w:tcPr>
                <w:p w14:paraId="45EF81A0">
                  <w:pPr>
                    <w:adjustRightInd w:val="0"/>
                    <w:snapToGrid w:val="0"/>
                    <w:jc w:val="center"/>
                    <w:rPr>
                      <w:rFonts w:hint="eastAsia"/>
                      <w:sz w:val="18"/>
                      <w:szCs w:val="18"/>
                    </w:rPr>
                  </w:pPr>
                  <w:r>
                    <w:rPr>
                      <w:sz w:val="18"/>
                      <w:szCs w:val="18"/>
                    </w:rPr>
                    <w:t>袋装</w:t>
                  </w:r>
                </w:p>
              </w:tc>
              <w:tc>
                <w:tcPr>
                  <w:tcW w:w="446" w:type="pct"/>
                  <w:vMerge w:val="continue"/>
                  <w:tcBorders/>
                  <w:vAlign w:val="center"/>
                </w:tcPr>
                <w:p w14:paraId="352068BD">
                  <w:pPr>
                    <w:adjustRightInd w:val="0"/>
                    <w:snapToGrid w:val="0"/>
                    <w:jc w:val="center"/>
                    <w:rPr>
                      <w:sz w:val="18"/>
                      <w:szCs w:val="18"/>
                    </w:rPr>
                  </w:pPr>
                </w:p>
              </w:tc>
              <w:tc>
                <w:tcPr>
                  <w:tcW w:w="508" w:type="pct"/>
                  <w:vAlign w:val="center"/>
                </w:tcPr>
                <w:p w14:paraId="30D4E700">
                  <w:pPr>
                    <w:adjustRightInd w:val="0"/>
                    <w:snapToGrid w:val="0"/>
                    <w:jc w:val="center"/>
                    <w:rPr>
                      <w:sz w:val="18"/>
                      <w:szCs w:val="18"/>
                    </w:rPr>
                  </w:pPr>
                  <w:r>
                    <w:rPr>
                      <w:rFonts w:hint="eastAsia"/>
                      <w:sz w:val="18"/>
                      <w:szCs w:val="18"/>
                    </w:rPr>
                    <w:t>3个月</w:t>
                  </w:r>
                </w:p>
              </w:tc>
            </w:tr>
            <w:tr w14:paraId="273C06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55" w:type="pct"/>
                  <w:shd w:val="clear"/>
                  <w:vAlign w:val="center"/>
                </w:tcPr>
                <w:p w14:paraId="71FC0751">
                  <w:pPr>
                    <w:widowControl/>
                    <w:jc w:val="center"/>
                    <w:rPr>
                      <w:rFonts w:hint="eastAsia" w:ascii="Times New Roman" w:hAnsi="Times New Roman" w:eastAsia="宋体" w:cs="Times New Roman"/>
                      <w:kern w:val="2"/>
                      <w:sz w:val="18"/>
                      <w:szCs w:val="18"/>
                      <w:lang w:val="en-US" w:eastAsia="zh-CN" w:bidi="ar-SA"/>
                    </w:rPr>
                  </w:pPr>
                  <w:r>
                    <w:rPr>
                      <w:rFonts w:hint="eastAsia"/>
                      <w:sz w:val="18"/>
                      <w:szCs w:val="18"/>
                      <w:lang w:val="en-US" w:eastAsia="zh-CN"/>
                    </w:rPr>
                    <w:t>6</w:t>
                  </w:r>
                </w:p>
              </w:tc>
              <w:tc>
                <w:tcPr>
                  <w:tcW w:w="415" w:type="pct"/>
                  <w:vMerge w:val="continue"/>
                  <w:tcBorders/>
                  <w:vAlign w:val="center"/>
                </w:tcPr>
                <w:p w14:paraId="6CB1B0E0">
                  <w:pPr>
                    <w:adjustRightInd w:val="0"/>
                    <w:snapToGrid w:val="0"/>
                    <w:jc w:val="center"/>
                    <w:rPr>
                      <w:sz w:val="18"/>
                      <w:szCs w:val="18"/>
                    </w:rPr>
                  </w:pPr>
                </w:p>
              </w:tc>
              <w:tc>
                <w:tcPr>
                  <w:tcW w:w="660" w:type="pct"/>
                  <w:vAlign w:val="center"/>
                </w:tcPr>
                <w:p w14:paraId="77DB645A">
                  <w:pPr>
                    <w:pStyle w:val="55"/>
                    <w:spacing w:before="24" w:after="24"/>
                    <w:rPr>
                      <w:bCs/>
                      <w:kern w:val="2"/>
                      <w:sz w:val="18"/>
                      <w:szCs w:val="18"/>
                    </w:rPr>
                  </w:pPr>
                  <w:r>
                    <w:rPr>
                      <w:rFonts w:hint="eastAsia"/>
                      <w:bCs/>
                      <w:kern w:val="2"/>
                      <w:sz w:val="18"/>
                      <w:szCs w:val="18"/>
                    </w:rPr>
                    <w:t>废实验耗材</w:t>
                  </w:r>
                </w:p>
              </w:tc>
              <w:tc>
                <w:tcPr>
                  <w:tcW w:w="467" w:type="pct"/>
                  <w:vAlign w:val="center"/>
                </w:tcPr>
                <w:p w14:paraId="36A5CEF3">
                  <w:pPr>
                    <w:widowControl/>
                    <w:adjustRightInd w:val="0"/>
                    <w:snapToGrid w:val="0"/>
                    <w:jc w:val="center"/>
                    <w:rPr>
                      <w:sz w:val="18"/>
                      <w:szCs w:val="18"/>
                    </w:rPr>
                  </w:pPr>
                  <w:r>
                    <w:rPr>
                      <w:rFonts w:hint="eastAsia"/>
                      <w:sz w:val="18"/>
                      <w:szCs w:val="18"/>
                    </w:rPr>
                    <w:t>HW49</w:t>
                  </w:r>
                </w:p>
              </w:tc>
              <w:tc>
                <w:tcPr>
                  <w:tcW w:w="904" w:type="pct"/>
                  <w:vAlign w:val="center"/>
                </w:tcPr>
                <w:p w14:paraId="12011CAB">
                  <w:pPr>
                    <w:jc w:val="center"/>
                    <w:rPr>
                      <w:sz w:val="18"/>
                      <w:szCs w:val="18"/>
                    </w:rPr>
                  </w:pPr>
                  <w:r>
                    <w:rPr>
                      <w:sz w:val="18"/>
                      <w:szCs w:val="18"/>
                    </w:rPr>
                    <w:t>900-047-49</w:t>
                  </w:r>
                </w:p>
              </w:tc>
              <w:tc>
                <w:tcPr>
                  <w:tcW w:w="446" w:type="pct"/>
                  <w:vMerge w:val="continue"/>
                  <w:tcBorders/>
                  <w:vAlign w:val="center"/>
                </w:tcPr>
                <w:p w14:paraId="4FB57E2C">
                  <w:pPr>
                    <w:adjustRightInd w:val="0"/>
                    <w:snapToGrid w:val="0"/>
                    <w:jc w:val="center"/>
                    <w:rPr>
                      <w:sz w:val="18"/>
                      <w:szCs w:val="18"/>
                    </w:rPr>
                  </w:pPr>
                </w:p>
              </w:tc>
              <w:tc>
                <w:tcPr>
                  <w:tcW w:w="447" w:type="pct"/>
                  <w:vMerge w:val="continue"/>
                  <w:tcBorders/>
                  <w:vAlign w:val="center"/>
                </w:tcPr>
                <w:p w14:paraId="00B644B7">
                  <w:pPr>
                    <w:adjustRightInd w:val="0"/>
                    <w:snapToGrid w:val="0"/>
                    <w:jc w:val="center"/>
                    <w:rPr>
                      <w:sz w:val="18"/>
                      <w:szCs w:val="18"/>
                    </w:rPr>
                  </w:pPr>
                </w:p>
              </w:tc>
              <w:tc>
                <w:tcPr>
                  <w:tcW w:w="446" w:type="pct"/>
                  <w:vAlign w:val="center"/>
                </w:tcPr>
                <w:p w14:paraId="6B76D514">
                  <w:pPr>
                    <w:adjustRightInd w:val="0"/>
                    <w:snapToGrid w:val="0"/>
                    <w:jc w:val="center"/>
                    <w:rPr>
                      <w:sz w:val="18"/>
                      <w:szCs w:val="18"/>
                    </w:rPr>
                  </w:pPr>
                  <w:r>
                    <w:rPr>
                      <w:sz w:val="18"/>
                      <w:szCs w:val="18"/>
                    </w:rPr>
                    <w:t>袋装</w:t>
                  </w:r>
                </w:p>
              </w:tc>
              <w:tc>
                <w:tcPr>
                  <w:tcW w:w="446" w:type="pct"/>
                  <w:vMerge w:val="continue"/>
                  <w:tcBorders/>
                  <w:vAlign w:val="center"/>
                </w:tcPr>
                <w:p w14:paraId="48D94DBD">
                  <w:pPr>
                    <w:adjustRightInd w:val="0"/>
                    <w:snapToGrid w:val="0"/>
                    <w:jc w:val="center"/>
                    <w:rPr>
                      <w:sz w:val="18"/>
                      <w:szCs w:val="18"/>
                    </w:rPr>
                  </w:pPr>
                </w:p>
              </w:tc>
              <w:tc>
                <w:tcPr>
                  <w:tcW w:w="508" w:type="pct"/>
                  <w:vAlign w:val="center"/>
                </w:tcPr>
                <w:p w14:paraId="53881936">
                  <w:pPr>
                    <w:adjustRightInd w:val="0"/>
                    <w:snapToGrid w:val="0"/>
                    <w:jc w:val="center"/>
                    <w:rPr>
                      <w:sz w:val="18"/>
                      <w:szCs w:val="18"/>
                    </w:rPr>
                  </w:pPr>
                  <w:r>
                    <w:rPr>
                      <w:sz w:val="18"/>
                      <w:szCs w:val="18"/>
                    </w:rPr>
                    <w:t>一年</w:t>
                  </w:r>
                </w:p>
              </w:tc>
            </w:tr>
            <w:tr w14:paraId="6212B7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55" w:type="pct"/>
                  <w:shd w:val="clear"/>
                  <w:vAlign w:val="center"/>
                </w:tcPr>
                <w:p w14:paraId="5625DD71">
                  <w:pPr>
                    <w:widowControl/>
                    <w:jc w:val="center"/>
                    <w:rPr>
                      <w:rFonts w:hint="eastAsia" w:ascii="Times New Roman" w:hAnsi="Times New Roman" w:eastAsia="宋体" w:cs="Times New Roman"/>
                      <w:kern w:val="2"/>
                      <w:sz w:val="18"/>
                      <w:szCs w:val="18"/>
                      <w:lang w:val="en-US" w:eastAsia="zh-CN" w:bidi="ar-SA"/>
                    </w:rPr>
                  </w:pPr>
                  <w:r>
                    <w:rPr>
                      <w:rFonts w:hint="eastAsia"/>
                      <w:sz w:val="18"/>
                      <w:szCs w:val="18"/>
                      <w:lang w:val="en-US" w:eastAsia="zh-CN"/>
                    </w:rPr>
                    <w:t>7</w:t>
                  </w:r>
                </w:p>
              </w:tc>
              <w:tc>
                <w:tcPr>
                  <w:tcW w:w="415" w:type="pct"/>
                  <w:vMerge w:val="continue"/>
                  <w:tcBorders/>
                  <w:vAlign w:val="center"/>
                </w:tcPr>
                <w:p w14:paraId="6A9102AB">
                  <w:pPr>
                    <w:adjustRightInd w:val="0"/>
                    <w:snapToGrid w:val="0"/>
                    <w:jc w:val="center"/>
                    <w:rPr>
                      <w:sz w:val="18"/>
                      <w:szCs w:val="18"/>
                    </w:rPr>
                  </w:pPr>
                </w:p>
              </w:tc>
              <w:tc>
                <w:tcPr>
                  <w:tcW w:w="660" w:type="pct"/>
                  <w:vAlign w:val="center"/>
                </w:tcPr>
                <w:p w14:paraId="2F8628E1">
                  <w:pPr>
                    <w:pStyle w:val="55"/>
                    <w:spacing w:before="24" w:after="24"/>
                    <w:rPr>
                      <w:rFonts w:hint="eastAsia"/>
                      <w:bCs/>
                      <w:kern w:val="2"/>
                      <w:sz w:val="18"/>
                      <w:szCs w:val="18"/>
                    </w:rPr>
                  </w:pPr>
                  <w:r>
                    <w:rPr>
                      <w:rFonts w:hint="eastAsia"/>
                      <w:bCs/>
                      <w:kern w:val="2"/>
                      <w:sz w:val="18"/>
                      <w:szCs w:val="18"/>
                      <w:lang w:val="en-US" w:eastAsia="zh-CN"/>
                    </w:rPr>
                    <w:t>废水处理污泥</w:t>
                  </w:r>
                </w:p>
              </w:tc>
              <w:tc>
                <w:tcPr>
                  <w:tcW w:w="467" w:type="pct"/>
                  <w:shd w:val="clear"/>
                  <w:vAlign w:val="center"/>
                </w:tcPr>
                <w:p w14:paraId="5B94038E">
                  <w:pPr>
                    <w:widowControl/>
                    <w:adjustRightInd w:val="0"/>
                    <w:snapToGrid w:val="0"/>
                    <w:jc w:val="center"/>
                    <w:rPr>
                      <w:rFonts w:hint="eastAsia" w:ascii="Times New Roman" w:hAnsi="Times New Roman" w:eastAsia="宋体" w:cs="Times New Roman"/>
                      <w:kern w:val="2"/>
                      <w:sz w:val="18"/>
                      <w:szCs w:val="18"/>
                      <w:lang w:val="en-US" w:eastAsia="zh-CN" w:bidi="ar-SA"/>
                    </w:rPr>
                  </w:pPr>
                  <w:r>
                    <w:rPr>
                      <w:rFonts w:hint="eastAsia"/>
                      <w:sz w:val="18"/>
                      <w:szCs w:val="18"/>
                    </w:rPr>
                    <w:t>HW49</w:t>
                  </w:r>
                </w:p>
              </w:tc>
              <w:tc>
                <w:tcPr>
                  <w:tcW w:w="904" w:type="pct"/>
                  <w:vAlign w:val="center"/>
                </w:tcPr>
                <w:p w14:paraId="66A49B6D">
                  <w:pPr>
                    <w:widowControl/>
                    <w:adjustRightInd w:val="0"/>
                    <w:snapToGrid w:val="0"/>
                    <w:jc w:val="center"/>
                    <w:rPr>
                      <w:sz w:val="18"/>
                      <w:szCs w:val="18"/>
                    </w:rPr>
                  </w:pPr>
                  <w:r>
                    <w:rPr>
                      <w:sz w:val="18"/>
                      <w:szCs w:val="18"/>
                    </w:rPr>
                    <w:t>900-047-49</w:t>
                  </w:r>
                </w:p>
              </w:tc>
              <w:tc>
                <w:tcPr>
                  <w:tcW w:w="446" w:type="pct"/>
                  <w:vMerge w:val="continue"/>
                  <w:tcBorders/>
                  <w:vAlign w:val="center"/>
                </w:tcPr>
                <w:p w14:paraId="5FE31961">
                  <w:pPr>
                    <w:adjustRightInd w:val="0"/>
                    <w:snapToGrid w:val="0"/>
                    <w:jc w:val="center"/>
                    <w:rPr>
                      <w:sz w:val="18"/>
                      <w:szCs w:val="18"/>
                    </w:rPr>
                  </w:pPr>
                </w:p>
              </w:tc>
              <w:tc>
                <w:tcPr>
                  <w:tcW w:w="447" w:type="pct"/>
                  <w:vMerge w:val="continue"/>
                  <w:tcBorders/>
                  <w:vAlign w:val="center"/>
                </w:tcPr>
                <w:p w14:paraId="57445DEF">
                  <w:pPr>
                    <w:adjustRightInd w:val="0"/>
                    <w:snapToGrid w:val="0"/>
                    <w:jc w:val="center"/>
                    <w:rPr>
                      <w:sz w:val="18"/>
                      <w:szCs w:val="18"/>
                    </w:rPr>
                  </w:pPr>
                </w:p>
              </w:tc>
              <w:tc>
                <w:tcPr>
                  <w:tcW w:w="446" w:type="pct"/>
                  <w:vAlign w:val="center"/>
                </w:tcPr>
                <w:p w14:paraId="7EB94043">
                  <w:pPr>
                    <w:adjustRightInd w:val="0"/>
                    <w:snapToGrid w:val="0"/>
                    <w:jc w:val="center"/>
                    <w:rPr>
                      <w:sz w:val="18"/>
                      <w:szCs w:val="18"/>
                    </w:rPr>
                  </w:pPr>
                  <w:r>
                    <w:rPr>
                      <w:sz w:val="18"/>
                      <w:szCs w:val="18"/>
                    </w:rPr>
                    <w:t>袋装</w:t>
                  </w:r>
                </w:p>
              </w:tc>
              <w:tc>
                <w:tcPr>
                  <w:tcW w:w="446" w:type="pct"/>
                  <w:vMerge w:val="continue"/>
                  <w:tcBorders/>
                  <w:vAlign w:val="center"/>
                </w:tcPr>
                <w:p w14:paraId="68B012F8">
                  <w:pPr>
                    <w:adjustRightInd w:val="0"/>
                    <w:snapToGrid w:val="0"/>
                    <w:jc w:val="center"/>
                    <w:rPr>
                      <w:sz w:val="18"/>
                      <w:szCs w:val="18"/>
                    </w:rPr>
                  </w:pPr>
                </w:p>
              </w:tc>
              <w:tc>
                <w:tcPr>
                  <w:tcW w:w="508" w:type="pct"/>
                  <w:shd w:val="clear"/>
                  <w:vAlign w:val="center"/>
                </w:tcPr>
                <w:p w14:paraId="2B766EE5">
                  <w:pPr>
                    <w:adjustRightInd w:val="0"/>
                    <w:snapToGrid w:val="0"/>
                    <w:jc w:val="center"/>
                    <w:rPr>
                      <w:rFonts w:ascii="Times New Roman" w:hAnsi="Times New Roman" w:eastAsia="宋体" w:cs="Times New Roman"/>
                      <w:kern w:val="2"/>
                      <w:sz w:val="18"/>
                      <w:szCs w:val="18"/>
                      <w:lang w:val="en-US" w:eastAsia="zh-CN" w:bidi="ar-SA"/>
                    </w:rPr>
                  </w:pPr>
                  <w:r>
                    <w:rPr>
                      <w:sz w:val="18"/>
                      <w:szCs w:val="18"/>
                    </w:rPr>
                    <w:t>一年</w:t>
                  </w:r>
                </w:p>
              </w:tc>
            </w:tr>
            <w:tr w14:paraId="707031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55" w:type="pct"/>
                  <w:vAlign w:val="center"/>
                </w:tcPr>
                <w:p w14:paraId="4DF1299D">
                  <w:pPr>
                    <w:widowControl/>
                    <w:jc w:val="center"/>
                    <w:rPr>
                      <w:rFonts w:hint="default" w:eastAsia="宋体"/>
                      <w:sz w:val="18"/>
                      <w:szCs w:val="18"/>
                      <w:lang w:val="en-US" w:eastAsia="zh-CN"/>
                    </w:rPr>
                  </w:pPr>
                  <w:r>
                    <w:rPr>
                      <w:rFonts w:hint="eastAsia"/>
                      <w:sz w:val="18"/>
                      <w:szCs w:val="18"/>
                      <w:lang w:val="en-US" w:eastAsia="zh-CN"/>
                    </w:rPr>
                    <w:t>8</w:t>
                  </w:r>
                </w:p>
              </w:tc>
              <w:tc>
                <w:tcPr>
                  <w:tcW w:w="415" w:type="pct"/>
                  <w:vMerge w:val="continue"/>
                  <w:tcBorders/>
                  <w:vAlign w:val="center"/>
                </w:tcPr>
                <w:p w14:paraId="57AA54CF">
                  <w:pPr>
                    <w:adjustRightInd w:val="0"/>
                    <w:snapToGrid w:val="0"/>
                    <w:jc w:val="center"/>
                    <w:rPr>
                      <w:sz w:val="18"/>
                      <w:szCs w:val="18"/>
                    </w:rPr>
                  </w:pPr>
                </w:p>
              </w:tc>
              <w:tc>
                <w:tcPr>
                  <w:tcW w:w="660" w:type="pct"/>
                  <w:vAlign w:val="center"/>
                </w:tcPr>
                <w:p w14:paraId="36AF982E">
                  <w:pPr>
                    <w:pStyle w:val="55"/>
                    <w:spacing w:before="24" w:after="24"/>
                    <w:rPr>
                      <w:rFonts w:hint="eastAsia"/>
                      <w:bCs/>
                      <w:kern w:val="2"/>
                      <w:sz w:val="18"/>
                      <w:szCs w:val="18"/>
                    </w:rPr>
                  </w:pPr>
                  <w:r>
                    <w:rPr>
                      <w:rFonts w:hint="eastAsia"/>
                      <w:bCs/>
                      <w:kern w:val="2"/>
                      <w:sz w:val="18"/>
                      <w:szCs w:val="18"/>
                      <w:lang w:val="en-US" w:eastAsia="zh-CN"/>
                    </w:rPr>
                    <w:t>废过滤介质</w:t>
                  </w:r>
                </w:p>
              </w:tc>
              <w:tc>
                <w:tcPr>
                  <w:tcW w:w="467" w:type="pct"/>
                  <w:shd w:val="clear"/>
                  <w:vAlign w:val="center"/>
                </w:tcPr>
                <w:p w14:paraId="4511DFE3">
                  <w:pPr>
                    <w:widowControl/>
                    <w:adjustRightInd w:val="0"/>
                    <w:snapToGrid w:val="0"/>
                    <w:jc w:val="center"/>
                    <w:rPr>
                      <w:rFonts w:hint="eastAsia" w:ascii="Times New Roman" w:hAnsi="Times New Roman" w:eastAsia="宋体" w:cs="Times New Roman"/>
                      <w:kern w:val="2"/>
                      <w:sz w:val="18"/>
                      <w:szCs w:val="18"/>
                      <w:lang w:val="en-US" w:eastAsia="zh-CN" w:bidi="ar-SA"/>
                    </w:rPr>
                  </w:pPr>
                  <w:r>
                    <w:rPr>
                      <w:rFonts w:hint="eastAsia"/>
                      <w:sz w:val="18"/>
                      <w:szCs w:val="18"/>
                    </w:rPr>
                    <w:t>HW49</w:t>
                  </w:r>
                </w:p>
              </w:tc>
              <w:tc>
                <w:tcPr>
                  <w:tcW w:w="904" w:type="pct"/>
                  <w:vAlign w:val="center"/>
                </w:tcPr>
                <w:p w14:paraId="60826A42">
                  <w:pPr>
                    <w:jc w:val="center"/>
                    <w:rPr>
                      <w:sz w:val="18"/>
                      <w:szCs w:val="18"/>
                    </w:rPr>
                  </w:pPr>
                  <w:r>
                    <w:rPr>
                      <w:sz w:val="18"/>
                      <w:szCs w:val="18"/>
                    </w:rPr>
                    <w:t>900-047-49</w:t>
                  </w:r>
                </w:p>
              </w:tc>
              <w:tc>
                <w:tcPr>
                  <w:tcW w:w="446" w:type="pct"/>
                  <w:vMerge w:val="continue"/>
                  <w:tcBorders/>
                  <w:vAlign w:val="center"/>
                </w:tcPr>
                <w:p w14:paraId="70C871F7">
                  <w:pPr>
                    <w:adjustRightInd w:val="0"/>
                    <w:snapToGrid w:val="0"/>
                    <w:jc w:val="center"/>
                    <w:rPr>
                      <w:sz w:val="18"/>
                      <w:szCs w:val="18"/>
                    </w:rPr>
                  </w:pPr>
                </w:p>
              </w:tc>
              <w:tc>
                <w:tcPr>
                  <w:tcW w:w="447" w:type="pct"/>
                  <w:vMerge w:val="continue"/>
                  <w:tcBorders/>
                  <w:vAlign w:val="center"/>
                </w:tcPr>
                <w:p w14:paraId="5614B9EE">
                  <w:pPr>
                    <w:adjustRightInd w:val="0"/>
                    <w:snapToGrid w:val="0"/>
                    <w:jc w:val="center"/>
                    <w:rPr>
                      <w:sz w:val="18"/>
                      <w:szCs w:val="18"/>
                    </w:rPr>
                  </w:pPr>
                </w:p>
              </w:tc>
              <w:tc>
                <w:tcPr>
                  <w:tcW w:w="446" w:type="pct"/>
                  <w:vAlign w:val="center"/>
                </w:tcPr>
                <w:p w14:paraId="19F3F130">
                  <w:pPr>
                    <w:adjustRightInd w:val="0"/>
                    <w:snapToGrid w:val="0"/>
                    <w:jc w:val="center"/>
                    <w:rPr>
                      <w:sz w:val="18"/>
                      <w:szCs w:val="18"/>
                    </w:rPr>
                  </w:pPr>
                  <w:r>
                    <w:rPr>
                      <w:sz w:val="18"/>
                      <w:szCs w:val="18"/>
                    </w:rPr>
                    <w:t>袋装</w:t>
                  </w:r>
                </w:p>
              </w:tc>
              <w:tc>
                <w:tcPr>
                  <w:tcW w:w="446" w:type="pct"/>
                  <w:vMerge w:val="continue"/>
                  <w:tcBorders/>
                  <w:vAlign w:val="center"/>
                </w:tcPr>
                <w:p w14:paraId="1EE72FC0">
                  <w:pPr>
                    <w:adjustRightInd w:val="0"/>
                    <w:snapToGrid w:val="0"/>
                    <w:jc w:val="center"/>
                    <w:rPr>
                      <w:sz w:val="18"/>
                      <w:szCs w:val="18"/>
                    </w:rPr>
                  </w:pPr>
                </w:p>
              </w:tc>
              <w:tc>
                <w:tcPr>
                  <w:tcW w:w="508" w:type="pct"/>
                  <w:shd w:val="clear"/>
                  <w:vAlign w:val="center"/>
                </w:tcPr>
                <w:p w14:paraId="295B98DC">
                  <w:pPr>
                    <w:adjustRightInd w:val="0"/>
                    <w:snapToGrid w:val="0"/>
                    <w:jc w:val="center"/>
                    <w:rPr>
                      <w:rFonts w:ascii="Times New Roman" w:hAnsi="Times New Roman" w:eastAsia="宋体" w:cs="Times New Roman"/>
                      <w:kern w:val="2"/>
                      <w:sz w:val="18"/>
                      <w:szCs w:val="18"/>
                      <w:lang w:val="en-US" w:eastAsia="zh-CN" w:bidi="ar-SA"/>
                    </w:rPr>
                  </w:pPr>
                  <w:r>
                    <w:rPr>
                      <w:sz w:val="18"/>
                      <w:szCs w:val="18"/>
                    </w:rPr>
                    <w:t>一年</w:t>
                  </w:r>
                </w:p>
              </w:tc>
            </w:tr>
          </w:tbl>
          <w:p w14:paraId="44CDA84E">
            <w:pPr>
              <w:widowControl/>
              <w:shd w:val="clear" w:color="auto" w:fill="FFFFFF"/>
              <w:spacing w:line="360" w:lineRule="auto"/>
              <w:ind w:firstLine="452" w:firstLineChars="200"/>
              <w:jc w:val="left"/>
              <w:rPr>
                <w:spacing w:val="8"/>
                <w:kern w:val="0"/>
                <w:szCs w:val="21"/>
              </w:rPr>
            </w:pPr>
            <w:r>
              <w:rPr>
                <w:spacing w:val="8"/>
                <w:kern w:val="0"/>
                <w:szCs w:val="21"/>
              </w:rPr>
              <w:t>建设项目设置的危废暂存场所应满足如下要求：</w:t>
            </w:r>
          </w:p>
          <w:p w14:paraId="20BE95D9">
            <w:pPr>
              <w:spacing w:line="360" w:lineRule="auto"/>
              <w:ind w:firstLine="420" w:firstLineChars="200"/>
              <w:rPr>
                <w:szCs w:val="21"/>
              </w:rPr>
            </w:pPr>
            <w:r>
              <w:rPr>
                <w:szCs w:val="21"/>
              </w:rPr>
              <w:t>Ⅰ</w:t>
            </w:r>
            <w:r>
              <w:rPr>
                <w:spacing w:val="8"/>
                <w:kern w:val="0"/>
                <w:szCs w:val="21"/>
              </w:rPr>
              <w:t>、贮存物质相容性要求：在常温常压下不水解、不挥发的固体危险废物可在贮存场所内分别堆放，除此之外的其他危险废物必须存放于容器中，存放用容器也需符合</w:t>
            </w:r>
            <w:r>
              <w:rPr>
                <w:rFonts w:hint="eastAsia"/>
                <w:spacing w:val="8"/>
                <w:kern w:val="0"/>
                <w:szCs w:val="21"/>
              </w:rPr>
              <w:t>（</w:t>
            </w:r>
            <w:r>
              <w:rPr>
                <w:spacing w:val="8"/>
                <w:kern w:val="0"/>
                <w:szCs w:val="21"/>
              </w:rPr>
              <w:t>GB18597-2023</w:t>
            </w:r>
            <w:r>
              <w:rPr>
                <w:rFonts w:hint="eastAsia"/>
                <w:spacing w:val="8"/>
                <w:kern w:val="0"/>
                <w:szCs w:val="21"/>
              </w:rPr>
              <w:t>）</w:t>
            </w:r>
            <w:r>
              <w:rPr>
                <w:spacing w:val="8"/>
                <w:kern w:val="0"/>
                <w:szCs w:val="21"/>
              </w:rPr>
              <w:t>标准的相关规定；禁止将不相容</w:t>
            </w:r>
            <w:r>
              <w:rPr>
                <w:rFonts w:hint="eastAsia"/>
                <w:spacing w:val="8"/>
                <w:kern w:val="0"/>
                <w:szCs w:val="21"/>
              </w:rPr>
              <w:t>（</w:t>
            </w:r>
            <w:r>
              <w:rPr>
                <w:spacing w:val="8"/>
                <w:kern w:val="0"/>
                <w:szCs w:val="21"/>
              </w:rPr>
              <w:t>相互反应</w:t>
            </w:r>
            <w:r>
              <w:rPr>
                <w:rFonts w:hint="eastAsia"/>
                <w:spacing w:val="8"/>
                <w:kern w:val="0"/>
                <w:szCs w:val="21"/>
              </w:rPr>
              <w:t>）</w:t>
            </w:r>
            <w:r>
              <w:rPr>
                <w:spacing w:val="8"/>
                <w:kern w:val="0"/>
                <w:szCs w:val="21"/>
              </w:rPr>
              <w:t>的危险废物在同一容器中存放；无法装入常用容器的危险废物可用防漏胶袋等盛装。</w:t>
            </w:r>
          </w:p>
          <w:p w14:paraId="4A8773AF">
            <w:pPr>
              <w:spacing w:line="360" w:lineRule="auto"/>
              <w:ind w:firstLine="420" w:firstLineChars="200"/>
              <w:rPr>
                <w:szCs w:val="21"/>
              </w:rPr>
            </w:pPr>
            <w:r>
              <w:rPr>
                <w:szCs w:val="21"/>
              </w:rPr>
              <w:t>Ⅱ、包装容器要求：危险废物贮存容器应当使用符合标准的容器盛装危险废物，装载危险废物的容器及材质要满足相应的强度要求，完好无损，盛装危险废物的容器材质和衬里要与危险废物相容。</w:t>
            </w:r>
          </w:p>
          <w:p w14:paraId="496DCFD9">
            <w:pPr>
              <w:spacing w:line="360" w:lineRule="auto"/>
              <w:ind w:firstLine="420" w:firstLineChars="200"/>
              <w:rPr>
                <w:kern w:val="0"/>
                <w:szCs w:val="21"/>
              </w:rPr>
            </w:pPr>
            <w:r>
              <w:rPr>
                <w:szCs w:val="21"/>
              </w:rPr>
              <w:t>Ⅲ、危险废物贮存场所建设要求：建设项目</w:t>
            </w:r>
            <w:r>
              <w:rPr>
                <w:kern w:val="0"/>
                <w:szCs w:val="21"/>
              </w:rPr>
              <w:t>危废仓库拟按照《危险废物贮存污染控制标准》（GB18597-2023）的相关要求建设：地面设置防渗层，配备通讯设备、照明设施、安全防护服装及工具，并设有应急防护设施；在危险废物仓库出入口、设施内部、危险废物运输车辆通道等关键位置按照危险废物贮存设施视频监控布设要求设置视频监控，并与中控室联网。对危险废物的容器和包装物以及收集、贮存、运输、处置危险废物的设施、场所，拟设置危险废物识别标志。</w:t>
            </w:r>
          </w:p>
          <w:p w14:paraId="6BC36C88">
            <w:pPr>
              <w:spacing w:line="360" w:lineRule="auto"/>
              <w:ind w:firstLine="420" w:firstLineChars="200"/>
              <w:rPr>
                <w:color w:val="0000FF"/>
                <w:kern w:val="0"/>
                <w:szCs w:val="21"/>
              </w:rPr>
            </w:pPr>
            <w:r>
              <w:rPr>
                <w:rFonts w:hint="eastAsia"/>
                <w:color w:val="0000FF"/>
                <w:kern w:val="0"/>
                <w:szCs w:val="21"/>
              </w:rPr>
              <w:t>贮存库内不同贮存分区之间采取隔离措施，存放两种及以上不相容危险废物时采用过道、隔板或隔墙等方式隔离。在贮存库内贮存液态、半固态以及其它可能有渗滤液产生的危险废物，配备泄露液体收集装置，不相容危险废物不共用泄露液体收集装置。贮存易产生挥发性有机物(VOCs)、酸雾、有毒有害大气污染物和刺激性气味气体的危险废物时，设置气体收集装置和气体净化设施。废气(含无组织废气)排放符合《大气污染物综合排放标准》(DB32/4041-2021)和《挥发性有机物无组织排放控制标准》(GB37822-2019)规定要求。</w:t>
            </w:r>
          </w:p>
          <w:p w14:paraId="14CB986B">
            <w:pPr>
              <w:spacing w:line="360" w:lineRule="auto"/>
              <w:ind w:firstLine="420" w:firstLineChars="200"/>
              <w:rPr>
                <w:kern w:val="0"/>
                <w:szCs w:val="21"/>
              </w:rPr>
            </w:pPr>
            <w:r>
              <w:rPr>
                <w:kern w:val="0"/>
                <w:szCs w:val="21"/>
              </w:rPr>
              <w:t>危废贮存过程必须分类存放、贮存，并必须要做到防雨、防渗、防漏、防扬散、防流失及其他防止污染环境的措施，不得随意露天堆放</w:t>
            </w:r>
            <w:r>
              <w:rPr>
                <w:szCs w:val="21"/>
              </w:rPr>
              <w:t>，地面进行耐腐蚀硬化处理，地基须防渗，地面表面无裂缝；不相容的危险废物需分类存放，并设置隔离间隔断；具备警示标识等方面内容。</w:t>
            </w:r>
          </w:p>
          <w:p w14:paraId="61A2F984">
            <w:pPr>
              <w:adjustRightInd w:val="0"/>
              <w:snapToGrid w:val="0"/>
              <w:spacing w:line="360" w:lineRule="auto"/>
              <w:ind w:firstLine="420" w:firstLineChars="200"/>
              <w:rPr>
                <w:b/>
                <w:szCs w:val="21"/>
              </w:rPr>
            </w:pPr>
            <w:r>
              <w:rPr>
                <w:szCs w:val="21"/>
              </w:rPr>
              <w:t>Ⅳ、危险废物暂存管理要求：危废暂存间设立危险废物进出入台账登记管理制度，记录每次运送流程和处置去向，严格执行危险废物电子联单制度，实行对危险废物从源头到终端处理的全过程监管，确保危险废物100%得到安全处置。</w:t>
            </w:r>
          </w:p>
          <w:p w14:paraId="444B2315">
            <w:pPr>
              <w:jc w:val="center"/>
              <w:rPr>
                <w:b/>
                <w:bCs/>
                <w:szCs w:val="21"/>
              </w:rPr>
            </w:pPr>
            <w:r>
              <w:rPr>
                <w:b/>
                <w:bCs/>
                <w:szCs w:val="21"/>
              </w:rPr>
              <w:t>表4-2</w:t>
            </w:r>
            <w:r>
              <w:rPr>
                <w:rFonts w:hint="eastAsia"/>
                <w:b/>
                <w:bCs/>
                <w:szCs w:val="21"/>
                <w:lang w:val="en-US" w:eastAsia="zh-CN"/>
              </w:rPr>
              <w:t>9</w:t>
            </w:r>
            <w:r>
              <w:rPr>
                <w:b/>
                <w:bCs/>
                <w:szCs w:val="21"/>
              </w:rPr>
              <w:t xml:space="preserve"> 危废贮存设施污染防治措施</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57" w:type="dxa"/>
                <w:bottom w:w="0" w:type="dxa"/>
                <w:right w:w="57" w:type="dxa"/>
              </w:tblCellMar>
            </w:tblPr>
            <w:tblGrid>
              <w:gridCol w:w="767"/>
              <w:gridCol w:w="4055"/>
              <w:gridCol w:w="3974"/>
            </w:tblGrid>
            <w:tr w14:paraId="1DB78F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40" w:type="dxa"/>
                  <w:vAlign w:val="center"/>
                </w:tcPr>
                <w:p w14:paraId="118DA636">
                  <w:pPr>
                    <w:adjustRightInd w:val="0"/>
                    <w:snapToGrid w:val="0"/>
                    <w:jc w:val="center"/>
                    <w:rPr>
                      <w:b/>
                      <w:bCs/>
                      <w:sz w:val="18"/>
                      <w:szCs w:val="18"/>
                    </w:rPr>
                  </w:pPr>
                  <w:r>
                    <w:rPr>
                      <w:b/>
                      <w:bCs/>
                      <w:sz w:val="18"/>
                      <w:szCs w:val="18"/>
                    </w:rPr>
                    <w:t>类别</w:t>
                  </w:r>
                </w:p>
              </w:tc>
              <w:tc>
                <w:tcPr>
                  <w:tcW w:w="3907" w:type="dxa"/>
                  <w:vAlign w:val="center"/>
                </w:tcPr>
                <w:p w14:paraId="022E2755">
                  <w:pPr>
                    <w:adjustRightInd w:val="0"/>
                    <w:snapToGrid w:val="0"/>
                    <w:jc w:val="center"/>
                    <w:rPr>
                      <w:b/>
                      <w:bCs/>
                      <w:sz w:val="18"/>
                      <w:szCs w:val="18"/>
                    </w:rPr>
                  </w:pPr>
                  <w:r>
                    <w:rPr>
                      <w:b/>
                      <w:bCs/>
                      <w:sz w:val="18"/>
                      <w:szCs w:val="18"/>
                    </w:rPr>
                    <w:t>具体建设要求</w:t>
                  </w:r>
                </w:p>
              </w:tc>
              <w:tc>
                <w:tcPr>
                  <w:tcW w:w="3829" w:type="dxa"/>
                  <w:vAlign w:val="center"/>
                </w:tcPr>
                <w:p w14:paraId="3FA7A6D2">
                  <w:pPr>
                    <w:adjustRightInd w:val="0"/>
                    <w:snapToGrid w:val="0"/>
                    <w:jc w:val="center"/>
                    <w:rPr>
                      <w:b/>
                      <w:bCs/>
                      <w:sz w:val="18"/>
                      <w:szCs w:val="18"/>
                    </w:rPr>
                  </w:pPr>
                  <w:r>
                    <w:rPr>
                      <w:b/>
                      <w:bCs/>
                      <w:sz w:val="18"/>
                      <w:szCs w:val="18"/>
                    </w:rPr>
                    <w:t>本项目拟采取污染防治措施</w:t>
                  </w:r>
                </w:p>
              </w:tc>
            </w:tr>
            <w:tr w14:paraId="4E19C7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40" w:type="dxa"/>
                  <w:vMerge w:val="restart"/>
                  <w:vAlign w:val="center"/>
                </w:tcPr>
                <w:p w14:paraId="261A1699">
                  <w:pPr>
                    <w:adjustRightInd w:val="0"/>
                    <w:snapToGrid w:val="0"/>
                    <w:jc w:val="center"/>
                    <w:rPr>
                      <w:kern w:val="0"/>
                      <w:sz w:val="18"/>
                      <w:szCs w:val="18"/>
                    </w:rPr>
                  </w:pPr>
                  <w:r>
                    <w:rPr>
                      <w:kern w:val="0"/>
                      <w:sz w:val="18"/>
                      <w:szCs w:val="18"/>
                    </w:rPr>
                    <w:t>危险废物贮存场所</w:t>
                  </w:r>
                </w:p>
              </w:tc>
              <w:tc>
                <w:tcPr>
                  <w:tcW w:w="3907" w:type="dxa"/>
                  <w:vAlign w:val="center"/>
                </w:tcPr>
                <w:p w14:paraId="51E1C3B2">
                  <w:pPr>
                    <w:adjustRightInd w:val="0"/>
                    <w:snapToGrid w:val="0"/>
                    <w:jc w:val="center"/>
                    <w:rPr>
                      <w:sz w:val="18"/>
                      <w:szCs w:val="18"/>
                    </w:rPr>
                  </w:pPr>
                  <w:r>
                    <w:rPr>
                      <w:rFonts w:hint="eastAsia"/>
                      <w:sz w:val="18"/>
                      <w:szCs w:val="18"/>
                    </w:rPr>
                    <w:t>1、贮存设施应根据危险废物的形态、物理化学性质、包装形式和污染物迁移途径，采取必要的防风、防晒、防雨、防漏、防渗、防腐以及其他环境污染防治措施，不应露天堆放危险废物。</w:t>
                  </w:r>
                </w:p>
              </w:tc>
              <w:tc>
                <w:tcPr>
                  <w:tcW w:w="3829" w:type="dxa"/>
                  <w:vAlign w:val="center"/>
                </w:tcPr>
                <w:p w14:paraId="5D1D74E1">
                  <w:pPr>
                    <w:adjustRightInd w:val="0"/>
                    <w:snapToGrid w:val="0"/>
                    <w:jc w:val="center"/>
                    <w:rPr>
                      <w:sz w:val="18"/>
                      <w:szCs w:val="18"/>
                    </w:rPr>
                  </w:pPr>
                  <w:r>
                    <w:rPr>
                      <w:rFonts w:hint="eastAsia"/>
                      <w:kern w:val="0"/>
                      <w:sz w:val="18"/>
                      <w:szCs w:val="18"/>
                    </w:rPr>
                    <w:t>本项目拟建设密闭式危废贮存库</w:t>
                  </w:r>
                  <w:r>
                    <w:rPr>
                      <w:kern w:val="0"/>
                      <w:sz w:val="18"/>
                      <w:szCs w:val="18"/>
                    </w:rPr>
                    <w:t>，地面防渗处理，具备防风、防雨、防晒</w:t>
                  </w:r>
                  <w:r>
                    <w:rPr>
                      <w:rFonts w:hint="eastAsia"/>
                      <w:kern w:val="0"/>
                      <w:sz w:val="18"/>
                      <w:szCs w:val="18"/>
                    </w:rPr>
                    <w:t>、</w:t>
                  </w:r>
                  <w:r>
                    <w:rPr>
                      <w:rFonts w:hint="eastAsia"/>
                      <w:sz w:val="18"/>
                      <w:szCs w:val="18"/>
                    </w:rPr>
                    <w:t>防漏、防渗、防腐</w:t>
                  </w:r>
                  <w:r>
                    <w:rPr>
                      <w:kern w:val="0"/>
                      <w:sz w:val="18"/>
                      <w:szCs w:val="18"/>
                    </w:rPr>
                    <w:t>功能</w:t>
                  </w:r>
                  <w:r>
                    <w:rPr>
                      <w:rFonts w:hint="eastAsia"/>
                      <w:kern w:val="0"/>
                      <w:sz w:val="18"/>
                      <w:szCs w:val="18"/>
                    </w:rPr>
                    <w:t>，不露天堆放危险废物。</w:t>
                  </w:r>
                </w:p>
              </w:tc>
            </w:tr>
            <w:tr w14:paraId="2D85CC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40" w:type="dxa"/>
                  <w:vMerge w:val="continue"/>
                  <w:vAlign w:val="center"/>
                </w:tcPr>
                <w:p w14:paraId="4DFB420C">
                  <w:pPr>
                    <w:adjustRightInd w:val="0"/>
                    <w:snapToGrid w:val="0"/>
                    <w:jc w:val="center"/>
                    <w:rPr>
                      <w:kern w:val="0"/>
                      <w:sz w:val="18"/>
                      <w:szCs w:val="18"/>
                    </w:rPr>
                  </w:pPr>
                </w:p>
              </w:tc>
              <w:tc>
                <w:tcPr>
                  <w:tcW w:w="3907" w:type="dxa"/>
                  <w:vAlign w:val="center"/>
                </w:tcPr>
                <w:p w14:paraId="3B219662">
                  <w:pPr>
                    <w:adjustRightInd w:val="0"/>
                    <w:snapToGrid w:val="0"/>
                    <w:jc w:val="center"/>
                    <w:rPr>
                      <w:sz w:val="18"/>
                      <w:szCs w:val="18"/>
                    </w:rPr>
                  </w:pPr>
                  <w:r>
                    <w:rPr>
                      <w:rFonts w:hint="eastAsia"/>
                      <w:sz w:val="18"/>
                      <w:szCs w:val="18"/>
                    </w:rPr>
                    <w:t>2、贮存设施应根据危险废物的类别、数量、形态、物理化学性质和污染防治等要求设置必要的贮存分区，避免不相容的危险废物接触、混合。</w:t>
                  </w:r>
                </w:p>
              </w:tc>
              <w:tc>
                <w:tcPr>
                  <w:tcW w:w="3829" w:type="dxa"/>
                  <w:vAlign w:val="center"/>
                </w:tcPr>
                <w:p w14:paraId="12930725">
                  <w:pPr>
                    <w:adjustRightInd w:val="0"/>
                    <w:snapToGrid w:val="0"/>
                    <w:jc w:val="center"/>
                    <w:rPr>
                      <w:sz w:val="18"/>
                      <w:szCs w:val="18"/>
                    </w:rPr>
                  </w:pPr>
                  <w:r>
                    <w:rPr>
                      <w:rFonts w:hint="eastAsia"/>
                      <w:kern w:val="0"/>
                      <w:sz w:val="18"/>
                      <w:szCs w:val="18"/>
                    </w:rPr>
                    <w:t>本项目不同危险废物设置贮存分区，不同危险废物不进行接触、混合。</w:t>
                  </w:r>
                </w:p>
              </w:tc>
            </w:tr>
            <w:tr w14:paraId="2725D4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40" w:type="dxa"/>
                  <w:vMerge w:val="continue"/>
                  <w:vAlign w:val="center"/>
                </w:tcPr>
                <w:p w14:paraId="00F92A0A">
                  <w:pPr>
                    <w:adjustRightInd w:val="0"/>
                    <w:snapToGrid w:val="0"/>
                    <w:jc w:val="center"/>
                    <w:rPr>
                      <w:kern w:val="0"/>
                      <w:sz w:val="18"/>
                      <w:szCs w:val="18"/>
                    </w:rPr>
                  </w:pPr>
                </w:p>
              </w:tc>
              <w:tc>
                <w:tcPr>
                  <w:tcW w:w="3907" w:type="dxa"/>
                  <w:vAlign w:val="center"/>
                </w:tcPr>
                <w:p w14:paraId="71CE67FE">
                  <w:pPr>
                    <w:adjustRightInd w:val="0"/>
                    <w:snapToGrid w:val="0"/>
                    <w:jc w:val="center"/>
                    <w:rPr>
                      <w:sz w:val="18"/>
                      <w:szCs w:val="18"/>
                    </w:rPr>
                  </w:pPr>
                  <w:r>
                    <w:rPr>
                      <w:rFonts w:hint="eastAsia"/>
                      <w:sz w:val="18"/>
                      <w:szCs w:val="18"/>
                    </w:rPr>
                    <w:t>3、贮存设施或贮存分区内地面、墙面裙脚、堵截泄漏的围堰、接触危险废物的隔板和墙体等应采用坚固的材料建造，表面无裂缝。</w:t>
                  </w:r>
                </w:p>
              </w:tc>
              <w:tc>
                <w:tcPr>
                  <w:tcW w:w="3829" w:type="dxa"/>
                  <w:vAlign w:val="center"/>
                </w:tcPr>
                <w:p w14:paraId="16787B7B">
                  <w:pPr>
                    <w:adjustRightInd w:val="0"/>
                    <w:snapToGrid w:val="0"/>
                    <w:jc w:val="center"/>
                    <w:rPr>
                      <w:sz w:val="18"/>
                      <w:szCs w:val="18"/>
                    </w:rPr>
                  </w:pPr>
                  <w:r>
                    <w:rPr>
                      <w:rFonts w:hint="eastAsia"/>
                      <w:sz w:val="18"/>
                      <w:szCs w:val="18"/>
                    </w:rPr>
                    <w:t>本项目危废仓库周围拟设置围堰或地沟用于收集渗漏液，危废仓库墙体采用砖混或钢结构，确保无裂缝。</w:t>
                  </w:r>
                </w:p>
              </w:tc>
            </w:tr>
            <w:tr w14:paraId="0FE523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40" w:type="dxa"/>
                  <w:vMerge w:val="continue"/>
                  <w:vAlign w:val="center"/>
                </w:tcPr>
                <w:p w14:paraId="715A1D9D">
                  <w:pPr>
                    <w:adjustRightInd w:val="0"/>
                    <w:snapToGrid w:val="0"/>
                    <w:jc w:val="center"/>
                    <w:rPr>
                      <w:kern w:val="0"/>
                      <w:sz w:val="18"/>
                      <w:szCs w:val="18"/>
                    </w:rPr>
                  </w:pPr>
                </w:p>
              </w:tc>
              <w:tc>
                <w:tcPr>
                  <w:tcW w:w="3907" w:type="dxa"/>
                  <w:vAlign w:val="center"/>
                </w:tcPr>
                <w:p w14:paraId="292F120A">
                  <w:pPr>
                    <w:adjustRightInd w:val="0"/>
                    <w:snapToGrid w:val="0"/>
                    <w:jc w:val="center"/>
                    <w:rPr>
                      <w:sz w:val="18"/>
                      <w:szCs w:val="18"/>
                    </w:rPr>
                  </w:pPr>
                  <w:r>
                    <w:rPr>
                      <w:rFonts w:hint="eastAsia"/>
                      <w:sz w:val="18"/>
                      <w:szCs w:val="18"/>
                    </w:rPr>
                    <w:t>4、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 m 厚黏土层（渗透系数不大于10</w:t>
                  </w:r>
                  <w:r>
                    <w:rPr>
                      <w:rFonts w:hint="eastAsia"/>
                      <w:sz w:val="18"/>
                      <w:szCs w:val="18"/>
                      <w:vertAlign w:val="superscript"/>
                    </w:rPr>
                    <w:t>-7</w:t>
                  </w:r>
                  <w:r>
                    <w:rPr>
                      <w:rFonts w:hint="eastAsia"/>
                      <w:sz w:val="18"/>
                      <w:szCs w:val="18"/>
                    </w:rPr>
                    <w:t>cm/s），或至少2 mm厚高密度聚乙烯膜等人工防渗材料（渗透系数不大于10</w:t>
                  </w:r>
                  <w:r>
                    <w:rPr>
                      <w:rFonts w:hint="eastAsia"/>
                      <w:sz w:val="18"/>
                      <w:szCs w:val="18"/>
                      <w:vertAlign w:val="superscript"/>
                    </w:rPr>
                    <w:t>-10</w:t>
                  </w:r>
                  <w:r>
                    <w:rPr>
                      <w:rFonts w:hint="eastAsia"/>
                      <w:sz w:val="18"/>
                      <w:szCs w:val="18"/>
                    </w:rPr>
                    <w:t>cm/s），或其他防渗性能等效的材料。</w:t>
                  </w:r>
                </w:p>
              </w:tc>
              <w:tc>
                <w:tcPr>
                  <w:tcW w:w="3829" w:type="dxa"/>
                  <w:vAlign w:val="center"/>
                </w:tcPr>
                <w:p w14:paraId="0DD3C2CE">
                  <w:pPr>
                    <w:adjustRightInd w:val="0"/>
                    <w:snapToGrid w:val="0"/>
                    <w:jc w:val="center"/>
                    <w:rPr>
                      <w:kern w:val="0"/>
                      <w:sz w:val="18"/>
                      <w:szCs w:val="18"/>
                    </w:rPr>
                  </w:pPr>
                  <w:r>
                    <w:rPr>
                      <w:rFonts w:hint="eastAsia"/>
                      <w:kern w:val="0"/>
                      <w:sz w:val="18"/>
                      <w:szCs w:val="18"/>
                    </w:rPr>
                    <w:t>本项目危废仓库地面拟采用基础防渗，地面与裙脚采用环氧地坪，防渗等级满足防渗要求。</w:t>
                  </w:r>
                </w:p>
              </w:tc>
            </w:tr>
            <w:tr w14:paraId="4CA674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40" w:type="dxa"/>
                  <w:vMerge w:val="continue"/>
                  <w:vAlign w:val="center"/>
                </w:tcPr>
                <w:p w14:paraId="647D238C">
                  <w:pPr>
                    <w:adjustRightInd w:val="0"/>
                    <w:snapToGrid w:val="0"/>
                    <w:jc w:val="center"/>
                    <w:rPr>
                      <w:kern w:val="0"/>
                      <w:sz w:val="18"/>
                      <w:szCs w:val="18"/>
                    </w:rPr>
                  </w:pPr>
                </w:p>
              </w:tc>
              <w:tc>
                <w:tcPr>
                  <w:tcW w:w="3907" w:type="dxa"/>
                  <w:vAlign w:val="center"/>
                </w:tcPr>
                <w:p w14:paraId="2FC99C8F">
                  <w:pPr>
                    <w:adjustRightInd w:val="0"/>
                    <w:snapToGrid w:val="0"/>
                    <w:jc w:val="center"/>
                    <w:rPr>
                      <w:sz w:val="18"/>
                      <w:szCs w:val="18"/>
                    </w:rPr>
                  </w:pPr>
                  <w:r>
                    <w:rPr>
                      <w:rFonts w:hint="eastAsia"/>
                      <w:sz w:val="18"/>
                      <w:szCs w:val="18"/>
                    </w:rPr>
                    <w:t>5、同一贮存设施宜采用相同的防渗、防腐工艺（包括防渗、防腐结构或材料），防渗、防腐材料应覆盖所有可能与废物及其渗滤液、渗漏液等接触的构筑物表面；采用不同防渗、防腐工艺应分别建设贮存分区。</w:t>
                  </w:r>
                </w:p>
              </w:tc>
              <w:tc>
                <w:tcPr>
                  <w:tcW w:w="3829" w:type="dxa"/>
                  <w:vAlign w:val="center"/>
                </w:tcPr>
                <w:p w14:paraId="6487E699">
                  <w:pPr>
                    <w:adjustRightInd w:val="0"/>
                    <w:snapToGrid w:val="0"/>
                    <w:jc w:val="center"/>
                    <w:rPr>
                      <w:kern w:val="0"/>
                      <w:sz w:val="18"/>
                      <w:szCs w:val="18"/>
                    </w:rPr>
                  </w:pPr>
                  <w:r>
                    <w:rPr>
                      <w:rFonts w:hint="eastAsia"/>
                      <w:kern w:val="0"/>
                      <w:sz w:val="18"/>
                      <w:szCs w:val="18"/>
                    </w:rPr>
                    <w:t>本项目危废仓库内拟采用相同的防渗、防腐工艺。</w:t>
                  </w:r>
                </w:p>
              </w:tc>
            </w:tr>
            <w:tr w14:paraId="7D3EFF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40" w:type="dxa"/>
                  <w:vMerge w:val="continue"/>
                  <w:vAlign w:val="center"/>
                </w:tcPr>
                <w:p w14:paraId="28DC4BB8">
                  <w:pPr>
                    <w:adjustRightInd w:val="0"/>
                    <w:snapToGrid w:val="0"/>
                    <w:jc w:val="center"/>
                    <w:rPr>
                      <w:kern w:val="0"/>
                      <w:sz w:val="18"/>
                      <w:szCs w:val="18"/>
                    </w:rPr>
                  </w:pPr>
                </w:p>
              </w:tc>
              <w:tc>
                <w:tcPr>
                  <w:tcW w:w="3907" w:type="dxa"/>
                  <w:vAlign w:val="center"/>
                </w:tcPr>
                <w:p w14:paraId="2651AADC">
                  <w:pPr>
                    <w:adjustRightInd w:val="0"/>
                    <w:snapToGrid w:val="0"/>
                    <w:jc w:val="center"/>
                    <w:rPr>
                      <w:sz w:val="18"/>
                      <w:szCs w:val="18"/>
                    </w:rPr>
                  </w:pPr>
                  <w:r>
                    <w:rPr>
                      <w:rFonts w:hint="eastAsia"/>
                      <w:sz w:val="18"/>
                      <w:szCs w:val="18"/>
                    </w:rPr>
                    <w:t>6、贮存设施应采取技术和管理措施防止无关人员进入。</w:t>
                  </w:r>
                </w:p>
              </w:tc>
              <w:tc>
                <w:tcPr>
                  <w:tcW w:w="3829" w:type="dxa"/>
                  <w:vAlign w:val="center"/>
                </w:tcPr>
                <w:p w14:paraId="26148BAC">
                  <w:pPr>
                    <w:adjustRightInd w:val="0"/>
                    <w:snapToGrid w:val="0"/>
                    <w:jc w:val="center"/>
                    <w:rPr>
                      <w:kern w:val="0"/>
                      <w:sz w:val="18"/>
                      <w:szCs w:val="18"/>
                    </w:rPr>
                  </w:pPr>
                  <w:r>
                    <w:rPr>
                      <w:rFonts w:hint="eastAsia"/>
                      <w:kern w:val="0"/>
                      <w:sz w:val="18"/>
                      <w:szCs w:val="18"/>
                    </w:rPr>
                    <w:t>本项目</w:t>
                  </w:r>
                  <w:r>
                    <w:rPr>
                      <w:kern w:val="0"/>
                      <w:sz w:val="18"/>
                      <w:szCs w:val="18"/>
                    </w:rPr>
                    <w:t>危废仓库</w:t>
                  </w:r>
                  <w:r>
                    <w:rPr>
                      <w:rFonts w:hint="eastAsia"/>
                      <w:kern w:val="0"/>
                      <w:sz w:val="18"/>
                      <w:szCs w:val="18"/>
                    </w:rPr>
                    <w:t>拟设置门锁，且钥匙由专人保管，可防止无关人员进入</w:t>
                  </w:r>
                  <w:r>
                    <w:rPr>
                      <w:kern w:val="0"/>
                      <w:sz w:val="18"/>
                      <w:szCs w:val="18"/>
                    </w:rPr>
                    <w:t>。</w:t>
                  </w:r>
                </w:p>
              </w:tc>
            </w:tr>
            <w:tr w14:paraId="0F9B04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40" w:type="dxa"/>
                  <w:vMerge w:val="continue"/>
                  <w:vAlign w:val="center"/>
                </w:tcPr>
                <w:p w14:paraId="74DBDBC9">
                  <w:pPr>
                    <w:adjustRightInd w:val="0"/>
                    <w:snapToGrid w:val="0"/>
                    <w:jc w:val="center"/>
                    <w:rPr>
                      <w:kern w:val="0"/>
                      <w:sz w:val="18"/>
                      <w:szCs w:val="18"/>
                    </w:rPr>
                  </w:pPr>
                </w:p>
              </w:tc>
              <w:tc>
                <w:tcPr>
                  <w:tcW w:w="3907" w:type="dxa"/>
                  <w:vAlign w:val="center"/>
                </w:tcPr>
                <w:p w14:paraId="318BA096">
                  <w:pPr>
                    <w:adjustRightInd w:val="0"/>
                    <w:snapToGrid w:val="0"/>
                    <w:jc w:val="center"/>
                    <w:rPr>
                      <w:sz w:val="18"/>
                      <w:szCs w:val="18"/>
                    </w:rPr>
                  </w:pPr>
                  <w:r>
                    <w:rPr>
                      <w:rFonts w:hint="eastAsia"/>
                      <w:sz w:val="18"/>
                      <w:szCs w:val="18"/>
                    </w:rPr>
                    <w:t>7、贮存库内不同贮存分区之间应采取隔离措施。隔离措施可根据危险废物特性采用过道、隔板或隔墙等方式。</w:t>
                  </w:r>
                </w:p>
              </w:tc>
              <w:tc>
                <w:tcPr>
                  <w:tcW w:w="3829" w:type="dxa"/>
                  <w:vAlign w:val="center"/>
                </w:tcPr>
                <w:p w14:paraId="549C69FD">
                  <w:pPr>
                    <w:adjustRightInd w:val="0"/>
                    <w:snapToGrid w:val="0"/>
                    <w:jc w:val="center"/>
                    <w:rPr>
                      <w:kern w:val="0"/>
                      <w:sz w:val="18"/>
                      <w:szCs w:val="18"/>
                    </w:rPr>
                  </w:pPr>
                  <w:r>
                    <w:rPr>
                      <w:rFonts w:hint="eastAsia"/>
                      <w:kern w:val="0"/>
                      <w:sz w:val="18"/>
                      <w:szCs w:val="18"/>
                    </w:rPr>
                    <w:t>本项目</w:t>
                  </w:r>
                  <w:r>
                    <w:rPr>
                      <w:kern w:val="0"/>
                      <w:sz w:val="18"/>
                      <w:szCs w:val="18"/>
                    </w:rPr>
                    <w:t>危废仓库</w:t>
                  </w:r>
                  <w:r>
                    <w:rPr>
                      <w:rFonts w:hint="eastAsia"/>
                      <w:kern w:val="0"/>
                      <w:sz w:val="18"/>
                      <w:szCs w:val="18"/>
                    </w:rPr>
                    <w:t>不同贮存分区之间采取拟采取隔板的隔离措施。</w:t>
                  </w:r>
                </w:p>
              </w:tc>
            </w:tr>
            <w:tr w14:paraId="374802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40" w:type="dxa"/>
                  <w:vMerge w:val="continue"/>
                  <w:vAlign w:val="center"/>
                </w:tcPr>
                <w:p w14:paraId="49048FB3">
                  <w:pPr>
                    <w:adjustRightInd w:val="0"/>
                    <w:snapToGrid w:val="0"/>
                    <w:jc w:val="center"/>
                    <w:rPr>
                      <w:kern w:val="0"/>
                      <w:sz w:val="18"/>
                      <w:szCs w:val="18"/>
                    </w:rPr>
                  </w:pPr>
                </w:p>
              </w:tc>
              <w:tc>
                <w:tcPr>
                  <w:tcW w:w="3907" w:type="dxa"/>
                  <w:vAlign w:val="center"/>
                </w:tcPr>
                <w:p w14:paraId="4F09AD47">
                  <w:pPr>
                    <w:adjustRightInd w:val="0"/>
                    <w:snapToGrid w:val="0"/>
                    <w:jc w:val="center"/>
                    <w:rPr>
                      <w:sz w:val="18"/>
                      <w:szCs w:val="18"/>
                    </w:rPr>
                  </w:pPr>
                  <w:r>
                    <w:rPr>
                      <w:rFonts w:hint="eastAsia"/>
                      <w:sz w:val="18"/>
                      <w:szCs w:val="18"/>
                    </w:rPr>
                    <w:t>8、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tc>
              <w:tc>
                <w:tcPr>
                  <w:tcW w:w="3829" w:type="dxa"/>
                  <w:vAlign w:val="center"/>
                </w:tcPr>
                <w:p w14:paraId="4149622C">
                  <w:pPr>
                    <w:adjustRightInd w:val="0"/>
                    <w:snapToGrid w:val="0"/>
                    <w:jc w:val="center"/>
                    <w:rPr>
                      <w:kern w:val="0"/>
                      <w:sz w:val="18"/>
                      <w:szCs w:val="18"/>
                    </w:rPr>
                  </w:pPr>
                  <w:r>
                    <w:rPr>
                      <w:rFonts w:hint="eastAsia"/>
                      <w:kern w:val="0"/>
                      <w:sz w:val="18"/>
                      <w:szCs w:val="18"/>
                    </w:rPr>
                    <w:t>本项目</w:t>
                  </w:r>
                  <w:r>
                    <w:rPr>
                      <w:kern w:val="0"/>
                      <w:sz w:val="18"/>
                      <w:szCs w:val="18"/>
                    </w:rPr>
                    <w:t>危废仓库周围</w:t>
                  </w:r>
                  <w:r>
                    <w:rPr>
                      <w:rFonts w:hint="eastAsia"/>
                      <w:kern w:val="0"/>
                      <w:sz w:val="18"/>
                      <w:szCs w:val="18"/>
                    </w:rPr>
                    <w:t>拟</w:t>
                  </w:r>
                  <w:r>
                    <w:rPr>
                      <w:kern w:val="0"/>
                      <w:sz w:val="18"/>
                      <w:szCs w:val="18"/>
                    </w:rPr>
                    <w:t>设置围堰</w:t>
                  </w:r>
                  <w:r>
                    <w:rPr>
                      <w:rFonts w:hint="eastAsia"/>
                      <w:kern w:val="0"/>
                      <w:sz w:val="18"/>
                      <w:szCs w:val="18"/>
                    </w:rPr>
                    <w:t>或</w:t>
                  </w:r>
                  <w:r>
                    <w:rPr>
                      <w:kern w:val="0"/>
                      <w:sz w:val="18"/>
                      <w:szCs w:val="18"/>
                    </w:rPr>
                    <w:t>地沟用于收集渗漏液</w:t>
                  </w:r>
                  <w:r>
                    <w:rPr>
                      <w:rFonts w:hint="eastAsia"/>
                      <w:kern w:val="0"/>
                      <w:sz w:val="18"/>
                      <w:szCs w:val="18"/>
                    </w:rPr>
                    <w:t>，容积满足收集要求。</w:t>
                  </w:r>
                </w:p>
              </w:tc>
            </w:tr>
            <w:tr w14:paraId="3B8060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40" w:type="dxa"/>
                  <w:vMerge w:val="continue"/>
                  <w:vAlign w:val="center"/>
                </w:tcPr>
                <w:p w14:paraId="6098DF3B">
                  <w:pPr>
                    <w:adjustRightInd w:val="0"/>
                    <w:snapToGrid w:val="0"/>
                    <w:jc w:val="center"/>
                    <w:rPr>
                      <w:kern w:val="0"/>
                      <w:sz w:val="18"/>
                      <w:szCs w:val="18"/>
                    </w:rPr>
                  </w:pPr>
                </w:p>
              </w:tc>
              <w:tc>
                <w:tcPr>
                  <w:tcW w:w="3907" w:type="dxa"/>
                  <w:vAlign w:val="center"/>
                </w:tcPr>
                <w:p w14:paraId="63B8BBFD">
                  <w:pPr>
                    <w:adjustRightInd w:val="0"/>
                    <w:snapToGrid w:val="0"/>
                    <w:jc w:val="center"/>
                    <w:rPr>
                      <w:sz w:val="18"/>
                      <w:szCs w:val="18"/>
                    </w:rPr>
                  </w:pPr>
                  <w:r>
                    <w:rPr>
                      <w:rFonts w:hint="eastAsia"/>
                      <w:sz w:val="18"/>
                      <w:szCs w:val="18"/>
                    </w:rPr>
                    <w:t>9、贮存易产生粉尘、VOCs、酸雾、有毒有害大气污染物和刺激性气味气体的危险废物贮存库，应设置气体收集装置和气体净化设施；气体净化设施的排气筒高度应符合GB 16297要求。</w:t>
                  </w:r>
                </w:p>
              </w:tc>
              <w:tc>
                <w:tcPr>
                  <w:tcW w:w="3829" w:type="dxa"/>
                  <w:vAlign w:val="center"/>
                </w:tcPr>
                <w:p w14:paraId="4110C5C8">
                  <w:pPr>
                    <w:adjustRightInd w:val="0"/>
                    <w:snapToGrid w:val="0"/>
                    <w:jc w:val="center"/>
                    <w:rPr>
                      <w:kern w:val="0"/>
                      <w:sz w:val="18"/>
                      <w:szCs w:val="18"/>
                    </w:rPr>
                  </w:pPr>
                  <w:r>
                    <w:rPr>
                      <w:rFonts w:hint="eastAsia"/>
                      <w:kern w:val="0"/>
                      <w:sz w:val="18"/>
                      <w:szCs w:val="18"/>
                    </w:rPr>
                    <w:t>本项目贮存危废有废试剂包装、</w:t>
                  </w:r>
                  <w:r>
                    <w:rPr>
                      <w:rFonts w:hint="eastAsia"/>
                      <w:kern w:val="0"/>
                      <w:sz w:val="18"/>
                      <w:szCs w:val="18"/>
                      <w:lang w:eastAsia="zh-CN"/>
                    </w:rPr>
                    <w:t>实验废液、</w:t>
                  </w:r>
                  <w:r>
                    <w:rPr>
                      <w:rFonts w:hint="eastAsia"/>
                      <w:kern w:val="0"/>
                      <w:sz w:val="18"/>
                      <w:szCs w:val="18"/>
                      <w:lang w:val="en-US" w:eastAsia="zh-CN"/>
                    </w:rPr>
                    <w:t>初道</w:t>
                  </w:r>
                  <w:r>
                    <w:rPr>
                      <w:rFonts w:hint="eastAsia"/>
                      <w:kern w:val="0"/>
                      <w:sz w:val="18"/>
                      <w:szCs w:val="18"/>
                      <w:lang w:eastAsia="zh-CN"/>
                    </w:rPr>
                    <w:t>清洗废水、喷淋废液</w:t>
                  </w:r>
                  <w:r>
                    <w:rPr>
                      <w:rFonts w:hint="eastAsia"/>
                      <w:kern w:val="0"/>
                      <w:sz w:val="18"/>
                      <w:szCs w:val="18"/>
                    </w:rPr>
                    <w:t>、废活性炭</w:t>
                  </w:r>
                  <w:r>
                    <w:rPr>
                      <w:rFonts w:hint="eastAsia"/>
                      <w:kern w:val="0"/>
                      <w:sz w:val="18"/>
                      <w:szCs w:val="18"/>
                      <w:lang w:eastAsia="zh-CN"/>
                    </w:rPr>
                    <w:t>、</w:t>
                  </w:r>
                  <w:r>
                    <w:rPr>
                      <w:rFonts w:hint="eastAsia"/>
                      <w:kern w:val="0"/>
                      <w:sz w:val="18"/>
                      <w:szCs w:val="18"/>
                    </w:rPr>
                    <w:t>废实验耗材</w:t>
                  </w:r>
                  <w:r>
                    <w:rPr>
                      <w:rFonts w:hint="eastAsia"/>
                      <w:kern w:val="0"/>
                      <w:sz w:val="18"/>
                      <w:szCs w:val="18"/>
                      <w:lang w:eastAsia="zh-CN"/>
                    </w:rPr>
                    <w:t>、</w:t>
                  </w:r>
                  <w:r>
                    <w:rPr>
                      <w:rFonts w:hint="eastAsia"/>
                      <w:kern w:val="0"/>
                      <w:sz w:val="18"/>
                      <w:szCs w:val="18"/>
                      <w:lang w:val="en-US" w:eastAsia="zh-CN"/>
                    </w:rPr>
                    <w:t>废水处理污泥、废过滤介质</w:t>
                  </w:r>
                  <w:r>
                    <w:rPr>
                      <w:rFonts w:hint="eastAsia"/>
                      <w:kern w:val="0"/>
                      <w:sz w:val="18"/>
                      <w:szCs w:val="18"/>
                    </w:rPr>
                    <w:t>。废试剂包装、废活性炭、废实验耗材</w:t>
                  </w:r>
                  <w:r>
                    <w:rPr>
                      <w:rFonts w:hint="eastAsia"/>
                      <w:kern w:val="0"/>
                      <w:sz w:val="18"/>
                      <w:szCs w:val="18"/>
                      <w:lang w:eastAsia="zh-CN"/>
                    </w:rPr>
                    <w:t>、</w:t>
                  </w:r>
                  <w:r>
                    <w:rPr>
                      <w:rFonts w:hint="eastAsia"/>
                      <w:kern w:val="0"/>
                      <w:sz w:val="18"/>
                      <w:szCs w:val="18"/>
                      <w:lang w:val="en-US" w:eastAsia="zh-CN"/>
                    </w:rPr>
                    <w:t>废水处理污泥、废过滤介质</w:t>
                  </w:r>
                  <w:r>
                    <w:rPr>
                      <w:rFonts w:hint="eastAsia"/>
                      <w:kern w:val="0"/>
                      <w:sz w:val="18"/>
                      <w:szCs w:val="18"/>
                    </w:rPr>
                    <w:t>采用密封袋装贮存，</w:t>
                  </w:r>
                  <w:r>
                    <w:rPr>
                      <w:rFonts w:hint="eastAsia"/>
                      <w:kern w:val="0"/>
                      <w:sz w:val="18"/>
                      <w:szCs w:val="18"/>
                      <w:lang w:eastAsia="zh-CN"/>
                    </w:rPr>
                    <w:t>实验废液、</w:t>
                  </w:r>
                  <w:r>
                    <w:rPr>
                      <w:rFonts w:hint="eastAsia"/>
                      <w:kern w:val="0"/>
                      <w:sz w:val="18"/>
                      <w:szCs w:val="18"/>
                      <w:lang w:val="en-US" w:eastAsia="zh-CN"/>
                    </w:rPr>
                    <w:t>初道</w:t>
                  </w:r>
                  <w:r>
                    <w:rPr>
                      <w:rFonts w:hint="eastAsia"/>
                      <w:kern w:val="0"/>
                      <w:sz w:val="18"/>
                      <w:szCs w:val="18"/>
                      <w:lang w:eastAsia="zh-CN"/>
                    </w:rPr>
                    <w:t>清洗废水、喷淋废液</w:t>
                  </w:r>
                  <w:r>
                    <w:rPr>
                      <w:rFonts w:hint="eastAsia"/>
                      <w:kern w:val="0"/>
                      <w:sz w:val="18"/>
                      <w:szCs w:val="18"/>
                    </w:rPr>
                    <w:t>加盖密封贮存，不易产生粉尘、VOCs、酸雾、有毒有害大气污染物和刺激性气味。</w:t>
                  </w:r>
                </w:p>
              </w:tc>
            </w:tr>
            <w:tr w14:paraId="710CD2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40" w:type="dxa"/>
                  <w:vMerge w:val="restart"/>
                  <w:vAlign w:val="center"/>
                </w:tcPr>
                <w:p w14:paraId="4705B5DA">
                  <w:pPr>
                    <w:adjustRightInd w:val="0"/>
                    <w:snapToGrid w:val="0"/>
                    <w:jc w:val="center"/>
                    <w:rPr>
                      <w:kern w:val="0"/>
                      <w:sz w:val="18"/>
                      <w:szCs w:val="18"/>
                    </w:rPr>
                  </w:pPr>
                  <w:r>
                    <w:rPr>
                      <w:kern w:val="0"/>
                      <w:sz w:val="18"/>
                      <w:szCs w:val="18"/>
                    </w:rPr>
                    <w:t>危废贮存过程</w:t>
                  </w:r>
                </w:p>
              </w:tc>
              <w:tc>
                <w:tcPr>
                  <w:tcW w:w="3907" w:type="dxa"/>
                  <w:vAlign w:val="center"/>
                </w:tcPr>
                <w:p w14:paraId="411E4CDA">
                  <w:pPr>
                    <w:adjustRightInd w:val="0"/>
                    <w:snapToGrid w:val="0"/>
                    <w:jc w:val="center"/>
                    <w:rPr>
                      <w:sz w:val="18"/>
                      <w:szCs w:val="18"/>
                    </w:rPr>
                  </w:pPr>
                  <w:r>
                    <w:rPr>
                      <w:sz w:val="18"/>
                      <w:szCs w:val="18"/>
                    </w:rPr>
                    <w:t>1、</w:t>
                  </w:r>
                  <w:r>
                    <w:rPr>
                      <w:rFonts w:hint="eastAsia"/>
                      <w:sz w:val="18"/>
                      <w:szCs w:val="18"/>
                    </w:rPr>
                    <w:t>在常温常压下不易水解、不易挥发的固态危险废物可分类堆放贮存，其他固态危险废物应装入容器或包装物内贮存。</w:t>
                  </w:r>
                </w:p>
              </w:tc>
              <w:tc>
                <w:tcPr>
                  <w:tcW w:w="3829" w:type="dxa"/>
                  <w:vAlign w:val="center"/>
                </w:tcPr>
                <w:p w14:paraId="42772D2C">
                  <w:pPr>
                    <w:pStyle w:val="91"/>
                    <w:widowControl/>
                    <w:spacing w:line="240" w:lineRule="auto"/>
                    <w:ind w:firstLine="0" w:firstLineChars="0"/>
                    <w:jc w:val="center"/>
                    <w:rPr>
                      <w:rFonts w:cs="Times New Roman"/>
                      <w:color w:val="auto"/>
                      <w:sz w:val="18"/>
                      <w:szCs w:val="18"/>
                    </w:rPr>
                  </w:pPr>
                  <w:r>
                    <w:rPr>
                      <w:rFonts w:hint="eastAsia" w:cs="Times New Roman"/>
                      <w:color w:val="auto"/>
                      <w:kern w:val="0"/>
                      <w:sz w:val="18"/>
                      <w:szCs w:val="18"/>
                    </w:rPr>
                    <w:t>本</w:t>
                  </w:r>
                  <w:r>
                    <w:rPr>
                      <w:rFonts w:cs="Times New Roman"/>
                      <w:color w:val="auto"/>
                      <w:kern w:val="0"/>
                      <w:sz w:val="18"/>
                      <w:szCs w:val="18"/>
                    </w:rPr>
                    <w:t>项目危废拟分类存放、贮存，不相容的危险废物除分类存放</w:t>
                  </w:r>
                  <w:r>
                    <w:rPr>
                      <w:rFonts w:hint="eastAsia" w:cs="Times New Roman"/>
                      <w:color w:val="auto"/>
                      <w:kern w:val="0"/>
                      <w:sz w:val="18"/>
                      <w:szCs w:val="18"/>
                    </w:rPr>
                    <w:t>。</w:t>
                  </w:r>
                  <w:r>
                    <w:rPr>
                      <w:rFonts w:hint="eastAsia" w:cs="Times New Roman"/>
                      <w:color w:val="auto"/>
                      <w:kern w:val="0"/>
                      <w:sz w:val="18"/>
                      <w:szCs w:val="18"/>
                      <w:lang w:eastAsia="zh-CN"/>
                    </w:rPr>
                    <w:t>实验废液、</w:t>
                  </w:r>
                  <w:r>
                    <w:rPr>
                      <w:rFonts w:hint="eastAsia" w:cs="Times New Roman"/>
                      <w:color w:val="auto"/>
                      <w:kern w:val="0"/>
                      <w:sz w:val="18"/>
                      <w:szCs w:val="18"/>
                      <w:lang w:val="en-US" w:eastAsia="zh-CN"/>
                    </w:rPr>
                    <w:t>初道</w:t>
                  </w:r>
                  <w:r>
                    <w:rPr>
                      <w:rFonts w:hint="eastAsia" w:cs="Times New Roman"/>
                      <w:color w:val="auto"/>
                      <w:kern w:val="0"/>
                      <w:sz w:val="18"/>
                      <w:szCs w:val="18"/>
                      <w:lang w:eastAsia="zh-CN"/>
                    </w:rPr>
                    <w:t>清洗废水、喷淋废液</w:t>
                  </w:r>
                  <w:r>
                    <w:rPr>
                      <w:rFonts w:hint="eastAsia" w:cs="Times New Roman"/>
                      <w:color w:val="auto"/>
                      <w:kern w:val="0"/>
                      <w:sz w:val="18"/>
                      <w:szCs w:val="18"/>
                    </w:rPr>
                    <w:t>加盖密封贮存，其他固态危险废物均采用密封袋包装贮存。</w:t>
                  </w:r>
                </w:p>
              </w:tc>
            </w:tr>
            <w:tr w14:paraId="5E02E7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40" w:type="dxa"/>
                  <w:vMerge w:val="continue"/>
                  <w:vAlign w:val="center"/>
                </w:tcPr>
                <w:p w14:paraId="1407243B">
                  <w:pPr>
                    <w:adjustRightInd w:val="0"/>
                    <w:snapToGrid w:val="0"/>
                    <w:jc w:val="center"/>
                    <w:rPr>
                      <w:sz w:val="18"/>
                      <w:szCs w:val="18"/>
                    </w:rPr>
                  </w:pPr>
                </w:p>
              </w:tc>
              <w:tc>
                <w:tcPr>
                  <w:tcW w:w="3907" w:type="dxa"/>
                  <w:vAlign w:val="center"/>
                </w:tcPr>
                <w:p w14:paraId="7105A9B2">
                  <w:pPr>
                    <w:adjustRightInd w:val="0"/>
                    <w:snapToGrid w:val="0"/>
                    <w:jc w:val="center"/>
                    <w:rPr>
                      <w:sz w:val="18"/>
                      <w:szCs w:val="18"/>
                    </w:rPr>
                  </w:pPr>
                  <w:r>
                    <w:rPr>
                      <w:sz w:val="18"/>
                      <w:szCs w:val="18"/>
                    </w:rPr>
                    <w:t>2、</w:t>
                  </w:r>
                  <w:r>
                    <w:rPr>
                      <w:rFonts w:hint="eastAsia"/>
                      <w:sz w:val="18"/>
                      <w:szCs w:val="18"/>
                    </w:rPr>
                    <w:t>液态危险废物应装入容器内贮存，或直接采用贮存池、贮存罐区贮存。</w:t>
                  </w:r>
                </w:p>
              </w:tc>
              <w:tc>
                <w:tcPr>
                  <w:tcW w:w="3829" w:type="dxa"/>
                  <w:vAlign w:val="center"/>
                </w:tcPr>
                <w:p w14:paraId="014C0FB3">
                  <w:pPr>
                    <w:adjustRightInd w:val="0"/>
                    <w:snapToGrid w:val="0"/>
                    <w:jc w:val="center"/>
                    <w:rPr>
                      <w:sz w:val="18"/>
                      <w:szCs w:val="18"/>
                    </w:rPr>
                  </w:pPr>
                  <w:r>
                    <w:rPr>
                      <w:rFonts w:hint="eastAsia"/>
                      <w:sz w:val="18"/>
                      <w:szCs w:val="18"/>
                    </w:rPr>
                    <w:t>本</w:t>
                  </w:r>
                  <w:r>
                    <w:rPr>
                      <w:sz w:val="18"/>
                      <w:szCs w:val="18"/>
                    </w:rPr>
                    <w:t>项目</w:t>
                  </w:r>
                  <w:r>
                    <w:rPr>
                      <w:rFonts w:hint="eastAsia"/>
                      <w:sz w:val="18"/>
                      <w:szCs w:val="18"/>
                    </w:rPr>
                    <w:t>液态危险废物包括</w:t>
                  </w:r>
                  <w:r>
                    <w:rPr>
                      <w:rFonts w:hint="eastAsia"/>
                      <w:kern w:val="0"/>
                      <w:sz w:val="18"/>
                      <w:szCs w:val="18"/>
                      <w:lang w:eastAsia="zh-CN"/>
                    </w:rPr>
                    <w:t>实验废液、</w:t>
                  </w:r>
                  <w:r>
                    <w:rPr>
                      <w:rFonts w:hint="eastAsia"/>
                      <w:kern w:val="0"/>
                      <w:sz w:val="18"/>
                      <w:szCs w:val="18"/>
                      <w:lang w:val="en-US" w:eastAsia="zh-CN"/>
                    </w:rPr>
                    <w:t>初道</w:t>
                  </w:r>
                  <w:r>
                    <w:rPr>
                      <w:rFonts w:hint="eastAsia"/>
                      <w:kern w:val="0"/>
                      <w:sz w:val="18"/>
                      <w:szCs w:val="18"/>
                      <w:lang w:eastAsia="zh-CN"/>
                    </w:rPr>
                    <w:t>清洗废水、喷淋废液</w:t>
                  </w:r>
                  <w:r>
                    <w:rPr>
                      <w:rFonts w:hint="eastAsia"/>
                      <w:sz w:val="18"/>
                      <w:szCs w:val="18"/>
                    </w:rPr>
                    <w:t>，采用密封桶包装贮存</w:t>
                  </w:r>
                  <w:r>
                    <w:rPr>
                      <w:sz w:val="18"/>
                      <w:szCs w:val="18"/>
                    </w:rPr>
                    <w:t>。</w:t>
                  </w:r>
                </w:p>
              </w:tc>
            </w:tr>
            <w:tr w14:paraId="328CEB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40" w:type="dxa"/>
                  <w:vMerge w:val="continue"/>
                  <w:vAlign w:val="center"/>
                </w:tcPr>
                <w:p w14:paraId="306D3B18">
                  <w:pPr>
                    <w:adjustRightInd w:val="0"/>
                    <w:snapToGrid w:val="0"/>
                    <w:jc w:val="center"/>
                    <w:rPr>
                      <w:sz w:val="18"/>
                      <w:szCs w:val="18"/>
                    </w:rPr>
                  </w:pPr>
                </w:p>
              </w:tc>
              <w:tc>
                <w:tcPr>
                  <w:tcW w:w="3907" w:type="dxa"/>
                  <w:vAlign w:val="center"/>
                </w:tcPr>
                <w:p w14:paraId="6980CE4D">
                  <w:pPr>
                    <w:adjustRightInd w:val="0"/>
                    <w:snapToGrid w:val="0"/>
                    <w:jc w:val="center"/>
                    <w:rPr>
                      <w:sz w:val="18"/>
                      <w:szCs w:val="18"/>
                    </w:rPr>
                  </w:pPr>
                  <w:r>
                    <w:rPr>
                      <w:sz w:val="18"/>
                      <w:szCs w:val="18"/>
                    </w:rPr>
                    <w:t>3、</w:t>
                  </w:r>
                  <w:r>
                    <w:rPr>
                      <w:rFonts w:hint="eastAsia"/>
                      <w:sz w:val="18"/>
                      <w:szCs w:val="18"/>
                    </w:rPr>
                    <w:t>半固态危险废物应装入容器或包装袋内贮存，或直接采用贮存池贮存</w:t>
                  </w:r>
                  <w:r>
                    <w:rPr>
                      <w:sz w:val="18"/>
                      <w:szCs w:val="18"/>
                    </w:rPr>
                    <w:t>。</w:t>
                  </w:r>
                </w:p>
              </w:tc>
              <w:tc>
                <w:tcPr>
                  <w:tcW w:w="3829" w:type="dxa"/>
                  <w:vAlign w:val="center"/>
                </w:tcPr>
                <w:p w14:paraId="0D773DDC">
                  <w:pPr>
                    <w:jc w:val="center"/>
                    <w:rPr>
                      <w:sz w:val="18"/>
                      <w:szCs w:val="18"/>
                    </w:rPr>
                  </w:pPr>
                  <w:r>
                    <w:rPr>
                      <w:rFonts w:hint="eastAsia"/>
                      <w:sz w:val="18"/>
                      <w:szCs w:val="18"/>
                    </w:rPr>
                    <w:t>本项目不产生半固态危险废物。</w:t>
                  </w:r>
                </w:p>
              </w:tc>
            </w:tr>
            <w:tr w14:paraId="442357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40" w:type="dxa"/>
                  <w:vMerge w:val="continue"/>
                  <w:vAlign w:val="center"/>
                </w:tcPr>
                <w:p w14:paraId="6329D748">
                  <w:pPr>
                    <w:adjustRightInd w:val="0"/>
                    <w:snapToGrid w:val="0"/>
                    <w:jc w:val="center"/>
                    <w:rPr>
                      <w:sz w:val="18"/>
                      <w:szCs w:val="18"/>
                    </w:rPr>
                  </w:pPr>
                </w:p>
              </w:tc>
              <w:tc>
                <w:tcPr>
                  <w:tcW w:w="3907" w:type="dxa"/>
                  <w:vAlign w:val="center"/>
                </w:tcPr>
                <w:p w14:paraId="5734C79C">
                  <w:pPr>
                    <w:adjustRightInd w:val="0"/>
                    <w:snapToGrid w:val="0"/>
                    <w:jc w:val="center"/>
                    <w:rPr>
                      <w:sz w:val="18"/>
                      <w:szCs w:val="18"/>
                    </w:rPr>
                  </w:pPr>
                  <w:r>
                    <w:rPr>
                      <w:rFonts w:hint="eastAsia"/>
                      <w:sz w:val="18"/>
                      <w:szCs w:val="18"/>
                    </w:rPr>
                    <w:t>4、具有热塑性的危险废物应装入容器或包装袋内进行贮存。</w:t>
                  </w:r>
                </w:p>
              </w:tc>
              <w:tc>
                <w:tcPr>
                  <w:tcW w:w="3829" w:type="dxa"/>
                  <w:vAlign w:val="center"/>
                </w:tcPr>
                <w:p w14:paraId="1EDA9F70">
                  <w:pPr>
                    <w:jc w:val="center"/>
                    <w:rPr>
                      <w:sz w:val="18"/>
                      <w:szCs w:val="18"/>
                    </w:rPr>
                  </w:pPr>
                  <w:r>
                    <w:rPr>
                      <w:rFonts w:hint="eastAsia"/>
                      <w:sz w:val="18"/>
                      <w:szCs w:val="18"/>
                    </w:rPr>
                    <w:t>本项目不产生热塑性的危险废物。</w:t>
                  </w:r>
                </w:p>
              </w:tc>
            </w:tr>
            <w:tr w14:paraId="43F630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40" w:type="dxa"/>
                  <w:vMerge w:val="continue"/>
                  <w:vAlign w:val="center"/>
                </w:tcPr>
                <w:p w14:paraId="1AE135E7">
                  <w:pPr>
                    <w:adjustRightInd w:val="0"/>
                    <w:snapToGrid w:val="0"/>
                    <w:jc w:val="center"/>
                    <w:rPr>
                      <w:sz w:val="18"/>
                      <w:szCs w:val="18"/>
                    </w:rPr>
                  </w:pPr>
                </w:p>
              </w:tc>
              <w:tc>
                <w:tcPr>
                  <w:tcW w:w="3907" w:type="dxa"/>
                  <w:vAlign w:val="center"/>
                </w:tcPr>
                <w:p w14:paraId="4CDD9551">
                  <w:pPr>
                    <w:adjustRightInd w:val="0"/>
                    <w:snapToGrid w:val="0"/>
                    <w:jc w:val="center"/>
                    <w:rPr>
                      <w:sz w:val="18"/>
                      <w:szCs w:val="18"/>
                    </w:rPr>
                  </w:pPr>
                  <w:r>
                    <w:rPr>
                      <w:rFonts w:hint="eastAsia"/>
                      <w:sz w:val="18"/>
                      <w:szCs w:val="18"/>
                    </w:rPr>
                    <w:t>5、易产生粉尘、VOCs、酸雾、有毒有害大气污染物和刺激性气味气体的危险废物应装入闭口容器或包装物内贮存。</w:t>
                  </w:r>
                </w:p>
              </w:tc>
              <w:tc>
                <w:tcPr>
                  <w:tcW w:w="3829" w:type="dxa"/>
                  <w:vAlign w:val="center"/>
                </w:tcPr>
                <w:p w14:paraId="6BB61951">
                  <w:pPr>
                    <w:jc w:val="center"/>
                    <w:rPr>
                      <w:sz w:val="18"/>
                      <w:szCs w:val="18"/>
                    </w:rPr>
                  </w:pPr>
                  <w:r>
                    <w:rPr>
                      <w:rFonts w:hint="eastAsia"/>
                      <w:kern w:val="0"/>
                      <w:sz w:val="18"/>
                      <w:szCs w:val="18"/>
                    </w:rPr>
                    <w:t>本项目废试剂包装、废活性炭、废实验耗材</w:t>
                  </w:r>
                  <w:r>
                    <w:rPr>
                      <w:rFonts w:hint="eastAsia"/>
                      <w:kern w:val="0"/>
                      <w:sz w:val="18"/>
                      <w:szCs w:val="18"/>
                      <w:lang w:eastAsia="zh-CN"/>
                    </w:rPr>
                    <w:t>、</w:t>
                  </w:r>
                  <w:r>
                    <w:rPr>
                      <w:rFonts w:hint="eastAsia"/>
                      <w:kern w:val="0"/>
                      <w:sz w:val="18"/>
                      <w:szCs w:val="18"/>
                      <w:lang w:val="en-US" w:eastAsia="zh-CN"/>
                    </w:rPr>
                    <w:t>废水处理污泥、废过滤介质</w:t>
                  </w:r>
                  <w:r>
                    <w:rPr>
                      <w:rFonts w:hint="eastAsia"/>
                      <w:kern w:val="0"/>
                      <w:sz w:val="18"/>
                      <w:szCs w:val="18"/>
                    </w:rPr>
                    <w:t>采用密封袋装贮存，</w:t>
                  </w:r>
                  <w:r>
                    <w:rPr>
                      <w:rFonts w:hint="eastAsia"/>
                      <w:kern w:val="0"/>
                      <w:sz w:val="18"/>
                      <w:szCs w:val="18"/>
                      <w:lang w:eastAsia="zh-CN"/>
                    </w:rPr>
                    <w:t>实验废液、</w:t>
                  </w:r>
                  <w:r>
                    <w:rPr>
                      <w:rFonts w:hint="eastAsia"/>
                      <w:kern w:val="0"/>
                      <w:sz w:val="18"/>
                      <w:szCs w:val="18"/>
                      <w:lang w:val="en-US" w:eastAsia="zh-CN"/>
                    </w:rPr>
                    <w:t>初道</w:t>
                  </w:r>
                  <w:r>
                    <w:rPr>
                      <w:rFonts w:hint="eastAsia"/>
                      <w:kern w:val="0"/>
                      <w:sz w:val="18"/>
                      <w:szCs w:val="18"/>
                      <w:lang w:eastAsia="zh-CN"/>
                    </w:rPr>
                    <w:t>清洗废水、喷淋废液</w:t>
                  </w:r>
                  <w:r>
                    <w:rPr>
                      <w:rFonts w:hint="eastAsia"/>
                      <w:kern w:val="0"/>
                      <w:sz w:val="18"/>
                      <w:szCs w:val="18"/>
                    </w:rPr>
                    <w:t>加盖密封贮存，不易产生粉尘、VOCs、酸雾、有毒有害大气污染物和刺激性气味。</w:t>
                  </w:r>
                </w:p>
              </w:tc>
            </w:tr>
            <w:tr w14:paraId="7F0AAA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40" w:type="dxa"/>
                  <w:vMerge w:val="continue"/>
                  <w:vAlign w:val="center"/>
                </w:tcPr>
                <w:p w14:paraId="56BF377B">
                  <w:pPr>
                    <w:adjustRightInd w:val="0"/>
                    <w:snapToGrid w:val="0"/>
                    <w:jc w:val="center"/>
                    <w:rPr>
                      <w:sz w:val="18"/>
                      <w:szCs w:val="18"/>
                    </w:rPr>
                  </w:pPr>
                </w:p>
              </w:tc>
              <w:tc>
                <w:tcPr>
                  <w:tcW w:w="3907" w:type="dxa"/>
                  <w:vAlign w:val="center"/>
                </w:tcPr>
                <w:p w14:paraId="00C0458D">
                  <w:pPr>
                    <w:adjustRightInd w:val="0"/>
                    <w:snapToGrid w:val="0"/>
                    <w:jc w:val="center"/>
                    <w:rPr>
                      <w:sz w:val="18"/>
                      <w:szCs w:val="18"/>
                    </w:rPr>
                  </w:pPr>
                  <w:r>
                    <w:rPr>
                      <w:rFonts w:hint="eastAsia"/>
                      <w:sz w:val="18"/>
                      <w:szCs w:val="18"/>
                    </w:rPr>
                    <w:t>6、危险废物贮存过程中易产生粉尘等无组织排放的，应采取抑尘等有效措施。</w:t>
                  </w:r>
                </w:p>
              </w:tc>
              <w:tc>
                <w:tcPr>
                  <w:tcW w:w="3829" w:type="dxa"/>
                  <w:vAlign w:val="center"/>
                </w:tcPr>
                <w:p w14:paraId="6B38D9DB">
                  <w:pPr>
                    <w:jc w:val="center"/>
                    <w:rPr>
                      <w:sz w:val="18"/>
                      <w:szCs w:val="18"/>
                    </w:rPr>
                  </w:pPr>
                  <w:r>
                    <w:rPr>
                      <w:rFonts w:hint="eastAsia"/>
                      <w:kern w:val="0"/>
                      <w:sz w:val="18"/>
                      <w:szCs w:val="18"/>
                    </w:rPr>
                    <w:t>本项目危险废物贮存过程中不易产生粉尘。</w:t>
                  </w:r>
                </w:p>
              </w:tc>
            </w:tr>
            <w:tr w14:paraId="37736D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40" w:type="dxa"/>
                  <w:vMerge w:val="restart"/>
                  <w:vAlign w:val="center"/>
                </w:tcPr>
                <w:p w14:paraId="572DBE3B">
                  <w:pPr>
                    <w:adjustRightInd w:val="0"/>
                    <w:snapToGrid w:val="0"/>
                    <w:jc w:val="center"/>
                    <w:rPr>
                      <w:sz w:val="18"/>
                      <w:szCs w:val="18"/>
                    </w:rPr>
                  </w:pPr>
                  <w:r>
                    <w:rPr>
                      <w:rFonts w:hint="eastAsia"/>
                      <w:kern w:val="0"/>
                      <w:sz w:val="18"/>
                      <w:szCs w:val="18"/>
                    </w:rPr>
                    <w:t>贮存设施运行环境</w:t>
                  </w:r>
                  <w:r>
                    <w:rPr>
                      <w:kern w:val="0"/>
                      <w:sz w:val="18"/>
                      <w:szCs w:val="18"/>
                    </w:rPr>
                    <w:t>管理要求</w:t>
                  </w:r>
                </w:p>
              </w:tc>
              <w:tc>
                <w:tcPr>
                  <w:tcW w:w="3907" w:type="dxa"/>
                  <w:vAlign w:val="center"/>
                </w:tcPr>
                <w:p w14:paraId="10E7BC39">
                  <w:pPr>
                    <w:adjustRightInd w:val="0"/>
                    <w:snapToGrid w:val="0"/>
                    <w:jc w:val="center"/>
                    <w:rPr>
                      <w:sz w:val="18"/>
                      <w:szCs w:val="18"/>
                    </w:rPr>
                  </w:pPr>
                  <w:r>
                    <w:rPr>
                      <w:rFonts w:hint="eastAsia"/>
                      <w:sz w:val="18"/>
                      <w:szCs w:val="18"/>
                    </w:rPr>
                    <w:t>1、危险废物存入贮存设施前应对危险废物类别和特性与危险废物标签等危险废物识别标志的一致性进行核验，不一致的或类别、特性不明的不应存入</w:t>
                  </w:r>
                  <w:r>
                    <w:rPr>
                      <w:sz w:val="18"/>
                      <w:szCs w:val="18"/>
                    </w:rPr>
                    <w:t>。</w:t>
                  </w:r>
                </w:p>
              </w:tc>
              <w:tc>
                <w:tcPr>
                  <w:tcW w:w="3829" w:type="dxa"/>
                  <w:vAlign w:val="center"/>
                </w:tcPr>
                <w:p w14:paraId="252C8191">
                  <w:pPr>
                    <w:adjustRightInd w:val="0"/>
                    <w:snapToGrid w:val="0"/>
                    <w:jc w:val="center"/>
                    <w:rPr>
                      <w:sz w:val="18"/>
                      <w:szCs w:val="18"/>
                    </w:rPr>
                  </w:pPr>
                  <w:r>
                    <w:rPr>
                      <w:rFonts w:hint="eastAsia"/>
                      <w:sz w:val="18"/>
                      <w:szCs w:val="18"/>
                    </w:rPr>
                    <w:t>本项目危废仓库拟设置专人管理，危险废物存入危废仓库前对危险废物类别和特性与危险废物标签等危险废物识别标志的一致性进行核验，不一致的不应存入</w:t>
                  </w:r>
                  <w:r>
                    <w:rPr>
                      <w:sz w:val="18"/>
                      <w:szCs w:val="18"/>
                    </w:rPr>
                    <w:t>。</w:t>
                  </w:r>
                </w:p>
              </w:tc>
            </w:tr>
            <w:tr w14:paraId="521458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40" w:type="dxa"/>
                  <w:vMerge w:val="continue"/>
                  <w:vAlign w:val="center"/>
                </w:tcPr>
                <w:p w14:paraId="62412D59">
                  <w:pPr>
                    <w:adjustRightInd w:val="0"/>
                    <w:snapToGrid w:val="0"/>
                    <w:jc w:val="center"/>
                    <w:rPr>
                      <w:kern w:val="0"/>
                      <w:sz w:val="18"/>
                      <w:szCs w:val="18"/>
                    </w:rPr>
                  </w:pPr>
                </w:p>
              </w:tc>
              <w:tc>
                <w:tcPr>
                  <w:tcW w:w="3907" w:type="dxa"/>
                  <w:vAlign w:val="center"/>
                </w:tcPr>
                <w:p w14:paraId="79759F32">
                  <w:pPr>
                    <w:adjustRightInd w:val="0"/>
                    <w:snapToGrid w:val="0"/>
                    <w:jc w:val="center"/>
                    <w:rPr>
                      <w:sz w:val="18"/>
                      <w:szCs w:val="18"/>
                    </w:rPr>
                  </w:pPr>
                  <w:r>
                    <w:rPr>
                      <w:rFonts w:hint="eastAsia"/>
                      <w:sz w:val="18"/>
                      <w:szCs w:val="18"/>
                    </w:rPr>
                    <w:t>2、应定期检查危险废物的贮存状况，及时清理贮存设施地面，更换破损泄漏的危险废物贮存容器和包装物，保证堆存危险废物的防雨、防风、防扬尘等设施功能完好。</w:t>
                  </w:r>
                </w:p>
              </w:tc>
              <w:tc>
                <w:tcPr>
                  <w:tcW w:w="3829" w:type="dxa"/>
                  <w:vAlign w:val="center"/>
                </w:tcPr>
                <w:p w14:paraId="306948A3">
                  <w:pPr>
                    <w:adjustRightInd w:val="0"/>
                    <w:snapToGrid w:val="0"/>
                    <w:jc w:val="center"/>
                    <w:rPr>
                      <w:sz w:val="18"/>
                      <w:szCs w:val="18"/>
                    </w:rPr>
                  </w:pPr>
                  <w:r>
                    <w:rPr>
                      <w:rFonts w:hint="eastAsia"/>
                      <w:sz w:val="18"/>
                      <w:szCs w:val="18"/>
                    </w:rPr>
                    <w:t>本项目危废仓库拟设置专人管理，定期检查危险废物的贮存状况，及时清理贮存设施地面，更换破损泄漏的危险废物贮存容器和包装物。</w:t>
                  </w:r>
                </w:p>
              </w:tc>
            </w:tr>
            <w:tr w14:paraId="3574BA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40" w:type="dxa"/>
                  <w:vMerge w:val="continue"/>
                  <w:vAlign w:val="center"/>
                </w:tcPr>
                <w:p w14:paraId="718B6512">
                  <w:pPr>
                    <w:adjustRightInd w:val="0"/>
                    <w:snapToGrid w:val="0"/>
                    <w:jc w:val="center"/>
                    <w:rPr>
                      <w:kern w:val="0"/>
                      <w:sz w:val="18"/>
                      <w:szCs w:val="18"/>
                    </w:rPr>
                  </w:pPr>
                </w:p>
              </w:tc>
              <w:tc>
                <w:tcPr>
                  <w:tcW w:w="3907" w:type="dxa"/>
                  <w:vAlign w:val="center"/>
                </w:tcPr>
                <w:p w14:paraId="0BB1561C">
                  <w:pPr>
                    <w:adjustRightInd w:val="0"/>
                    <w:snapToGrid w:val="0"/>
                    <w:jc w:val="center"/>
                    <w:rPr>
                      <w:sz w:val="18"/>
                      <w:szCs w:val="18"/>
                    </w:rPr>
                  </w:pPr>
                  <w:r>
                    <w:rPr>
                      <w:rFonts w:hint="eastAsia"/>
                      <w:sz w:val="18"/>
                      <w:szCs w:val="18"/>
                    </w:rPr>
                    <w:t>3、作业设备及车辆等结束作业离开贮存设施时，应对其残留的危险废物进行清理，清理的废物或清洗废水应收集处理。</w:t>
                  </w:r>
                </w:p>
              </w:tc>
              <w:tc>
                <w:tcPr>
                  <w:tcW w:w="3829" w:type="dxa"/>
                  <w:vAlign w:val="center"/>
                </w:tcPr>
                <w:p w14:paraId="2D41194F">
                  <w:pPr>
                    <w:adjustRightInd w:val="0"/>
                    <w:snapToGrid w:val="0"/>
                    <w:jc w:val="center"/>
                    <w:rPr>
                      <w:sz w:val="18"/>
                      <w:szCs w:val="18"/>
                    </w:rPr>
                  </w:pPr>
                  <w:r>
                    <w:rPr>
                      <w:rFonts w:hint="eastAsia"/>
                      <w:sz w:val="18"/>
                      <w:szCs w:val="18"/>
                    </w:rPr>
                    <w:t>本项目危废仓库拟设置专人管理，作业设备及车辆等结束作业离开贮存设施时对其残留的危险废物进行清理，清理的废物或清洗废水收集处理。</w:t>
                  </w:r>
                </w:p>
              </w:tc>
            </w:tr>
            <w:tr w14:paraId="728BCC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40" w:type="dxa"/>
                  <w:vMerge w:val="continue"/>
                  <w:vAlign w:val="center"/>
                </w:tcPr>
                <w:p w14:paraId="5A30034C">
                  <w:pPr>
                    <w:adjustRightInd w:val="0"/>
                    <w:snapToGrid w:val="0"/>
                    <w:jc w:val="center"/>
                    <w:rPr>
                      <w:kern w:val="0"/>
                      <w:sz w:val="18"/>
                      <w:szCs w:val="18"/>
                    </w:rPr>
                  </w:pPr>
                </w:p>
              </w:tc>
              <w:tc>
                <w:tcPr>
                  <w:tcW w:w="3907" w:type="dxa"/>
                  <w:vAlign w:val="center"/>
                </w:tcPr>
                <w:p w14:paraId="7EFB61DB">
                  <w:pPr>
                    <w:adjustRightInd w:val="0"/>
                    <w:snapToGrid w:val="0"/>
                    <w:jc w:val="center"/>
                    <w:rPr>
                      <w:sz w:val="18"/>
                      <w:szCs w:val="18"/>
                    </w:rPr>
                  </w:pPr>
                  <w:r>
                    <w:rPr>
                      <w:rFonts w:hint="eastAsia"/>
                      <w:sz w:val="18"/>
                      <w:szCs w:val="18"/>
                    </w:rPr>
                    <w:t>4、贮存设施运行期间，应按国家有关标准和规定建立危险废物管理台账并保存。</w:t>
                  </w:r>
                </w:p>
              </w:tc>
              <w:tc>
                <w:tcPr>
                  <w:tcW w:w="3829" w:type="dxa"/>
                  <w:vAlign w:val="center"/>
                </w:tcPr>
                <w:p w14:paraId="0CE61A4E">
                  <w:pPr>
                    <w:adjustRightInd w:val="0"/>
                    <w:snapToGrid w:val="0"/>
                    <w:jc w:val="center"/>
                    <w:rPr>
                      <w:sz w:val="18"/>
                      <w:szCs w:val="18"/>
                    </w:rPr>
                  </w:pPr>
                  <w:r>
                    <w:rPr>
                      <w:rFonts w:hint="eastAsia"/>
                      <w:sz w:val="18"/>
                      <w:szCs w:val="18"/>
                    </w:rPr>
                    <w:t>本项目危废仓库拟设置专人管理，按国家有关标准和规定建立危险废物管理台账并保存。</w:t>
                  </w:r>
                </w:p>
              </w:tc>
            </w:tr>
            <w:tr w14:paraId="60E0CA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40" w:type="dxa"/>
                  <w:vMerge w:val="continue"/>
                  <w:vAlign w:val="center"/>
                </w:tcPr>
                <w:p w14:paraId="7837AE02">
                  <w:pPr>
                    <w:adjustRightInd w:val="0"/>
                    <w:snapToGrid w:val="0"/>
                    <w:jc w:val="center"/>
                    <w:rPr>
                      <w:kern w:val="0"/>
                      <w:sz w:val="18"/>
                      <w:szCs w:val="18"/>
                    </w:rPr>
                  </w:pPr>
                </w:p>
              </w:tc>
              <w:tc>
                <w:tcPr>
                  <w:tcW w:w="3907" w:type="dxa"/>
                  <w:vAlign w:val="center"/>
                </w:tcPr>
                <w:p w14:paraId="0B1B8687">
                  <w:pPr>
                    <w:adjustRightInd w:val="0"/>
                    <w:snapToGrid w:val="0"/>
                    <w:jc w:val="center"/>
                    <w:rPr>
                      <w:sz w:val="18"/>
                      <w:szCs w:val="18"/>
                    </w:rPr>
                  </w:pPr>
                  <w:r>
                    <w:rPr>
                      <w:rFonts w:hint="eastAsia"/>
                      <w:sz w:val="18"/>
                      <w:szCs w:val="18"/>
                    </w:rPr>
                    <w:t>5、贮存设施所有者或运营者应建立贮存设施环境管理制度、管理人员岗位职责制度、设施运行操作制度、人员岗位培训制度等。</w:t>
                  </w:r>
                </w:p>
              </w:tc>
              <w:tc>
                <w:tcPr>
                  <w:tcW w:w="3829" w:type="dxa"/>
                  <w:vAlign w:val="center"/>
                </w:tcPr>
                <w:p w14:paraId="3A04B000">
                  <w:pPr>
                    <w:adjustRightInd w:val="0"/>
                    <w:snapToGrid w:val="0"/>
                    <w:jc w:val="center"/>
                    <w:rPr>
                      <w:sz w:val="18"/>
                      <w:szCs w:val="18"/>
                    </w:rPr>
                  </w:pPr>
                  <w:r>
                    <w:rPr>
                      <w:rFonts w:hint="eastAsia"/>
                      <w:sz w:val="18"/>
                      <w:szCs w:val="18"/>
                    </w:rPr>
                    <w:t>本项目拟建立贮存设施环境管理制度，危废仓库拟设置专人管理，建立管理人员岗位职责制度、设施运行操作制度、人员岗位培训制度等，确保符合环境管理要求。</w:t>
                  </w:r>
                </w:p>
              </w:tc>
            </w:tr>
            <w:tr w14:paraId="25D47B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40" w:type="dxa"/>
                  <w:vMerge w:val="continue"/>
                  <w:vAlign w:val="center"/>
                </w:tcPr>
                <w:p w14:paraId="2AC02DE0">
                  <w:pPr>
                    <w:adjustRightInd w:val="0"/>
                    <w:snapToGrid w:val="0"/>
                    <w:jc w:val="center"/>
                    <w:rPr>
                      <w:kern w:val="0"/>
                      <w:sz w:val="18"/>
                      <w:szCs w:val="18"/>
                    </w:rPr>
                  </w:pPr>
                </w:p>
              </w:tc>
              <w:tc>
                <w:tcPr>
                  <w:tcW w:w="3907" w:type="dxa"/>
                  <w:vAlign w:val="center"/>
                </w:tcPr>
                <w:p w14:paraId="29ACA6EB">
                  <w:pPr>
                    <w:adjustRightInd w:val="0"/>
                    <w:snapToGrid w:val="0"/>
                    <w:jc w:val="center"/>
                    <w:rPr>
                      <w:sz w:val="18"/>
                      <w:szCs w:val="18"/>
                    </w:rPr>
                  </w:pPr>
                  <w:r>
                    <w:rPr>
                      <w:rFonts w:hint="eastAsia"/>
                      <w:sz w:val="18"/>
                      <w:szCs w:val="18"/>
                    </w:rPr>
                    <w:t>6、贮存设施所有者或运营者应依据国家土壤和地下水污染防治的有关规定，结合贮存设施特点建立土壤和地下水污染隐患排查制度，并定期开展隐患排查；发现隐患应及时采取措施消除隐患，并建立档案。</w:t>
                  </w:r>
                </w:p>
              </w:tc>
              <w:tc>
                <w:tcPr>
                  <w:tcW w:w="3829" w:type="dxa"/>
                  <w:vAlign w:val="center"/>
                </w:tcPr>
                <w:p w14:paraId="5F8C5638">
                  <w:pPr>
                    <w:adjustRightInd w:val="0"/>
                    <w:snapToGrid w:val="0"/>
                    <w:jc w:val="center"/>
                    <w:rPr>
                      <w:sz w:val="18"/>
                      <w:szCs w:val="18"/>
                    </w:rPr>
                  </w:pPr>
                  <w:r>
                    <w:rPr>
                      <w:rFonts w:hint="eastAsia"/>
                      <w:sz w:val="18"/>
                      <w:szCs w:val="18"/>
                    </w:rPr>
                    <w:t>本项目危废仓库拟设置专人管理，危废仓库依据国家土壤和地下水污染防治的有关规定建立土壤和地下水污染隐患排查制度，并定期开展隐患排查；发现隐患应由管理人员及时采取措施消除隐患，并建立档案。</w:t>
                  </w:r>
                </w:p>
              </w:tc>
            </w:tr>
            <w:tr w14:paraId="650065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40" w:type="dxa"/>
                  <w:vMerge w:val="continue"/>
                  <w:vAlign w:val="center"/>
                </w:tcPr>
                <w:p w14:paraId="639E8964">
                  <w:pPr>
                    <w:adjustRightInd w:val="0"/>
                    <w:snapToGrid w:val="0"/>
                    <w:jc w:val="center"/>
                    <w:rPr>
                      <w:kern w:val="0"/>
                      <w:sz w:val="18"/>
                      <w:szCs w:val="18"/>
                    </w:rPr>
                  </w:pPr>
                </w:p>
              </w:tc>
              <w:tc>
                <w:tcPr>
                  <w:tcW w:w="3907" w:type="dxa"/>
                  <w:vAlign w:val="center"/>
                </w:tcPr>
                <w:p w14:paraId="5409AF52">
                  <w:pPr>
                    <w:adjustRightInd w:val="0"/>
                    <w:snapToGrid w:val="0"/>
                    <w:jc w:val="center"/>
                    <w:rPr>
                      <w:sz w:val="18"/>
                      <w:szCs w:val="18"/>
                    </w:rPr>
                  </w:pPr>
                  <w:r>
                    <w:rPr>
                      <w:rFonts w:hint="eastAsia"/>
                      <w:sz w:val="18"/>
                      <w:szCs w:val="18"/>
                    </w:rPr>
                    <w:t>7、贮存设施所有者或运营者应建立贮存设施全部档案，包括设计、施工、验收、运行、监测和环境应急等，应按国家有关档案管理的法律法规进行整理和归档。</w:t>
                  </w:r>
                </w:p>
              </w:tc>
              <w:tc>
                <w:tcPr>
                  <w:tcW w:w="3829" w:type="dxa"/>
                  <w:vAlign w:val="center"/>
                </w:tcPr>
                <w:p w14:paraId="1297CF82">
                  <w:pPr>
                    <w:adjustRightInd w:val="0"/>
                    <w:snapToGrid w:val="0"/>
                    <w:jc w:val="center"/>
                    <w:rPr>
                      <w:sz w:val="18"/>
                      <w:szCs w:val="18"/>
                    </w:rPr>
                  </w:pPr>
                  <w:r>
                    <w:rPr>
                      <w:rFonts w:hint="eastAsia"/>
                      <w:sz w:val="18"/>
                      <w:szCs w:val="18"/>
                    </w:rPr>
                    <w:t>本项目危废仓库拟设置专人管理，由管理人员建立贮存设施全部档案，并按国家有关档案管理的法律法规进行整理和归档。</w:t>
                  </w:r>
                </w:p>
              </w:tc>
            </w:tr>
          </w:tbl>
          <w:p w14:paraId="65D38439">
            <w:pPr>
              <w:jc w:val="center"/>
              <w:rPr>
                <w:b/>
                <w:bCs/>
                <w:szCs w:val="21"/>
              </w:rPr>
            </w:pPr>
          </w:p>
          <w:p w14:paraId="23921A16">
            <w:pPr>
              <w:jc w:val="center"/>
              <w:rPr>
                <w:b/>
                <w:bCs/>
                <w:szCs w:val="21"/>
              </w:rPr>
            </w:pPr>
            <w:r>
              <w:rPr>
                <w:b/>
                <w:bCs/>
                <w:szCs w:val="21"/>
              </w:rPr>
              <w:t>表4-</w:t>
            </w:r>
            <w:r>
              <w:rPr>
                <w:rFonts w:hint="eastAsia"/>
                <w:b/>
                <w:bCs/>
                <w:szCs w:val="21"/>
                <w:lang w:val="en-US" w:eastAsia="zh-CN"/>
              </w:rPr>
              <w:t>30</w:t>
            </w:r>
            <w:r>
              <w:rPr>
                <w:b/>
                <w:bCs/>
                <w:szCs w:val="21"/>
              </w:rPr>
              <w:t>本项目与</w:t>
            </w:r>
            <w:r>
              <w:rPr>
                <w:rFonts w:hint="eastAsia"/>
                <w:b/>
                <w:bCs/>
                <w:szCs w:val="21"/>
              </w:rPr>
              <w:t>《关于进一步加强危险废物环境管理工作的通知》（苏环办〔2021〕207号）</w:t>
            </w:r>
            <w:r>
              <w:rPr>
                <w:b/>
                <w:bCs/>
                <w:szCs w:val="21"/>
              </w:rPr>
              <w:t>相符性分析一览表</w:t>
            </w:r>
          </w:p>
          <w:tbl>
            <w:tblPr>
              <w:tblStyle w:val="2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97"/>
              <w:gridCol w:w="5431"/>
              <w:gridCol w:w="2338"/>
              <w:gridCol w:w="626"/>
            </w:tblGrid>
            <w:tr w14:paraId="4D83D3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5" w:type="pct"/>
                  <w:tcBorders>
                    <w:tl2br w:val="nil"/>
                    <w:tr2bl w:val="nil"/>
                  </w:tcBorders>
                  <w:vAlign w:val="center"/>
                </w:tcPr>
                <w:p w14:paraId="36FF7C8F">
                  <w:pPr>
                    <w:pStyle w:val="53"/>
                    <w:spacing w:line="240" w:lineRule="auto"/>
                    <w:rPr>
                      <w:b/>
                      <w:bCs w:val="0"/>
                      <w:sz w:val="18"/>
                      <w:szCs w:val="18"/>
                    </w:rPr>
                  </w:pPr>
                  <w:r>
                    <w:rPr>
                      <w:b/>
                      <w:bCs w:val="0"/>
                      <w:sz w:val="18"/>
                      <w:szCs w:val="18"/>
                    </w:rPr>
                    <w:t>序号</w:t>
                  </w:r>
                </w:p>
              </w:tc>
              <w:tc>
                <w:tcPr>
                  <w:tcW w:w="3098" w:type="pct"/>
                  <w:tcBorders>
                    <w:tl2br w:val="nil"/>
                    <w:tr2bl w:val="nil"/>
                  </w:tcBorders>
                  <w:vAlign w:val="center"/>
                </w:tcPr>
                <w:p w14:paraId="025A4721">
                  <w:pPr>
                    <w:pStyle w:val="53"/>
                    <w:spacing w:line="240" w:lineRule="auto"/>
                    <w:rPr>
                      <w:b/>
                      <w:bCs w:val="0"/>
                      <w:sz w:val="18"/>
                      <w:szCs w:val="18"/>
                    </w:rPr>
                  </w:pPr>
                  <w:r>
                    <w:rPr>
                      <w:b/>
                      <w:bCs w:val="0"/>
                      <w:sz w:val="18"/>
                      <w:szCs w:val="18"/>
                    </w:rPr>
                    <w:t>文件规定要求</w:t>
                  </w:r>
                </w:p>
              </w:tc>
              <w:tc>
                <w:tcPr>
                  <w:tcW w:w="1339" w:type="pct"/>
                  <w:tcBorders>
                    <w:tl2br w:val="nil"/>
                    <w:tr2bl w:val="nil"/>
                  </w:tcBorders>
                  <w:vAlign w:val="center"/>
                </w:tcPr>
                <w:p w14:paraId="5C6773E9">
                  <w:pPr>
                    <w:pStyle w:val="53"/>
                    <w:spacing w:line="240" w:lineRule="auto"/>
                    <w:rPr>
                      <w:b/>
                      <w:bCs w:val="0"/>
                      <w:sz w:val="18"/>
                      <w:szCs w:val="18"/>
                    </w:rPr>
                  </w:pPr>
                  <w:r>
                    <w:rPr>
                      <w:b/>
                      <w:bCs w:val="0"/>
                      <w:sz w:val="18"/>
                      <w:szCs w:val="18"/>
                    </w:rPr>
                    <w:t>拟实施情况</w:t>
                  </w:r>
                </w:p>
              </w:tc>
              <w:tc>
                <w:tcPr>
                  <w:tcW w:w="366" w:type="pct"/>
                  <w:tcBorders>
                    <w:tl2br w:val="nil"/>
                    <w:tr2bl w:val="nil"/>
                  </w:tcBorders>
                  <w:vAlign w:val="center"/>
                </w:tcPr>
                <w:p w14:paraId="07D690F6">
                  <w:pPr>
                    <w:pStyle w:val="53"/>
                    <w:spacing w:line="240" w:lineRule="auto"/>
                    <w:rPr>
                      <w:b/>
                      <w:bCs w:val="0"/>
                      <w:sz w:val="18"/>
                      <w:szCs w:val="18"/>
                    </w:rPr>
                  </w:pPr>
                  <w:r>
                    <w:rPr>
                      <w:b/>
                      <w:bCs w:val="0"/>
                      <w:sz w:val="18"/>
                      <w:szCs w:val="18"/>
                    </w:rPr>
                    <w:t>是否相符</w:t>
                  </w:r>
                </w:p>
              </w:tc>
            </w:tr>
            <w:tr w14:paraId="74146F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5" w:type="pct"/>
                  <w:tcBorders>
                    <w:tl2br w:val="nil"/>
                    <w:tr2bl w:val="nil"/>
                  </w:tcBorders>
                  <w:vAlign w:val="center"/>
                </w:tcPr>
                <w:p w14:paraId="554D478C">
                  <w:pPr>
                    <w:pStyle w:val="53"/>
                    <w:spacing w:line="240" w:lineRule="auto"/>
                    <w:rPr>
                      <w:sz w:val="18"/>
                      <w:szCs w:val="18"/>
                    </w:rPr>
                  </w:pPr>
                  <w:r>
                    <w:rPr>
                      <w:sz w:val="18"/>
                      <w:szCs w:val="18"/>
                    </w:rPr>
                    <w:t>1</w:t>
                  </w:r>
                </w:p>
              </w:tc>
              <w:tc>
                <w:tcPr>
                  <w:tcW w:w="3098" w:type="pct"/>
                  <w:tcBorders>
                    <w:tl2br w:val="nil"/>
                    <w:tr2bl w:val="nil"/>
                  </w:tcBorders>
                  <w:vAlign w:val="center"/>
                </w:tcPr>
                <w:p w14:paraId="10BEB043">
                  <w:pPr>
                    <w:jc w:val="center"/>
                    <w:rPr>
                      <w:sz w:val="18"/>
                      <w:szCs w:val="18"/>
                    </w:rPr>
                  </w:pPr>
                  <w:r>
                    <w:rPr>
                      <w:sz w:val="18"/>
                      <w:szCs w:val="18"/>
                    </w:rPr>
                    <w:t>严格落实产废单位危险废物污染环境防治主体责任。产废单位必须将危险废物提供或者委托给有资质单位从事收集、贮存、利用处置活动，并有危险废物利用处置合同、资金往来、废物交接等相关证明材料。严禁产废单位委托第三方中介机构运输和利用处置危险废物；严禁将危险废物提供或者委托给无资质单位进行收集、贮存和利用处置。</w:t>
                  </w:r>
                </w:p>
              </w:tc>
              <w:tc>
                <w:tcPr>
                  <w:tcW w:w="1339" w:type="pct"/>
                  <w:tcBorders>
                    <w:tl2br w:val="nil"/>
                    <w:tr2bl w:val="nil"/>
                  </w:tcBorders>
                  <w:vAlign w:val="center"/>
                </w:tcPr>
                <w:p w14:paraId="7E7CAB1D">
                  <w:pPr>
                    <w:jc w:val="center"/>
                    <w:rPr>
                      <w:sz w:val="18"/>
                      <w:szCs w:val="18"/>
                    </w:rPr>
                  </w:pPr>
                  <w:r>
                    <w:rPr>
                      <w:sz w:val="18"/>
                      <w:szCs w:val="18"/>
                    </w:rPr>
                    <w:t>本项目拟将产生的危废委托有资质单位进行运输和利用处置。</w:t>
                  </w:r>
                </w:p>
              </w:tc>
              <w:tc>
                <w:tcPr>
                  <w:tcW w:w="366" w:type="pct"/>
                  <w:tcBorders>
                    <w:tl2br w:val="nil"/>
                    <w:tr2bl w:val="nil"/>
                  </w:tcBorders>
                  <w:vAlign w:val="center"/>
                </w:tcPr>
                <w:p w14:paraId="0FBD8142">
                  <w:pPr>
                    <w:pStyle w:val="53"/>
                    <w:spacing w:line="240" w:lineRule="auto"/>
                    <w:rPr>
                      <w:sz w:val="18"/>
                      <w:szCs w:val="18"/>
                    </w:rPr>
                  </w:pPr>
                  <w:r>
                    <w:rPr>
                      <w:sz w:val="18"/>
                      <w:szCs w:val="18"/>
                    </w:rPr>
                    <w:t>相符</w:t>
                  </w:r>
                </w:p>
              </w:tc>
            </w:tr>
            <w:tr w14:paraId="1E7EC3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5" w:type="pct"/>
                  <w:tcBorders>
                    <w:tl2br w:val="nil"/>
                    <w:tr2bl w:val="nil"/>
                  </w:tcBorders>
                  <w:vAlign w:val="center"/>
                </w:tcPr>
                <w:p w14:paraId="4EF56120">
                  <w:pPr>
                    <w:pStyle w:val="53"/>
                    <w:spacing w:line="240" w:lineRule="auto"/>
                    <w:rPr>
                      <w:sz w:val="18"/>
                      <w:szCs w:val="18"/>
                    </w:rPr>
                  </w:pPr>
                  <w:r>
                    <w:rPr>
                      <w:sz w:val="18"/>
                      <w:szCs w:val="18"/>
                    </w:rPr>
                    <w:t>2</w:t>
                  </w:r>
                </w:p>
              </w:tc>
              <w:tc>
                <w:tcPr>
                  <w:tcW w:w="3098" w:type="pct"/>
                  <w:tcBorders>
                    <w:tl2br w:val="nil"/>
                    <w:tr2bl w:val="nil"/>
                  </w:tcBorders>
                  <w:vAlign w:val="center"/>
                </w:tcPr>
                <w:p w14:paraId="369BD7FA">
                  <w:pPr>
                    <w:jc w:val="center"/>
                    <w:rPr>
                      <w:sz w:val="18"/>
                      <w:szCs w:val="18"/>
                    </w:rPr>
                  </w:pPr>
                  <w:r>
                    <w:rPr>
                      <w:sz w:val="18"/>
                      <w:szCs w:val="18"/>
                    </w:rPr>
                    <w:t>严格危险废物产生贮存环境监管。通过“江苏环保脸谱”，全面推行产生和贮存现场实时申报，自动生成二维码包装标识，实现危险废物从产生到贮存信息化监管。严禁任何企业、供应商、经销商等以生态环境部门名义向产废单位、收集单位、利用处置单位推销购买任何与全生命周期监控系统相关的智能设备；严禁任何第三方在全生命周期监控系统推广使用、宣传、培训过程中以夸大、捆绑、谎称、垄断等方式借机推销相关设备和软件系统。</w:t>
                  </w:r>
                </w:p>
              </w:tc>
              <w:tc>
                <w:tcPr>
                  <w:tcW w:w="1339" w:type="pct"/>
                  <w:tcBorders>
                    <w:tl2br w:val="nil"/>
                    <w:tr2bl w:val="nil"/>
                  </w:tcBorders>
                  <w:vAlign w:val="center"/>
                </w:tcPr>
                <w:p w14:paraId="13B95303">
                  <w:pPr>
                    <w:jc w:val="center"/>
                    <w:rPr>
                      <w:sz w:val="18"/>
                      <w:szCs w:val="18"/>
                    </w:rPr>
                  </w:pPr>
                  <w:r>
                    <w:rPr>
                      <w:sz w:val="18"/>
                      <w:szCs w:val="18"/>
                    </w:rPr>
                    <w:t>本项目在日常的运营管理过程中，通过“江苏环保脸谱”实现危险废物从产生到贮存信息化监管。不接受其他单位推销的任何与全生命周期监控系统相关的智能设备。</w:t>
                  </w:r>
                </w:p>
              </w:tc>
              <w:tc>
                <w:tcPr>
                  <w:tcW w:w="366" w:type="pct"/>
                  <w:tcBorders>
                    <w:tl2br w:val="nil"/>
                    <w:tr2bl w:val="nil"/>
                  </w:tcBorders>
                  <w:vAlign w:val="center"/>
                </w:tcPr>
                <w:p w14:paraId="47B24E9D">
                  <w:pPr>
                    <w:jc w:val="center"/>
                    <w:rPr>
                      <w:sz w:val="18"/>
                      <w:szCs w:val="18"/>
                    </w:rPr>
                  </w:pPr>
                  <w:r>
                    <w:rPr>
                      <w:sz w:val="18"/>
                      <w:szCs w:val="18"/>
                    </w:rPr>
                    <w:t>相符</w:t>
                  </w:r>
                </w:p>
              </w:tc>
            </w:tr>
            <w:tr w14:paraId="20E4B4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5" w:type="pct"/>
                  <w:tcBorders>
                    <w:tl2br w:val="nil"/>
                    <w:tr2bl w:val="nil"/>
                  </w:tcBorders>
                  <w:vAlign w:val="center"/>
                </w:tcPr>
                <w:p w14:paraId="00204B32">
                  <w:pPr>
                    <w:pStyle w:val="53"/>
                    <w:spacing w:line="240" w:lineRule="auto"/>
                    <w:rPr>
                      <w:sz w:val="18"/>
                      <w:szCs w:val="18"/>
                    </w:rPr>
                  </w:pPr>
                  <w:r>
                    <w:rPr>
                      <w:sz w:val="18"/>
                      <w:szCs w:val="18"/>
                    </w:rPr>
                    <w:t>3</w:t>
                  </w:r>
                </w:p>
              </w:tc>
              <w:tc>
                <w:tcPr>
                  <w:tcW w:w="3098" w:type="pct"/>
                  <w:tcBorders>
                    <w:tl2br w:val="nil"/>
                    <w:tr2bl w:val="nil"/>
                  </w:tcBorders>
                  <w:vAlign w:val="center"/>
                </w:tcPr>
                <w:p w14:paraId="71F16A45">
                  <w:pPr>
                    <w:jc w:val="center"/>
                    <w:rPr>
                      <w:sz w:val="18"/>
                      <w:szCs w:val="18"/>
                    </w:rPr>
                  </w:pPr>
                  <w:r>
                    <w:rPr>
                      <w:sz w:val="18"/>
                      <w:szCs w:val="18"/>
                    </w:rPr>
                    <w:t>严格危险废物转移环境监管。全面推行危险废物转移电子联单，自2021年7月10日起，危险废物通过全生命周期监控系统扫描二维码转移，严禁无二维码转移行为（槽罐车、管道等除外）。各地要加强危险废物流向监控，建立电子档案，严厉打击危险废物转移过程中的环境违法行为。严禁生态环境系统人员直接或间接为产废单位指定或介绍收集、转运、利用处置单位。违反上述要求的，各地生态环境部门可关闭相关企业危险废物转移系统功能，禁止其危险废物转移，并追究相关责任人责任。</w:t>
                  </w:r>
                </w:p>
              </w:tc>
              <w:tc>
                <w:tcPr>
                  <w:tcW w:w="1339" w:type="pct"/>
                  <w:tcBorders>
                    <w:tl2br w:val="nil"/>
                    <w:tr2bl w:val="nil"/>
                  </w:tcBorders>
                  <w:vAlign w:val="center"/>
                </w:tcPr>
                <w:p w14:paraId="5586C03E">
                  <w:pPr>
                    <w:jc w:val="center"/>
                    <w:rPr>
                      <w:sz w:val="18"/>
                      <w:szCs w:val="18"/>
                    </w:rPr>
                  </w:pPr>
                  <w:r>
                    <w:rPr>
                      <w:sz w:val="18"/>
                      <w:szCs w:val="18"/>
                    </w:rPr>
                    <w:t>本项目严格执行危险废物转移电子联单制度，建立电子档案，做好危废相关的手续及存档。</w:t>
                  </w:r>
                </w:p>
              </w:tc>
              <w:tc>
                <w:tcPr>
                  <w:tcW w:w="366" w:type="pct"/>
                  <w:tcBorders>
                    <w:tl2br w:val="nil"/>
                    <w:tr2bl w:val="nil"/>
                  </w:tcBorders>
                  <w:vAlign w:val="center"/>
                </w:tcPr>
                <w:p w14:paraId="2D89F765">
                  <w:pPr>
                    <w:jc w:val="center"/>
                    <w:rPr>
                      <w:sz w:val="18"/>
                      <w:szCs w:val="18"/>
                    </w:rPr>
                  </w:pPr>
                  <w:r>
                    <w:rPr>
                      <w:sz w:val="18"/>
                      <w:szCs w:val="18"/>
                    </w:rPr>
                    <w:t>相符</w:t>
                  </w:r>
                </w:p>
              </w:tc>
            </w:tr>
            <w:tr w14:paraId="087558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5" w:type="pct"/>
                  <w:tcBorders>
                    <w:tl2br w:val="nil"/>
                    <w:tr2bl w:val="nil"/>
                  </w:tcBorders>
                  <w:vAlign w:val="center"/>
                </w:tcPr>
                <w:p w14:paraId="00F19320">
                  <w:pPr>
                    <w:pStyle w:val="53"/>
                    <w:spacing w:line="240" w:lineRule="auto"/>
                    <w:rPr>
                      <w:sz w:val="18"/>
                      <w:szCs w:val="18"/>
                    </w:rPr>
                  </w:pPr>
                  <w:r>
                    <w:rPr>
                      <w:sz w:val="18"/>
                      <w:szCs w:val="18"/>
                    </w:rPr>
                    <w:t>4</w:t>
                  </w:r>
                </w:p>
              </w:tc>
              <w:tc>
                <w:tcPr>
                  <w:tcW w:w="3098" w:type="pct"/>
                  <w:tcBorders>
                    <w:tl2br w:val="nil"/>
                    <w:tr2bl w:val="nil"/>
                  </w:tcBorders>
                  <w:vAlign w:val="center"/>
                </w:tcPr>
                <w:p w14:paraId="4EA5ECEB">
                  <w:pPr>
                    <w:jc w:val="center"/>
                    <w:rPr>
                      <w:sz w:val="18"/>
                      <w:szCs w:val="18"/>
                    </w:rPr>
                  </w:pPr>
                  <w:r>
                    <w:rPr>
                      <w:sz w:val="18"/>
                      <w:szCs w:val="18"/>
                    </w:rPr>
                    <w:t>四、严格执行危险废物豁免管理清单。各设区市生态环境部门要对照国家危险废物豁免管理清单，梳理本辖区符合豁免管理条件的利用处置单位（非持证单位），在设区市生态环境部门官网公开，实施动态管理。各地生态环境部门要加强危险废物豁免管理单位的日常监管，将豁免管理危险废物产生、贮存、运输、利用、处置等情况纳入全生命周期监控系统，严格落实危险废物相关管理制度，加强业务培训，提升危险废物规范化管理水平。</w:t>
                  </w:r>
                </w:p>
              </w:tc>
              <w:tc>
                <w:tcPr>
                  <w:tcW w:w="1339" w:type="pct"/>
                  <w:tcBorders>
                    <w:tl2br w:val="nil"/>
                    <w:tr2bl w:val="nil"/>
                  </w:tcBorders>
                  <w:vAlign w:val="center"/>
                </w:tcPr>
                <w:p w14:paraId="4E7ED959">
                  <w:pPr>
                    <w:jc w:val="center"/>
                    <w:rPr>
                      <w:sz w:val="18"/>
                      <w:szCs w:val="18"/>
                    </w:rPr>
                  </w:pPr>
                  <w:r>
                    <w:rPr>
                      <w:sz w:val="18"/>
                      <w:szCs w:val="18"/>
                    </w:rPr>
                    <w:t>本项目不涉及豁免管理。</w:t>
                  </w:r>
                </w:p>
              </w:tc>
              <w:tc>
                <w:tcPr>
                  <w:tcW w:w="366" w:type="pct"/>
                  <w:tcBorders>
                    <w:tl2br w:val="nil"/>
                    <w:tr2bl w:val="nil"/>
                  </w:tcBorders>
                  <w:vAlign w:val="center"/>
                </w:tcPr>
                <w:p w14:paraId="736518CD">
                  <w:pPr>
                    <w:jc w:val="center"/>
                    <w:rPr>
                      <w:sz w:val="18"/>
                      <w:szCs w:val="18"/>
                    </w:rPr>
                  </w:pPr>
                  <w:r>
                    <w:rPr>
                      <w:sz w:val="18"/>
                      <w:szCs w:val="18"/>
                    </w:rPr>
                    <w:t>相符</w:t>
                  </w:r>
                </w:p>
              </w:tc>
            </w:tr>
            <w:tr w14:paraId="3BFCF2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5" w:type="pct"/>
                  <w:tcBorders>
                    <w:tl2br w:val="nil"/>
                    <w:tr2bl w:val="nil"/>
                  </w:tcBorders>
                  <w:vAlign w:val="center"/>
                </w:tcPr>
                <w:p w14:paraId="18DB77C7">
                  <w:pPr>
                    <w:pStyle w:val="53"/>
                    <w:spacing w:line="240" w:lineRule="auto"/>
                    <w:rPr>
                      <w:sz w:val="18"/>
                      <w:szCs w:val="18"/>
                    </w:rPr>
                  </w:pPr>
                  <w:r>
                    <w:rPr>
                      <w:sz w:val="18"/>
                      <w:szCs w:val="18"/>
                    </w:rPr>
                    <w:t>5</w:t>
                  </w:r>
                </w:p>
              </w:tc>
              <w:tc>
                <w:tcPr>
                  <w:tcW w:w="3098" w:type="pct"/>
                  <w:tcBorders>
                    <w:tl2br w:val="nil"/>
                    <w:tr2bl w:val="nil"/>
                  </w:tcBorders>
                  <w:vAlign w:val="center"/>
                </w:tcPr>
                <w:p w14:paraId="368ECA96">
                  <w:pPr>
                    <w:jc w:val="center"/>
                    <w:rPr>
                      <w:sz w:val="18"/>
                      <w:szCs w:val="18"/>
                    </w:rPr>
                  </w:pPr>
                  <w:r>
                    <w:rPr>
                      <w:sz w:val="18"/>
                      <w:szCs w:val="18"/>
                    </w:rPr>
                    <w:t>严格危险废物应急处置和行政代处置管理。各地要结合实际制定危险废物应急处置和行政代处置管理方案，明确适用范围、各方职责、执行程序和监管措施等内容。按照《固体废物污染环境防治法》《国家危险废物名录》（2021版）等要求，需采取应急处置或行政代处置的相关部门和单位，要科学制定处置方案并按要求向有关生态环境部门和地方政府报备。严禁借应急处置和行政代处置名义逃避监管，违法处置危险废物。</w:t>
                  </w:r>
                </w:p>
              </w:tc>
              <w:tc>
                <w:tcPr>
                  <w:tcW w:w="1339" w:type="pct"/>
                  <w:tcBorders>
                    <w:tl2br w:val="nil"/>
                    <w:tr2bl w:val="nil"/>
                  </w:tcBorders>
                  <w:vAlign w:val="center"/>
                </w:tcPr>
                <w:p w14:paraId="1EFEA64D">
                  <w:pPr>
                    <w:jc w:val="center"/>
                    <w:rPr>
                      <w:sz w:val="18"/>
                      <w:szCs w:val="18"/>
                    </w:rPr>
                  </w:pPr>
                  <w:r>
                    <w:rPr>
                      <w:sz w:val="18"/>
                      <w:szCs w:val="18"/>
                    </w:rPr>
                    <w:t>本项目危废均交由有资质单位处置，不涉及危险废物应急处置和行政代处置管理。</w:t>
                  </w:r>
                </w:p>
              </w:tc>
              <w:tc>
                <w:tcPr>
                  <w:tcW w:w="366" w:type="pct"/>
                  <w:tcBorders>
                    <w:tl2br w:val="nil"/>
                    <w:tr2bl w:val="nil"/>
                  </w:tcBorders>
                  <w:vAlign w:val="center"/>
                </w:tcPr>
                <w:p w14:paraId="2A3E883A">
                  <w:pPr>
                    <w:jc w:val="center"/>
                    <w:rPr>
                      <w:sz w:val="18"/>
                      <w:szCs w:val="18"/>
                    </w:rPr>
                  </w:pPr>
                  <w:r>
                    <w:rPr>
                      <w:sz w:val="18"/>
                      <w:szCs w:val="18"/>
                    </w:rPr>
                    <w:t>相符</w:t>
                  </w:r>
                </w:p>
              </w:tc>
            </w:tr>
          </w:tbl>
          <w:p w14:paraId="71DD27DE">
            <w:pPr>
              <w:spacing w:line="360" w:lineRule="auto"/>
              <w:ind w:firstLine="420" w:firstLineChars="200"/>
              <w:rPr>
                <w:bCs/>
                <w:szCs w:val="21"/>
              </w:rPr>
            </w:pPr>
            <w:r>
              <w:rPr>
                <w:szCs w:val="21"/>
              </w:rPr>
              <w:t>由上表可知，本项目建设符合</w:t>
            </w:r>
            <w:r>
              <w:rPr>
                <w:rFonts w:hint="eastAsia"/>
                <w:bCs/>
                <w:szCs w:val="21"/>
              </w:rPr>
              <w:t>《关于进一步加强危险废物环境管理工作的通知》（苏环办〔2021〕207号）</w:t>
            </w:r>
            <w:r>
              <w:rPr>
                <w:szCs w:val="21"/>
              </w:rPr>
              <w:t>相关要求。</w:t>
            </w:r>
          </w:p>
          <w:p w14:paraId="4C4F5420">
            <w:pPr>
              <w:jc w:val="center"/>
              <w:rPr>
                <w:b/>
                <w:bCs/>
                <w:szCs w:val="21"/>
              </w:rPr>
            </w:pPr>
            <w:r>
              <w:rPr>
                <w:rFonts w:hint="eastAsia"/>
                <w:b/>
                <w:bCs/>
                <w:szCs w:val="21"/>
              </w:rPr>
              <w:t>表 4-</w:t>
            </w:r>
            <w:r>
              <w:rPr>
                <w:rFonts w:hint="eastAsia"/>
                <w:b/>
                <w:bCs/>
                <w:szCs w:val="21"/>
                <w:lang w:val="en-US" w:eastAsia="zh-CN"/>
              </w:rPr>
              <w:t>31</w:t>
            </w:r>
            <w:r>
              <w:rPr>
                <w:rFonts w:hint="eastAsia"/>
                <w:b/>
                <w:bCs/>
                <w:szCs w:val="21"/>
              </w:rPr>
              <w:t>与《省生态环境厅关于印发&lt;江苏省固体废物全过程环境监管工作意见&gt;的通知》</w:t>
            </w:r>
          </w:p>
          <w:p w14:paraId="1A5B3FCC">
            <w:pPr>
              <w:jc w:val="center"/>
              <w:rPr>
                <w:b/>
                <w:bCs/>
                <w:szCs w:val="21"/>
              </w:rPr>
            </w:pPr>
            <w:r>
              <w:rPr>
                <w:rFonts w:hint="eastAsia"/>
                <w:b/>
                <w:bCs/>
                <w:szCs w:val="21"/>
              </w:rPr>
              <w:t>（苏环办〔2024〕16 号）相符性分析</w:t>
            </w:r>
          </w:p>
          <w:tbl>
            <w:tblPr>
              <w:tblStyle w:val="2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97"/>
              <w:gridCol w:w="5431"/>
              <w:gridCol w:w="2338"/>
              <w:gridCol w:w="626"/>
            </w:tblGrid>
            <w:tr w14:paraId="63265E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5" w:type="pct"/>
                  <w:tcBorders>
                    <w:tl2br w:val="nil"/>
                    <w:tr2bl w:val="nil"/>
                  </w:tcBorders>
                  <w:vAlign w:val="center"/>
                </w:tcPr>
                <w:p w14:paraId="39AB255D">
                  <w:pPr>
                    <w:pStyle w:val="53"/>
                    <w:spacing w:line="240" w:lineRule="auto"/>
                    <w:rPr>
                      <w:b/>
                      <w:bCs w:val="0"/>
                      <w:sz w:val="18"/>
                      <w:szCs w:val="18"/>
                    </w:rPr>
                  </w:pPr>
                  <w:r>
                    <w:rPr>
                      <w:b/>
                      <w:bCs w:val="0"/>
                      <w:sz w:val="18"/>
                      <w:szCs w:val="18"/>
                    </w:rPr>
                    <w:t>序号</w:t>
                  </w:r>
                </w:p>
              </w:tc>
              <w:tc>
                <w:tcPr>
                  <w:tcW w:w="3098" w:type="pct"/>
                  <w:tcBorders>
                    <w:tl2br w:val="nil"/>
                    <w:tr2bl w:val="nil"/>
                  </w:tcBorders>
                  <w:vAlign w:val="center"/>
                </w:tcPr>
                <w:p w14:paraId="75C539B9">
                  <w:pPr>
                    <w:pStyle w:val="53"/>
                    <w:spacing w:line="240" w:lineRule="auto"/>
                    <w:rPr>
                      <w:b/>
                      <w:bCs w:val="0"/>
                      <w:sz w:val="18"/>
                      <w:szCs w:val="18"/>
                    </w:rPr>
                  </w:pPr>
                  <w:r>
                    <w:rPr>
                      <w:b/>
                      <w:bCs w:val="0"/>
                      <w:sz w:val="18"/>
                      <w:szCs w:val="18"/>
                    </w:rPr>
                    <w:t>文件规定要求</w:t>
                  </w:r>
                </w:p>
              </w:tc>
              <w:tc>
                <w:tcPr>
                  <w:tcW w:w="1339" w:type="pct"/>
                  <w:tcBorders>
                    <w:tl2br w:val="nil"/>
                    <w:tr2bl w:val="nil"/>
                  </w:tcBorders>
                  <w:vAlign w:val="center"/>
                </w:tcPr>
                <w:p w14:paraId="2A445F5A">
                  <w:pPr>
                    <w:pStyle w:val="53"/>
                    <w:spacing w:line="240" w:lineRule="auto"/>
                    <w:rPr>
                      <w:b/>
                      <w:bCs w:val="0"/>
                      <w:sz w:val="18"/>
                      <w:szCs w:val="18"/>
                    </w:rPr>
                  </w:pPr>
                  <w:r>
                    <w:rPr>
                      <w:b/>
                      <w:bCs w:val="0"/>
                      <w:sz w:val="18"/>
                      <w:szCs w:val="18"/>
                    </w:rPr>
                    <w:t>拟实施情况</w:t>
                  </w:r>
                </w:p>
              </w:tc>
              <w:tc>
                <w:tcPr>
                  <w:tcW w:w="366" w:type="pct"/>
                  <w:tcBorders>
                    <w:tl2br w:val="nil"/>
                    <w:tr2bl w:val="nil"/>
                  </w:tcBorders>
                  <w:vAlign w:val="center"/>
                </w:tcPr>
                <w:p w14:paraId="1C0ABDF7">
                  <w:pPr>
                    <w:pStyle w:val="53"/>
                    <w:spacing w:line="240" w:lineRule="auto"/>
                    <w:rPr>
                      <w:b/>
                      <w:bCs w:val="0"/>
                      <w:sz w:val="18"/>
                      <w:szCs w:val="18"/>
                    </w:rPr>
                  </w:pPr>
                  <w:r>
                    <w:rPr>
                      <w:b/>
                      <w:bCs w:val="0"/>
                      <w:sz w:val="18"/>
                      <w:szCs w:val="18"/>
                    </w:rPr>
                    <w:t>是否相符</w:t>
                  </w:r>
                </w:p>
              </w:tc>
            </w:tr>
            <w:tr w14:paraId="7BFA5D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5" w:type="pct"/>
                  <w:tcBorders>
                    <w:tl2br w:val="nil"/>
                    <w:tr2bl w:val="nil"/>
                  </w:tcBorders>
                  <w:vAlign w:val="center"/>
                </w:tcPr>
                <w:p w14:paraId="51F246AD">
                  <w:pPr>
                    <w:pStyle w:val="53"/>
                    <w:spacing w:line="240" w:lineRule="auto"/>
                    <w:rPr>
                      <w:sz w:val="18"/>
                      <w:szCs w:val="18"/>
                    </w:rPr>
                  </w:pPr>
                  <w:r>
                    <w:rPr>
                      <w:sz w:val="18"/>
                      <w:szCs w:val="18"/>
                    </w:rPr>
                    <w:t>1</w:t>
                  </w:r>
                </w:p>
              </w:tc>
              <w:tc>
                <w:tcPr>
                  <w:tcW w:w="3098" w:type="pct"/>
                  <w:tcBorders>
                    <w:tl2br w:val="nil"/>
                    <w:tr2bl w:val="nil"/>
                  </w:tcBorders>
                  <w:vAlign w:val="center"/>
                </w:tcPr>
                <w:p w14:paraId="568E38A8">
                  <w:pPr>
                    <w:jc w:val="center"/>
                    <w:rPr>
                      <w:sz w:val="18"/>
                      <w:szCs w:val="18"/>
                    </w:rPr>
                  </w:pPr>
                  <w:r>
                    <w:rPr>
                      <w:sz w:val="18"/>
                      <w:szCs w:val="18"/>
                    </w:rPr>
                    <w:t>建设项目环评要评价产生的固体废物种类、数量、来源和属性，论述贮存、转移和利用处置方式合规性、合理性，提出切实可行的污染防治对策措施。所有产物要 按照以下五类属性给予明确并规范表述：目标产物(产品、副产品)鉴别属于产品(符合国家、地方或行业标准)、可定向用于特定用途按产品管理(如符合团体标准)、一般固体废物和危险废物不得将不符合 GB34330、HJ1091等标准的产物认定为“再生产品”，不得出现“中间产物”“再生产物”等不规范表述，严禁以“副产品”名义逃避监管。不能排除危险特性的固体废物，须在环评文件中明确具体鉴别方案，鉴别前按危险废物管理，鉴别后根据结论按一般固废或危险废物管理。</w:t>
                  </w:r>
                </w:p>
              </w:tc>
              <w:tc>
                <w:tcPr>
                  <w:tcW w:w="1339" w:type="pct"/>
                  <w:tcBorders>
                    <w:tl2br w:val="nil"/>
                    <w:tr2bl w:val="nil"/>
                  </w:tcBorders>
                  <w:vAlign w:val="center"/>
                </w:tcPr>
                <w:p w14:paraId="29206EC2">
                  <w:pPr>
                    <w:jc w:val="center"/>
                    <w:rPr>
                      <w:sz w:val="18"/>
                      <w:szCs w:val="18"/>
                    </w:rPr>
                  </w:pPr>
                  <w:r>
                    <w:rPr>
                      <w:rFonts w:hint="eastAsia"/>
                      <w:sz w:val="18"/>
                      <w:szCs w:val="18"/>
                    </w:rPr>
                    <w:t>生活垃圾环卫清运，</w:t>
                  </w:r>
                  <w:r>
                    <w:rPr>
                      <w:sz w:val="18"/>
                      <w:szCs w:val="18"/>
                    </w:rPr>
                    <w:t>废试剂包装、废活性炭、</w:t>
                  </w:r>
                  <w:r>
                    <w:rPr>
                      <w:rFonts w:hint="eastAsia"/>
                      <w:sz w:val="18"/>
                      <w:szCs w:val="18"/>
                    </w:rPr>
                    <w:t>废实验耗材</w:t>
                  </w:r>
                  <w:r>
                    <w:rPr>
                      <w:rFonts w:hint="eastAsia"/>
                      <w:sz w:val="18"/>
                      <w:szCs w:val="18"/>
                      <w:lang w:eastAsia="zh-CN"/>
                    </w:rPr>
                    <w:t>、</w:t>
                  </w:r>
                  <w:r>
                    <w:rPr>
                      <w:rFonts w:hint="eastAsia"/>
                      <w:kern w:val="0"/>
                      <w:sz w:val="18"/>
                      <w:szCs w:val="18"/>
                      <w:lang w:val="en-US" w:eastAsia="zh-CN"/>
                    </w:rPr>
                    <w:t>废水处理污泥、废过滤介质</w:t>
                  </w:r>
                  <w:r>
                    <w:rPr>
                      <w:rFonts w:hint="eastAsia"/>
                      <w:sz w:val="18"/>
                      <w:szCs w:val="18"/>
                    </w:rPr>
                    <w:t>袋装储存，</w:t>
                  </w:r>
                  <w:r>
                    <w:rPr>
                      <w:rFonts w:hint="eastAsia"/>
                      <w:sz w:val="18"/>
                      <w:szCs w:val="18"/>
                      <w:lang w:eastAsia="zh-CN"/>
                    </w:rPr>
                    <w:t>实验废液、</w:t>
                  </w:r>
                  <w:r>
                    <w:rPr>
                      <w:rFonts w:hint="eastAsia"/>
                      <w:sz w:val="18"/>
                      <w:szCs w:val="18"/>
                      <w:lang w:val="en-US" w:eastAsia="zh-CN"/>
                    </w:rPr>
                    <w:t>初道</w:t>
                  </w:r>
                  <w:r>
                    <w:rPr>
                      <w:rFonts w:hint="eastAsia"/>
                      <w:sz w:val="18"/>
                      <w:szCs w:val="18"/>
                      <w:lang w:eastAsia="zh-CN"/>
                    </w:rPr>
                    <w:t>清洗废水、喷淋废液</w:t>
                  </w:r>
                  <w:r>
                    <w:rPr>
                      <w:rFonts w:hint="eastAsia"/>
                      <w:sz w:val="18"/>
                      <w:szCs w:val="18"/>
                    </w:rPr>
                    <w:t>加盖</w:t>
                  </w:r>
                  <w:r>
                    <w:rPr>
                      <w:sz w:val="18"/>
                      <w:szCs w:val="18"/>
                    </w:rPr>
                    <w:t>密封存储于危废暂存仓库内</w:t>
                  </w:r>
                  <w:r>
                    <w:rPr>
                      <w:rFonts w:hint="eastAsia"/>
                      <w:sz w:val="18"/>
                      <w:szCs w:val="18"/>
                    </w:rPr>
                    <w:t>，</w:t>
                  </w:r>
                  <w:r>
                    <w:rPr>
                      <w:sz w:val="18"/>
                      <w:szCs w:val="18"/>
                    </w:rPr>
                    <w:t>及时委托有资质的单位处理。本项目产生的固体废物均已对照《固体废物鉴别标准通则》（GB34330-2017）进行分析，均为固体废物，无副产品产生。</w:t>
                  </w:r>
                </w:p>
              </w:tc>
              <w:tc>
                <w:tcPr>
                  <w:tcW w:w="366" w:type="pct"/>
                  <w:tcBorders>
                    <w:tl2br w:val="nil"/>
                    <w:tr2bl w:val="nil"/>
                  </w:tcBorders>
                  <w:vAlign w:val="center"/>
                </w:tcPr>
                <w:p w14:paraId="5C45C744">
                  <w:pPr>
                    <w:pStyle w:val="53"/>
                    <w:spacing w:line="240" w:lineRule="auto"/>
                    <w:rPr>
                      <w:sz w:val="18"/>
                      <w:szCs w:val="18"/>
                    </w:rPr>
                  </w:pPr>
                  <w:r>
                    <w:rPr>
                      <w:sz w:val="18"/>
                      <w:szCs w:val="18"/>
                    </w:rPr>
                    <w:t>相符</w:t>
                  </w:r>
                </w:p>
              </w:tc>
            </w:tr>
            <w:tr w14:paraId="0659FA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5" w:type="pct"/>
                  <w:tcBorders>
                    <w:tl2br w:val="nil"/>
                    <w:tr2bl w:val="nil"/>
                  </w:tcBorders>
                  <w:vAlign w:val="center"/>
                </w:tcPr>
                <w:p w14:paraId="4EECB8F1">
                  <w:pPr>
                    <w:pStyle w:val="53"/>
                    <w:spacing w:line="240" w:lineRule="auto"/>
                    <w:rPr>
                      <w:sz w:val="18"/>
                      <w:szCs w:val="18"/>
                    </w:rPr>
                  </w:pPr>
                  <w:r>
                    <w:rPr>
                      <w:sz w:val="18"/>
                      <w:szCs w:val="18"/>
                    </w:rPr>
                    <w:t>2</w:t>
                  </w:r>
                </w:p>
              </w:tc>
              <w:tc>
                <w:tcPr>
                  <w:tcW w:w="3098" w:type="pct"/>
                  <w:tcBorders>
                    <w:tl2br w:val="nil"/>
                    <w:tr2bl w:val="nil"/>
                  </w:tcBorders>
                  <w:vAlign w:val="center"/>
                </w:tcPr>
                <w:p w14:paraId="6A7FD5FB">
                  <w:pPr>
                    <w:jc w:val="center"/>
                    <w:rPr>
                      <w:sz w:val="18"/>
                      <w:szCs w:val="18"/>
                    </w:rPr>
                  </w:pPr>
                  <w:r>
                    <w:rPr>
                      <w:sz w:val="18"/>
                      <w:szCs w:val="18"/>
                    </w:rPr>
                    <w:t>企业要在排污许可管理系统中全面准确申报工业固体废物产生种类，以及贮存设施和利用处置等相关情况，并对其真实性负责。实际产生、转移、贮存和利用处置情况对照项目环评发生变动的，要根据变动情况及时采取重新报批环评、纳入环境保护竣工验收等手续，并及时变更排污许可。</w:t>
                  </w:r>
                </w:p>
              </w:tc>
              <w:tc>
                <w:tcPr>
                  <w:tcW w:w="1339" w:type="pct"/>
                  <w:tcBorders>
                    <w:tl2br w:val="nil"/>
                    <w:tr2bl w:val="nil"/>
                  </w:tcBorders>
                  <w:vAlign w:val="center"/>
                </w:tcPr>
                <w:p w14:paraId="4540F59F">
                  <w:pPr>
                    <w:jc w:val="center"/>
                    <w:rPr>
                      <w:sz w:val="18"/>
                      <w:szCs w:val="18"/>
                    </w:rPr>
                  </w:pPr>
                  <w:r>
                    <w:rPr>
                      <w:sz w:val="18"/>
                      <w:szCs w:val="18"/>
                    </w:rPr>
                    <w:t>企业应在项目建成后在排污许可管理系统中准确申报工业固体废物产生种类，以及贮存设施和利用处置等相关情况。</w:t>
                  </w:r>
                </w:p>
              </w:tc>
              <w:tc>
                <w:tcPr>
                  <w:tcW w:w="366" w:type="pct"/>
                  <w:tcBorders>
                    <w:tl2br w:val="nil"/>
                    <w:tr2bl w:val="nil"/>
                  </w:tcBorders>
                  <w:vAlign w:val="center"/>
                </w:tcPr>
                <w:p w14:paraId="681B9CC4">
                  <w:pPr>
                    <w:jc w:val="center"/>
                    <w:rPr>
                      <w:sz w:val="18"/>
                      <w:szCs w:val="18"/>
                    </w:rPr>
                  </w:pPr>
                  <w:r>
                    <w:rPr>
                      <w:sz w:val="18"/>
                      <w:szCs w:val="18"/>
                    </w:rPr>
                    <w:t>相符</w:t>
                  </w:r>
                </w:p>
              </w:tc>
            </w:tr>
            <w:tr w14:paraId="551B90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5" w:type="pct"/>
                  <w:tcBorders>
                    <w:tl2br w:val="nil"/>
                    <w:tr2bl w:val="nil"/>
                  </w:tcBorders>
                  <w:vAlign w:val="center"/>
                </w:tcPr>
                <w:p w14:paraId="44E7E3CF">
                  <w:pPr>
                    <w:pStyle w:val="53"/>
                    <w:spacing w:line="240" w:lineRule="auto"/>
                    <w:rPr>
                      <w:sz w:val="18"/>
                      <w:szCs w:val="18"/>
                    </w:rPr>
                  </w:pPr>
                  <w:r>
                    <w:rPr>
                      <w:sz w:val="18"/>
                      <w:szCs w:val="18"/>
                    </w:rPr>
                    <w:t>3</w:t>
                  </w:r>
                </w:p>
              </w:tc>
              <w:tc>
                <w:tcPr>
                  <w:tcW w:w="3098" w:type="pct"/>
                  <w:tcBorders>
                    <w:tl2br w:val="nil"/>
                    <w:tr2bl w:val="nil"/>
                  </w:tcBorders>
                  <w:vAlign w:val="center"/>
                </w:tcPr>
                <w:p w14:paraId="0F1B645A">
                  <w:pPr>
                    <w:jc w:val="center"/>
                    <w:rPr>
                      <w:sz w:val="18"/>
                      <w:szCs w:val="18"/>
                    </w:rPr>
                  </w:pPr>
                  <w:r>
                    <w:rPr>
                      <w:sz w:val="18"/>
                      <w:szCs w:val="18"/>
                    </w:rPr>
                    <w:t>根据《危险废物贮存污染控制标准》(GB18597-2023)，企业可根据实际情况选择采用危险废物贮存设施或贮存点两类方式进行贮存，符合相应的污染控制标准；不具备建设贮存设施条件、选用贮存点方式的，除符合国家关于贮存点控制要求外，还要执行《江苏省危险废物集中收集体系建设工作方案(试行)》(苏环办〔2021〕290 号)中关于贮存周期和贮存量的要求，I 级、Ⅱ级、Ⅲ级危险废物贮存时间分别不得超过 30天、60天、90天，最大贮存量不得超过 1吨。</w:t>
                  </w:r>
                </w:p>
              </w:tc>
              <w:tc>
                <w:tcPr>
                  <w:tcW w:w="1339" w:type="pct"/>
                  <w:tcBorders>
                    <w:tl2br w:val="nil"/>
                    <w:tr2bl w:val="nil"/>
                  </w:tcBorders>
                  <w:vAlign w:val="center"/>
                </w:tcPr>
                <w:p w14:paraId="28E5969B">
                  <w:pPr>
                    <w:jc w:val="center"/>
                    <w:rPr>
                      <w:sz w:val="18"/>
                      <w:szCs w:val="18"/>
                    </w:rPr>
                  </w:pPr>
                  <w:r>
                    <w:rPr>
                      <w:sz w:val="18"/>
                      <w:szCs w:val="18"/>
                    </w:rPr>
                    <w:t>废试剂包装、废活性炭、</w:t>
                  </w:r>
                  <w:r>
                    <w:rPr>
                      <w:rFonts w:hint="eastAsia"/>
                      <w:sz w:val="18"/>
                      <w:szCs w:val="18"/>
                    </w:rPr>
                    <w:t>废实验耗材</w:t>
                  </w:r>
                  <w:r>
                    <w:rPr>
                      <w:rFonts w:hint="eastAsia"/>
                      <w:sz w:val="18"/>
                      <w:szCs w:val="18"/>
                      <w:lang w:eastAsia="zh-CN"/>
                    </w:rPr>
                    <w:t>、</w:t>
                  </w:r>
                  <w:r>
                    <w:rPr>
                      <w:rFonts w:hint="eastAsia"/>
                      <w:kern w:val="0"/>
                      <w:sz w:val="18"/>
                      <w:szCs w:val="18"/>
                      <w:lang w:val="en-US" w:eastAsia="zh-CN"/>
                    </w:rPr>
                    <w:t>废水处理污泥、废过滤介质</w:t>
                  </w:r>
                  <w:r>
                    <w:rPr>
                      <w:rFonts w:hint="eastAsia"/>
                      <w:sz w:val="18"/>
                      <w:szCs w:val="18"/>
                    </w:rPr>
                    <w:t>袋装储存，</w:t>
                  </w:r>
                  <w:r>
                    <w:rPr>
                      <w:rFonts w:hint="eastAsia"/>
                      <w:sz w:val="18"/>
                      <w:szCs w:val="18"/>
                      <w:lang w:eastAsia="zh-CN"/>
                    </w:rPr>
                    <w:t>实验废液、</w:t>
                  </w:r>
                  <w:r>
                    <w:rPr>
                      <w:rFonts w:hint="eastAsia"/>
                      <w:sz w:val="18"/>
                      <w:szCs w:val="18"/>
                      <w:lang w:val="en-US" w:eastAsia="zh-CN"/>
                    </w:rPr>
                    <w:t>初道</w:t>
                  </w:r>
                  <w:r>
                    <w:rPr>
                      <w:rFonts w:hint="eastAsia"/>
                      <w:sz w:val="18"/>
                      <w:szCs w:val="18"/>
                      <w:lang w:eastAsia="zh-CN"/>
                    </w:rPr>
                    <w:t>清洗废水、喷淋废液</w:t>
                  </w:r>
                  <w:r>
                    <w:rPr>
                      <w:rFonts w:hint="eastAsia"/>
                      <w:sz w:val="18"/>
                      <w:szCs w:val="18"/>
                    </w:rPr>
                    <w:t>加盖</w:t>
                  </w:r>
                  <w:r>
                    <w:rPr>
                      <w:sz w:val="18"/>
                      <w:szCs w:val="18"/>
                    </w:rPr>
                    <w:t>密封存储于危废暂存仓库内</w:t>
                  </w:r>
                  <w:r>
                    <w:rPr>
                      <w:rFonts w:hint="eastAsia"/>
                      <w:sz w:val="18"/>
                      <w:szCs w:val="18"/>
                    </w:rPr>
                    <w:t>，</w:t>
                  </w:r>
                  <w:r>
                    <w:rPr>
                      <w:sz w:val="18"/>
                      <w:szCs w:val="18"/>
                    </w:rPr>
                    <w:t>及时委托有资质的单位处理。符合《危险废物贮存污染控制标准》(GB18597-2023)及《江苏省危险废物集中收集体系建设工作方案(试行)》(苏环办〔2021〕290 号)中相关要求</w:t>
                  </w:r>
                </w:p>
              </w:tc>
              <w:tc>
                <w:tcPr>
                  <w:tcW w:w="366" w:type="pct"/>
                  <w:tcBorders>
                    <w:tl2br w:val="nil"/>
                    <w:tr2bl w:val="nil"/>
                  </w:tcBorders>
                  <w:vAlign w:val="center"/>
                </w:tcPr>
                <w:p w14:paraId="0ACF7DD8">
                  <w:pPr>
                    <w:jc w:val="center"/>
                    <w:rPr>
                      <w:sz w:val="18"/>
                      <w:szCs w:val="18"/>
                    </w:rPr>
                  </w:pPr>
                  <w:r>
                    <w:rPr>
                      <w:sz w:val="18"/>
                      <w:szCs w:val="18"/>
                    </w:rPr>
                    <w:t>相符</w:t>
                  </w:r>
                </w:p>
              </w:tc>
            </w:tr>
            <w:tr w14:paraId="4B9DC4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5" w:type="pct"/>
                  <w:tcBorders>
                    <w:tl2br w:val="nil"/>
                    <w:tr2bl w:val="nil"/>
                  </w:tcBorders>
                  <w:vAlign w:val="center"/>
                </w:tcPr>
                <w:p w14:paraId="1D844258">
                  <w:pPr>
                    <w:pStyle w:val="53"/>
                    <w:spacing w:line="240" w:lineRule="auto"/>
                    <w:rPr>
                      <w:sz w:val="18"/>
                      <w:szCs w:val="18"/>
                    </w:rPr>
                  </w:pPr>
                  <w:r>
                    <w:rPr>
                      <w:sz w:val="18"/>
                      <w:szCs w:val="18"/>
                    </w:rPr>
                    <w:t>4</w:t>
                  </w:r>
                </w:p>
              </w:tc>
              <w:tc>
                <w:tcPr>
                  <w:tcW w:w="3098" w:type="pct"/>
                  <w:tcBorders>
                    <w:tl2br w:val="nil"/>
                    <w:tr2bl w:val="nil"/>
                  </w:tcBorders>
                  <w:vAlign w:val="center"/>
                </w:tcPr>
                <w:p w14:paraId="75F1DF64">
                  <w:pPr>
                    <w:jc w:val="center"/>
                    <w:rPr>
                      <w:sz w:val="18"/>
                      <w:szCs w:val="18"/>
                    </w:rPr>
                  </w:pPr>
                  <w:r>
                    <w:rPr>
                      <w:sz w:val="18"/>
                      <w:szCs w:val="18"/>
                    </w:rPr>
                    <w:t>全面落实危险废物转移电子联单制度，实行省内全域扫描“二维码”转移。加强与危险货物道路运输电子运单数据共享，实现运输轨迹可溯可查。危险废物产生单位须依法核实经营单位主体资格和技术能力，直接签订委托合同，并向经营单位提供相关危险废物产生工艺、具体成分，以及是否易燃易爆等信息，违法委托的，应当与造成环境污染和生态破坏的受托方承担连带责任；经营单位须按合同及包装物扫码签收危险废物，签收人、车辆信息等须拍照上传至系统，严禁“空转”二维码。积极推行一般工业固体废物转移电子联单制度，优先选择环境风险较大的污泥、矿渣等固体废物试行。</w:t>
                  </w:r>
                </w:p>
              </w:tc>
              <w:tc>
                <w:tcPr>
                  <w:tcW w:w="1339" w:type="pct"/>
                  <w:tcBorders>
                    <w:tl2br w:val="nil"/>
                    <w:tr2bl w:val="nil"/>
                  </w:tcBorders>
                  <w:vAlign w:val="center"/>
                </w:tcPr>
                <w:p w14:paraId="5B13ECB9">
                  <w:pPr>
                    <w:jc w:val="center"/>
                    <w:rPr>
                      <w:sz w:val="18"/>
                      <w:szCs w:val="18"/>
                    </w:rPr>
                  </w:pPr>
                  <w:r>
                    <w:rPr>
                      <w:sz w:val="18"/>
                      <w:szCs w:val="18"/>
                    </w:rPr>
                    <w:t>项目落实危险废物转移电子联单制度，实行省内全域扫描“二维码”转移，实现运输轨迹可溯可查，并依法经营单位主体资格和技术能力，直接签订委托合同，并向经营单位提供相关危险废物产生工艺、具体成分，以及是否易燃易爆等信息。</w:t>
                  </w:r>
                </w:p>
              </w:tc>
              <w:tc>
                <w:tcPr>
                  <w:tcW w:w="366" w:type="pct"/>
                  <w:tcBorders>
                    <w:tl2br w:val="nil"/>
                    <w:tr2bl w:val="nil"/>
                  </w:tcBorders>
                  <w:vAlign w:val="center"/>
                </w:tcPr>
                <w:p w14:paraId="266D568A">
                  <w:pPr>
                    <w:jc w:val="center"/>
                    <w:rPr>
                      <w:sz w:val="18"/>
                      <w:szCs w:val="18"/>
                    </w:rPr>
                  </w:pPr>
                  <w:r>
                    <w:rPr>
                      <w:sz w:val="18"/>
                      <w:szCs w:val="18"/>
                    </w:rPr>
                    <w:t>相符</w:t>
                  </w:r>
                </w:p>
              </w:tc>
            </w:tr>
            <w:tr w14:paraId="72136F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5" w:type="pct"/>
                  <w:tcBorders>
                    <w:tl2br w:val="nil"/>
                    <w:tr2bl w:val="nil"/>
                  </w:tcBorders>
                  <w:vAlign w:val="center"/>
                </w:tcPr>
                <w:p w14:paraId="7E78D65C">
                  <w:pPr>
                    <w:pStyle w:val="53"/>
                    <w:spacing w:line="240" w:lineRule="auto"/>
                    <w:rPr>
                      <w:sz w:val="18"/>
                      <w:szCs w:val="18"/>
                    </w:rPr>
                  </w:pPr>
                  <w:r>
                    <w:rPr>
                      <w:sz w:val="18"/>
                      <w:szCs w:val="18"/>
                    </w:rPr>
                    <w:t>5</w:t>
                  </w:r>
                </w:p>
              </w:tc>
              <w:tc>
                <w:tcPr>
                  <w:tcW w:w="3098" w:type="pct"/>
                  <w:tcBorders>
                    <w:tl2br w:val="nil"/>
                    <w:tr2bl w:val="nil"/>
                  </w:tcBorders>
                  <w:vAlign w:val="center"/>
                </w:tcPr>
                <w:p w14:paraId="7CC47B1C">
                  <w:pPr>
                    <w:jc w:val="center"/>
                    <w:rPr>
                      <w:sz w:val="18"/>
                      <w:szCs w:val="18"/>
                    </w:rPr>
                  </w:pPr>
                  <w:r>
                    <w:rPr>
                      <w:sz w:val="18"/>
                      <w:szCs w:val="18"/>
                    </w:rPr>
                    <w:t>危险废物环境重点监管单位要在出入口、设施内部、危险废物运输车辆通道等关键位置设置视频监控并与中控室联网，通过设立公开栏、标志牌等方式，主动公开危险废物产生和利用处置等有关信息。</w:t>
                  </w:r>
                </w:p>
              </w:tc>
              <w:tc>
                <w:tcPr>
                  <w:tcW w:w="1339" w:type="pct"/>
                  <w:tcBorders>
                    <w:tl2br w:val="nil"/>
                    <w:tr2bl w:val="nil"/>
                  </w:tcBorders>
                  <w:vAlign w:val="center"/>
                </w:tcPr>
                <w:p w14:paraId="18B3CC66">
                  <w:pPr>
                    <w:jc w:val="center"/>
                    <w:rPr>
                      <w:sz w:val="18"/>
                      <w:szCs w:val="18"/>
                    </w:rPr>
                  </w:pPr>
                  <w:r>
                    <w:rPr>
                      <w:sz w:val="18"/>
                      <w:szCs w:val="18"/>
                    </w:rPr>
                    <w:t>企业在仓库出入口、仓库内、厂门口等关键位置安装视频监控设施，进行实时监控，并与中控室联网。本项目厂区门口设置危废信息公开栏，危废仓库外墙及各类危废贮存处墙面设置贮存设施警示标志牌。</w:t>
                  </w:r>
                </w:p>
              </w:tc>
              <w:tc>
                <w:tcPr>
                  <w:tcW w:w="366" w:type="pct"/>
                  <w:tcBorders>
                    <w:tl2br w:val="nil"/>
                    <w:tr2bl w:val="nil"/>
                  </w:tcBorders>
                  <w:vAlign w:val="center"/>
                </w:tcPr>
                <w:p w14:paraId="44B515D5">
                  <w:pPr>
                    <w:jc w:val="center"/>
                    <w:rPr>
                      <w:sz w:val="18"/>
                      <w:szCs w:val="18"/>
                    </w:rPr>
                  </w:pPr>
                  <w:r>
                    <w:rPr>
                      <w:sz w:val="18"/>
                      <w:szCs w:val="18"/>
                    </w:rPr>
                    <w:t>相符</w:t>
                  </w:r>
                </w:p>
              </w:tc>
            </w:tr>
            <w:tr w14:paraId="46C0A2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5" w:type="pct"/>
                  <w:tcBorders>
                    <w:tl2br w:val="nil"/>
                    <w:tr2bl w:val="nil"/>
                  </w:tcBorders>
                  <w:vAlign w:val="center"/>
                </w:tcPr>
                <w:p w14:paraId="6EB25397">
                  <w:pPr>
                    <w:pStyle w:val="53"/>
                    <w:spacing w:line="240" w:lineRule="auto"/>
                    <w:rPr>
                      <w:sz w:val="18"/>
                      <w:szCs w:val="18"/>
                    </w:rPr>
                  </w:pPr>
                  <w:r>
                    <w:rPr>
                      <w:rFonts w:hint="eastAsia"/>
                      <w:sz w:val="18"/>
                      <w:szCs w:val="18"/>
                    </w:rPr>
                    <w:t>6</w:t>
                  </w:r>
                </w:p>
              </w:tc>
              <w:tc>
                <w:tcPr>
                  <w:tcW w:w="3098" w:type="pct"/>
                  <w:tcBorders>
                    <w:tl2br w:val="nil"/>
                    <w:tr2bl w:val="nil"/>
                  </w:tcBorders>
                  <w:vAlign w:val="center"/>
                </w:tcPr>
                <w:p w14:paraId="4A3DAF08">
                  <w:pPr>
                    <w:jc w:val="center"/>
                    <w:rPr>
                      <w:sz w:val="18"/>
                      <w:szCs w:val="18"/>
                    </w:rPr>
                  </w:pPr>
                  <w:r>
                    <w:rPr>
                      <w:sz w:val="18"/>
                      <w:szCs w:val="18"/>
                    </w:rPr>
                    <w:t>企业需按照《一般工业固体废物管理台账制定指南(试行)》(生态环境部 2021年第 82 号公告)要求，建立一般工业固废台账，污泥、矿渣等同时还需在固废管理信息系统申报，电子台账已有内容，不再另外制作纸质台账。</w:t>
                  </w:r>
                </w:p>
              </w:tc>
              <w:tc>
                <w:tcPr>
                  <w:tcW w:w="1339" w:type="pct"/>
                  <w:tcBorders>
                    <w:tl2br w:val="nil"/>
                    <w:tr2bl w:val="nil"/>
                  </w:tcBorders>
                  <w:vAlign w:val="center"/>
                </w:tcPr>
                <w:p w14:paraId="3B70A464">
                  <w:pPr>
                    <w:jc w:val="center"/>
                    <w:rPr>
                      <w:sz w:val="18"/>
                      <w:szCs w:val="18"/>
                    </w:rPr>
                  </w:pPr>
                  <w:r>
                    <w:rPr>
                      <w:sz w:val="18"/>
                      <w:szCs w:val="18"/>
                    </w:rPr>
                    <w:t>本项目按照《一般工业固体废物管理台账制定指南(试行)》(生态环境部2021 年第 82 号公告)要求，建立一般工业固废台账。</w:t>
                  </w:r>
                </w:p>
              </w:tc>
              <w:tc>
                <w:tcPr>
                  <w:tcW w:w="366" w:type="pct"/>
                  <w:tcBorders>
                    <w:tl2br w:val="nil"/>
                    <w:tr2bl w:val="nil"/>
                  </w:tcBorders>
                  <w:vAlign w:val="center"/>
                </w:tcPr>
                <w:p w14:paraId="6B5F6C0A">
                  <w:pPr>
                    <w:jc w:val="center"/>
                    <w:rPr>
                      <w:sz w:val="18"/>
                      <w:szCs w:val="18"/>
                    </w:rPr>
                  </w:pPr>
                  <w:r>
                    <w:rPr>
                      <w:sz w:val="18"/>
                      <w:szCs w:val="18"/>
                    </w:rPr>
                    <w:t>相符</w:t>
                  </w:r>
                </w:p>
              </w:tc>
            </w:tr>
          </w:tbl>
          <w:p w14:paraId="6715FEFA">
            <w:pPr>
              <w:adjustRightInd w:val="0"/>
              <w:snapToGrid w:val="0"/>
              <w:spacing w:line="360" w:lineRule="auto"/>
              <w:ind w:firstLine="422" w:firstLineChars="200"/>
              <w:rPr>
                <w:b/>
                <w:bCs/>
                <w:szCs w:val="21"/>
              </w:rPr>
            </w:pPr>
            <w:r>
              <w:rPr>
                <w:b/>
                <w:bCs/>
                <w:szCs w:val="21"/>
              </w:rPr>
              <w:t>（8）固废暂存间环境保护图形标志</w:t>
            </w:r>
          </w:p>
          <w:p w14:paraId="51E39B61">
            <w:pPr>
              <w:adjustRightInd w:val="0"/>
              <w:snapToGrid w:val="0"/>
              <w:spacing w:line="360" w:lineRule="auto"/>
              <w:ind w:firstLine="420" w:firstLineChars="200"/>
              <w:rPr>
                <w:szCs w:val="21"/>
              </w:rPr>
            </w:pPr>
            <w:r>
              <w:rPr>
                <w:szCs w:val="21"/>
              </w:rPr>
              <w:t>根据</w:t>
            </w:r>
            <w:r>
              <w:rPr>
                <w:rFonts w:hint="eastAsia"/>
                <w:szCs w:val="21"/>
              </w:rPr>
              <w:t>《</w:t>
            </w:r>
            <w:r>
              <w:rPr>
                <w:szCs w:val="21"/>
              </w:rPr>
              <w:t>危险废物识别标志设置技术规范》（HJ1276-2022）和《省生态环境厅关于做好江苏省危险废物全生命周期监控系统上线运行工作的通知》（苏环办〔2020〕401号）设置环境保护图形标志。</w:t>
            </w:r>
          </w:p>
          <w:p w14:paraId="23CCBAEC">
            <w:pPr>
              <w:widowControl/>
              <w:shd w:val="clear" w:color="auto" w:fill="FFFFFF"/>
              <w:adjustRightInd w:val="0"/>
              <w:snapToGrid w:val="0"/>
              <w:jc w:val="center"/>
              <w:rPr>
                <w:b/>
                <w:bCs/>
                <w:spacing w:val="8"/>
                <w:kern w:val="0"/>
                <w:szCs w:val="21"/>
              </w:rPr>
            </w:pPr>
            <w:r>
              <w:rPr>
                <w:b/>
                <w:bCs/>
                <w:szCs w:val="21"/>
              </w:rPr>
              <w:t>表4-</w:t>
            </w:r>
            <w:r>
              <w:rPr>
                <w:rFonts w:hint="eastAsia"/>
                <w:b/>
                <w:bCs/>
                <w:szCs w:val="21"/>
              </w:rPr>
              <w:t>3</w:t>
            </w:r>
            <w:r>
              <w:rPr>
                <w:rFonts w:hint="eastAsia"/>
                <w:b/>
                <w:bCs/>
                <w:szCs w:val="21"/>
                <w:lang w:val="en-US" w:eastAsia="zh-CN"/>
              </w:rPr>
              <w:t>2</w:t>
            </w:r>
            <w:r>
              <w:rPr>
                <w:b/>
                <w:bCs/>
                <w:spacing w:val="8"/>
                <w:kern w:val="0"/>
                <w:szCs w:val="21"/>
              </w:rPr>
              <w:t>固体废物贮存基本情况表</w:t>
            </w:r>
          </w:p>
          <w:tbl>
            <w:tblPr>
              <w:tblStyle w:val="23"/>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0" w:type="dxa"/>
                <w:bottom w:w="0" w:type="dxa"/>
                <w:right w:w="0" w:type="dxa"/>
              </w:tblCellMar>
            </w:tblPr>
            <w:tblGrid>
              <w:gridCol w:w="5695"/>
              <w:gridCol w:w="3101"/>
            </w:tblGrid>
            <w:tr w14:paraId="41BC756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0" w:type="dxa"/>
                  <w:bottom w:w="0" w:type="dxa"/>
                  <w:right w:w="0" w:type="dxa"/>
                </w:tblCellMar>
              </w:tblPrEx>
              <w:tc>
                <w:tcPr>
                  <w:tcW w:w="5000" w:type="pct"/>
                  <w:gridSpan w:val="2"/>
                </w:tcPr>
                <w:p w14:paraId="002BABAE">
                  <w:pPr>
                    <w:widowControl/>
                    <w:jc w:val="left"/>
                    <w:rPr>
                      <w:b/>
                      <w:bCs/>
                      <w:sz w:val="18"/>
                      <w:szCs w:val="18"/>
                    </w:rPr>
                  </w:pPr>
                  <w:r>
                    <w:rPr>
                      <w:b/>
                      <w:bCs/>
                      <w:sz w:val="18"/>
                      <w:szCs w:val="18"/>
                    </w:rPr>
                    <w:t>危废信息公开：</w:t>
                  </w:r>
                </w:p>
                <w:p w14:paraId="2665F1AD">
                  <w:pPr>
                    <w:widowControl/>
                    <w:jc w:val="left"/>
                    <w:rPr>
                      <w:sz w:val="18"/>
                      <w:szCs w:val="18"/>
                    </w:rPr>
                  </w:pPr>
                  <w:r>
                    <w:rPr>
                      <w:kern w:val="0"/>
                      <w:sz w:val="18"/>
                      <w:szCs w:val="18"/>
                    </w:rPr>
                    <w:t>1.设置位置</w:t>
                  </w:r>
                </w:p>
                <w:p w14:paraId="2FF54DEC">
                  <w:pPr>
                    <w:widowControl/>
                    <w:jc w:val="left"/>
                    <w:rPr>
                      <w:sz w:val="18"/>
                      <w:szCs w:val="18"/>
                    </w:rPr>
                  </w:pPr>
                  <w:r>
                    <w:rPr>
                      <w:kern w:val="0"/>
                      <w:sz w:val="18"/>
                      <w:szCs w:val="18"/>
                    </w:rPr>
                    <w:t>采用立式固定方式固定在危险废物产生单位厂区门口醒目位置，公开栏顶端距离地面200cm处</w:t>
                  </w:r>
                </w:p>
                <w:p w14:paraId="70BB10F3">
                  <w:pPr>
                    <w:widowControl/>
                    <w:jc w:val="left"/>
                    <w:rPr>
                      <w:sz w:val="18"/>
                      <w:szCs w:val="18"/>
                    </w:rPr>
                  </w:pPr>
                  <w:r>
                    <w:rPr>
                      <w:kern w:val="0"/>
                      <w:sz w:val="18"/>
                      <w:szCs w:val="18"/>
                    </w:rPr>
                    <w:t>2.规格参数</w:t>
                  </w:r>
                </w:p>
                <w:p w14:paraId="53863FA6">
                  <w:pPr>
                    <w:widowControl/>
                    <w:jc w:val="left"/>
                    <w:rPr>
                      <w:sz w:val="18"/>
                      <w:szCs w:val="18"/>
                    </w:rPr>
                  </w:pPr>
                  <w:r>
                    <w:rPr>
                      <w:kern w:val="0"/>
                      <w:sz w:val="18"/>
                      <w:szCs w:val="18"/>
                    </w:rPr>
                    <w:t>（1）尺寸：底板120cm×80cm</w:t>
                  </w:r>
                </w:p>
                <w:p w14:paraId="6044A96E">
                  <w:pPr>
                    <w:widowControl/>
                    <w:jc w:val="left"/>
                    <w:rPr>
                      <w:sz w:val="18"/>
                      <w:szCs w:val="18"/>
                    </w:rPr>
                  </w:pPr>
                  <w:r>
                    <w:rPr>
                      <w:kern w:val="0"/>
                      <w:sz w:val="18"/>
                      <w:szCs w:val="18"/>
                    </w:rPr>
                    <w:t>（2）颜色与字体：公开栏底板背景颜色为蓝色</w:t>
                  </w:r>
                  <w:r>
                    <w:rPr>
                      <w:rFonts w:hint="eastAsia"/>
                      <w:kern w:val="0"/>
                      <w:sz w:val="18"/>
                      <w:szCs w:val="18"/>
                    </w:rPr>
                    <w:t>（</w:t>
                  </w:r>
                  <w:r>
                    <w:rPr>
                      <w:kern w:val="0"/>
                      <w:sz w:val="18"/>
                      <w:szCs w:val="18"/>
                    </w:rPr>
                    <w:t>印刷CMYK参数附后，下同</w:t>
                  </w:r>
                  <w:r>
                    <w:rPr>
                      <w:rFonts w:hint="eastAsia"/>
                      <w:kern w:val="0"/>
                      <w:sz w:val="18"/>
                      <w:szCs w:val="18"/>
                    </w:rPr>
                    <w:t>）</w:t>
                  </w:r>
                  <w:r>
                    <w:rPr>
                      <w:kern w:val="0"/>
                      <w:sz w:val="18"/>
                      <w:szCs w:val="18"/>
                    </w:rPr>
                    <w:t>，文字颜色为白色，所有文字字体为黑体</w:t>
                  </w:r>
                </w:p>
                <w:p w14:paraId="4524D0E7">
                  <w:pPr>
                    <w:widowControl/>
                    <w:jc w:val="left"/>
                    <w:rPr>
                      <w:sz w:val="18"/>
                      <w:szCs w:val="18"/>
                    </w:rPr>
                  </w:pPr>
                  <w:r>
                    <w:rPr>
                      <w:kern w:val="0"/>
                      <w:sz w:val="18"/>
                      <w:szCs w:val="18"/>
                    </w:rPr>
                    <w:t>（3）材料：底板采用5mm铝板</w:t>
                  </w:r>
                </w:p>
                <w:p w14:paraId="306F15FF">
                  <w:pPr>
                    <w:widowControl/>
                    <w:jc w:val="left"/>
                    <w:rPr>
                      <w:sz w:val="18"/>
                      <w:szCs w:val="18"/>
                    </w:rPr>
                  </w:pPr>
                  <w:r>
                    <w:rPr>
                      <w:kern w:val="0"/>
                      <w:sz w:val="18"/>
                      <w:szCs w:val="18"/>
                    </w:rPr>
                    <w:t>3.公开内容</w:t>
                  </w:r>
                </w:p>
                <w:p w14:paraId="30AB9694">
                  <w:pPr>
                    <w:widowControl/>
                    <w:adjustRightInd w:val="0"/>
                    <w:snapToGrid w:val="0"/>
                    <w:jc w:val="left"/>
                    <w:rPr>
                      <w:sz w:val="18"/>
                      <w:szCs w:val="18"/>
                    </w:rPr>
                  </w:pPr>
                  <w:r>
                    <w:rPr>
                      <w:kern w:val="0"/>
                      <w:sz w:val="18"/>
                      <w:szCs w:val="18"/>
                    </w:rPr>
                    <w:t>包括企业名称、地址、法人代表及电话、环保负责人及电话、危险废物产生规模、贮存设施建筑面积和容积、贮存设施数量、危险废物名称、危险废物代码、环评批文、产生来源、环境污染防治措施、厂区平面示意图、监督举报途径、监制单位等信息</w:t>
                  </w:r>
                </w:p>
              </w:tc>
            </w:tr>
            <w:tr w14:paraId="4BB88A30">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0" w:type="dxa"/>
                  <w:bottom w:w="0" w:type="dxa"/>
                  <w:right w:w="0" w:type="dxa"/>
                </w:tblCellMar>
              </w:tblPrEx>
              <w:tc>
                <w:tcPr>
                  <w:tcW w:w="5000" w:type="pct"/>
                  <w:gridSpan w:val="2"/>
                </w:tcPr>
                <w:p w14:paraId="75F178E9">
                  <w:pPr>
                    <w:widowControl/>
                    <w:adjustRightInd w:val="0"/>
                    <w:snapToGrid w:val="0"/>
                    <w:jc w:val="center"/>
                    <w:rPr>
                      <w:sz w:val="18"/>
                      <w:szCs w:val="18"/>
                    </w:rPr>
                  </w:pPr>
                  <w:r>
                    <w:rPr>
                      <w:sz w:val="18"/>
                      <w:szCs w:val="18"/>
                    </w:rPr>
                    <w:drawing>
                      <wp:inline distT="0" distB="0" distL="114300" distR="114300">
                        <wp:extent cx="1950085" cy="1302385"/>
                        <wp:effectExtent l="0" t="0" r="12065" b="12065"/>
                        <wp:docPr id="42"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6"/>
                                <pic:cNvPicPr>
                                  <a:picLocks noChangeAspect="1"/>
                                </pic:cNvPicPr>
                              </pic:nvPicPr>
                              <pic:blipFill>
                                <a:blip r:embed="rId49"/>
                                <a:stretch>
                                  <a:fillRect/>
                                </a:stretch>
                              </pic:blipFill>
                              <pic:spPr>
                                <a:xfrm>
                                  <a:off x="0" y="0"/>
                                  <a:ext cx="1950085" cy="1302385"/>
                                </a:xfrm>
                                <a:prstGeom prst="rect">
                                  <a:avLst/>
                                </a:prstGeom>
                                <a:noFill/>
                                <a:ln>
                                  <a:noFill/>
                                </a:ln>
                              </pic:spPr>
                            </pic:pic>
                          </a:graphicData>
                        </a:graphic>
                      </wp:inline>
                    </w:drawing>
                  </w:r>
                </w:p>
              </w:tc>
            </w:tr>
            <w:tr w14:paraId="5522734F">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0" w:type="dxa"/>
                  <w:bottom w:w="0" w:type="dxa"/>
                  <w:right w:w="0" w:type="dxa"/>
                </w:tblCellMar>
              </w:tblPrEx>
              <w:tc>
                <w:tcPr>
                  <w:tcW w:w="5000" w:type="pct"/>
                  <w:gridSpan w:val="2"/>
                  <w:tcBorders>
                    <w:bottom w:val="single" w:color="auto" w:sz="4" w:space="0"/>
                  </w:tcBorders>
                </w:tcPr>
                <w:p w14:paraId="019A43E9">
                  <w:pPr>
                    <w:widowControl/>
                    <w:adjustRightInd w:val="0"/>
                    <w:snapToGrid w:val="0"/>
                    <w:jc w:val="left"/>
                    <w:rPr>
                      <w:b/>
                      <w:bCs/>
                      <w:sz w:val="18"/>
                      <w:szCs w:val="18"/>
                    </w:rPr>
                  </w:pPr>
                  <w:r>
                    <w:rPr>
                      <w:b/>
                      <w:bCs/>
                      <w:sz w:val="18"/>
                      <w:szCs w:val="18"/>
                    </w:rPr>
                    <w:t>危险废物贮存设施标志</w:t>
                  </w:r>
                </w:p>
                <w:p w14:paraId="162BE769">
                  <w:pPr>
                    <w:widowControl/>
                    <w:adjustRightInd w:val="0"/>
                    <w:snapToGrid w:val="0"/>
                    <w:jc w:val="left"/>
                    <w:rPr>
                      <w:sz w:val="18"/>
                      <w:szCs w:val="18"/>
                    </w:rPr>
                  </w:pPr>
                  <w:r>
                    <w:rPr>
                      <w:sz w:val="18"/>
                      <w:szCs w:val="18"/>
                    </w:rPr>
                    <w:t>1.危险废物贮存设施标志颜色：危险废物设施标志背景颜色为黄色，RGB 颜色值为（255,255,0）。字体和边框颜色为黑色，RGB颜色值为（0,0,0）。</w:t>
                  </w:r>
                </w:p>
                <w:p w14:paraId="2D596F9A">
                  <w:pPr>
                    <w:rPr>
                      <w:sz w:val="18"/>
                      <w:szCs w:val="18"/>
                    </w:rPr>
                  </w:pPr>
                  <w:r>
                    <w:rPr>
                      <w:sz w:val="18"/>
                      <w:szCs w:val="18"/>
                    </w:rPr>
                    <w:t>2.危险废物贮存设施标志字体：危险废物设施标志字体应采用黑体字，其中危险废物设施类型的字样应加粗放大并居中显示。</w:t>
                  </w:r>
                </w:p>
                <w:p w14:paraId="5B1B3EB9">
                  <w:pPr>
                    <w:rPr>
                      <w:sz w:val="18"/>
                      <w:szCs w:val="18"/>
                    </w:rPr>
                  </w:pPr>
                  <w:r>
                    <w:rPr>
                      <w:sz w:val="18"/>
                      <w:szCs w:val="18"/>
                    </w:rPr>
                    <w:t>3.危险废物贮存设施标志尺寸：危险废物贮存、利用、处置设施标志的尺寸宜根据其设置位置和对应的观察距离按照《危险废物识别标志设置技术规范》（HJ1276-2022）表3中的要求</w:t>
                  </w:r>
                </w:p>
                <w:p w14:paraId="3F422440">
                  <w:pPr>
                    <w:rPr>
                      <w:sz w:val="18"/>
                      <w:szCs w:val="18"/>
                    </w:rPr>
                  </w:pPr>
                  <w:r>
                    <w:rPr>
                      <w:sz w:val="18"/>
                      <w:szCs w:val="18"/>
                    </w:rPr>
                    <w:t>设置。</w:t>
                  </w:r>
                </w:p>
                <w:p w14:paraId="67756FBB">
                  <w:pPr>
                    <w:rPr>
                      <w:sz w:val="18"/>
                      <w:szCs w:val="18"/>
                    </w:rPr>
                  </w:pPr>
                  <w:r>
                    <w:rPr>
                      <w:sz w:val="18"/>
                      <w:szCs w:val="18"/>
                    </w:rPr>
                    <w:t>4.危险废物贮存设施标志材质：危险废物贮存、利用、处置设施标志宜采用坚固耐用的材料（如1.5mm～2mm 冷轧钢板），并做搪瓷处理或贴膜处理。一般不宜使用遇水变形、变质或易燃的材料。柱式标志牌的立柱可采用38×4无缝钢管或其他坚固耐用的材料，并经过防腐处理。</w:t>
                  </w:r>
                </w:p>
                <w:p w14:paraId="1F4C59E3">
                  <w:pPr>
                    <w:rPr>
                      <w:sz w:val="18"/>
                      <w:szCs w:val="18"/>
                    </w:rPr>
                  </w:pPr>
                  <w:r>
                    <w:rPr>
                      <w:sz w:val="18"/>
                      <w:szCs w:val="18"/>
                    </w:rPr>
                    <w:t>5.危险废物贮存设施标志的印刷</w:t>
                  </w:r>
                </w:p>
                <w:p w14:paraId="4F212418">
                  <w:pPr>
                    <w:rPr>
                      <w:sz w:val="18"/>
                      <w:szCs w:val="18"/>
                    </w:rPr>
                  </w:pPr>
                  <w:r>
                    <w:rPr>
                      <w:sz w:val="18"/>
                      <w:szCs w:val="18"/>
                    </w:rPr>
                    <w:t>危险废物贮存、利用、处置设施标志的图形和文字应清晰、完整，保证在足够的观察距离条件下也不影响阅读。三角形警告性图形与其他信息间宜加黑色分界线区分，分界线的宽度宜不小于3mm。</w:t>
                  </w:r>
                </w:p>
                <w:p w14:paraId="45728343">
                  <w:pPr>
                    <w:rPr>
                      <w:sz w:val="18"/>
                      <w:szCs w:val="18"/>
                    </w:rPr>
                  </w:pPr>
                  <w:r>
                    <w:rPr>
                      <w:sz w:val="18"/>
                      <w:szCs w:val="18"/>
                    </w:rPr>
                    <w:t>6</w:t>
                  </w:r>
                  <w:r>
                    <w:rPr>
                      <w:rFonts w:hint="eastAsia"/>
                      <w:sz w:val="18"/>
                      <w:szCs w:val="18"/>
                    </w:rPr>
                    <w:t>.</w:t>
                  </w:r>
                  <w:r>
                    <w:rPr>
                      <w:sz w:val="18"/>
                      <w:szCs w:val="18"/>
                    </w:rPr>
                    <w:t>危险废物贮存设施标志的外观质量要求危险废物贮存、利用、处置设施的标志牌和立柱无明显变形。标志牌表面无气泡，膜或搪瓷无脱落。图案清晰，色泽一致，没有明显缺损。</w:t>
                  </w:r>
                </w:p>
              </w:tc>
            </w:tr>
            <w:tr w14:paraId="44B2AE35">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0" w:type="dxa"/>
                  <w:bottom w:w="0" w:type="dxa"/>
                  <w:right w:w="0" w:type="dxa"/>
                </w:tblCellMar>
              </w:tblPrEx>
              <w:tc>
                <w:tcPr>
                  <w:tcW w:w="3237" w:type="pct"/>
                  <w:tcBorders>
                    <w:top w:val="single" w:color="auto" w:sz="4" w:space="0"/>
                    <w:left w:val="single" w:color="auto" w:sz="12" w:space="0"/>
                    <w:bottom w:val="single" w:color="auto" w:sz="4" w:space="0"/>
                    <w:right w:val="single" w:color="auto" w:sz="4" w:space="0"/>
                  </w:tcBorders>
                  <w:vAlign w:val="center"/>
                </w:tcPr>
                <w:p w14:paraId="25AE92F7">
                  <w:pPr>
                    <w:widowControl/>
                    <w:adjustRightInd w:val="0"/>
                    <w:snapToGrid w:val="0"/>
                    <w:jc w:val="center"/>
                    <w:rPr>
                      <w:sz w:val="18"/>
                      <w:szCs w:val="18"/>
                    </w:rPr>
                  </w:pPr>
                  <w:r>
                    <w:rPr>
                      <w:sz w:val="18"/>
                      <w:szCs w:val="18"/>
                    </w:rPr>
                    <w:drawing>
                      <wp:inline distT="0" distB="0" distL="114300" distR="114300">
                        <wp:extent cx="2445385" cy="1368425"/>
                        <wp:effectExtent l="0" t="0" r="12065" b="3175"/>
                        <wp:docPr id="4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8"/>
                                <pic:cNvPicPr>
                                  <a:picLocks noChangeAspect="1"/>
                                </pic:cNvPicPr>
                              </pic:nvPicPr>
                              <pic:blipFill>
                                <a:blip r:embed="rId50"/>
                                <a:stretch>
                                  <a:fillRect/>
                                </a:stretch>
                              </pic:blipFill>
                              <pic:spPr>
                                <a:xfrm>
                                  <a:off x="0" y="0"/>
                                  <a:ext cx="2445385" cy="1368425"/>
                                </a:xfrm>
                                <a:prstGeom prst="rect">
                                  <a:avLst/>
                                </a:prstGeom>
                                <a:noFill/>
                                <a:ln>
                                  <a:noFill/>
                                </a:ln>
                              </pic:spPr>
                            </pic:pic>
                          </a:graphicData>
                        </a:graphic>
                      </wp:inline>
                    </w:drawing>
                  </w:r>
                </w:p>
              </w:tc>
              <w:tc>
                <w:tcPr>
                  <w:tcW w:w="1762" w:type="pct"/>
                  <w:tcBorders>
                    <w:top w:val="single" w:color="auto" w:sz="4" w:space="0"/>
                    <w:left w:val="single" w:color="auto" w:sz="4" w:space="0"/>
                    <w:bottom w:val="single" w:color="auto" w:sz="4" w:space="0"/>
                    <w:right w:val="single" w:color="auto" w:sz="12" w:space="0"/>
                  </w:tcBorders>
                  <w:vAlign w:val="center"/>
                </w:tcPr>
                <w:p w14:paraId="3548CB79">
                  <w:pPr>
                    <w:widowControl/>
                    <w:adjustRightInd w:val="0"/>
                    <w:snapToGrid w:val="0"/>
                    <w:jc w:val="center"/>
                    <w:rPr>
                      <w:sz w:val="18"/>
                      <w:szCs w:val="18"/>
                    </w:rPr>
                  </w:pPr>
                  <w:r>
                    <w:rPr>
                      <w:sz w:val="18"/>
                      <w:szCs w:val="18"/>
                    </w:rPr>
                    <w:drawing>
                      <wp:inline distT="0" distB="0" distL="114300" distR="114300">
                        <wp:extent cx="992505" cy="1346200"/>
                        <wp:effectExtent l="0" t="0" r="17145" b="6350"/>
                        <wp:docPr id="44" name="图片 26" descr="167809490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6" descr="1678094900403"/>
                                <pic:cNvPicPr>
                                  <a:picLocks noChangeAspect="1"/>
                                </pic:cNvPicPr>
                              </pic:nvPicPr>
                              <pic:blipFill>
                                <a:blip r:embed="rId51"/>
                                <a:stretch>
                                  <a:fillRect/>
                                </a:stretch>
                              </pic:blipFill>
                              <pic:spPr>
                                <a:xfrm>
                                  <a:off x="0" y="0"/>
                                  <a:ext cx="992505" cy="1346200"/>
                                </a:xfrm>
                                <a:prstGeom prst="rect">
                                  <a:avLst/>
                                </a:prstGeom>
                                <a:noFill/>
                                <a:ln>
                                  <a:noFill/>
                                </a:ln>
                              </pic:spPr>
                            </pic:pic>
                          </a:graphicData>
                        </a:graphic>
                      </wp:inline>
                    </w:drawing>
                  </w:r>
                </w:p>
              </w:tc>
            </w:tr>
            <w:tr w14:paraId="2BA99F85">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0" w:type="dxa"/>
                  <w:bottom w:w="0" w:type="dxa"/>
                  <w:right w:w="0" w:type="dxa"/>
                </w:tblCellMar>
              </w:tblPrEx>
              <w:tc>
                <w:tcPr>
                  <w:tcW w:w="3237" w:type="pct"/>
                  <w:tcBorders>
                    <w:top w:val="single" w:color="auto" w:sz="4" w:space="0"/>
                    <w:left w:val="single" w:color="auto" w:sz="12" w:space="0"/>
                    <w:bottom w:val="single" w:color="auto" w:sz="4" w:space="0"/>
                    <w:right w:val="single" w:color="auto" w:sz="4" w:space="0"/>
                  </w:tcBorders>
                </w:tcPr>
                <w:p w14:paraId="15D20B83">
                  <w:pPr>
                    <w:widowControl/>
                    <w:adjustRightInd w:val="0"/>
                    <w:snapToGrid w:val="0"/>
                    <w:jc w:val="center"/>
                    <w:rPr>
                      <w:sz w:val="18"/>
                      <w:szCs w:val="18"/>
                    </w:rPr>
                  </w:pPr>
                  <w:r>
                    <w:rPr>
                      <w:sz w:val="18"/>
                      <w:szCs w:val="18"/>
                    </w:rPr>
                    <w:t>横版</w:t>
                  </w:r>
                </w:p>
              </w:tc>
              <w:tc>
                <w:tcPr>
                  <w:tcW w:w="1762" w:type="pct"/>
                  <w:tcBorders>
                    <w:top w:val="single" w:color="auto" w:sz="4" w:space="0"/>
                    <w:left w:val="single" w:color="auto" w:sz="4" w:space="0"/>
                    <w:bottom w:val="single" w:color="auto" w:sz="4" w:space="0"/>
                    <w:right w:val="single" w:color="auto" w:sz="12" w:space="0"/>
                  </w:tcBorders>
                </w:tcPr>
                <w:p w14:paraId="3610556A">
                  <w:pPr>
                    <w:widowControl/>
                    <w:adjustRightInd w:val="0"/>
                    <w:snapToGrid w:val="0"/>
                    <w:jc w:val="center"/>
                    <w:rPr>
                      <w:sz w:val="18"/>
                      <w:szCs w:val="18"/>
                    </w:rPr>
                  </w:pPr>
                  <w:r>
                    <w:rPr>
                      <w:sz w:val="18"/>
                      <w:szCs w:val="18"/>
                    </w:rPr>
                    <w:t>竖版</w:t>
                  </w:r>
                </w:p>
              </w:tc>
            </w:tr>
            <w:tr w14:paraId="2644BD71">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0" w:type="dxa"/>
                  <w:bottom w:w="0" w:type="dxa"/>
                  <w:right w:w="0" w:type="dxa"/>
                </w:tblCellMar>
              </w:tblPrEx>
              <w:tc>
                <w:tcPr>
                  <w:tcW w:w="5000" w:type="pct"/>
                  <w:gridSpan w:val="2"/>
                  <w:tcBorders>
                    <w:top w:val="single" w:color="auto" w:sz="4" w:space="0"/>
                  </w:tcBorders>
                </w:tcPr>
                <w:p w14:paraId="25598D41">
                  <w:pPr>
                    <w:rPr>
                      <w:sz w:val="18"/>
                      <w:szCs w:val="18"/>
                    </w:rPr>
                  </w:pPr>
                  <w:r>
                    <w:rPr>
                      <w:sz w:val="18"/>
                      <w:szCs w:val="18"/>
                    </w:rPr>
                    <w:t>危险废物贮存分区标志：</w:t>
                  </w:r>
                </w:p>
                <w:p w14:paraId="778CCB94">
                  <w:pPr>
                    <w:rPr>
                      <w:sz w:val="18"/>
                      <w:szCs w:val="18"/>
                    </w:rPr>
                  </w:pPr>
                  <w:r>
                    <w:rPr>
                      <w:sz w:val="18"/>
                      <w:szCs w:val="18"/>
                    </w:rPr>
                    <w:t>1.危险废物贮存分区标志的颜色：危险废物分区标志背景色应采用黄色，RGB 颜色值为（255,255,0）。废物种类信息应采用醒目的橘黄色，RGB 颜色值为（255,150,0）。字体颜色为黑色，RGB 颜色值为（0,0,0）。</w:t>
                  </w:r>
                </w:p>
                <w:p w14:paraId="6F6AEC37">
                  <w:pPr>
                    <w:rPr>
                      <w:sz w:val="18"/>
                      <w:szCs w:val="18"/>
                    </w:rPr>
                  </w:pPr>
                  <w:r>
                    <w:rPr>
                      <w:sz w:val="18"/>
                      <w:szCs w:val="18"/>
                    </w:rPr>
                    <w:t>2.危险废物贮存分区标志的字体：危险废物分区标志的字体宜采用黑体字，其中“危险废物贮存分区标志”字样应加粗放大并居中显示。</w:t>
                  </w:r>
                </w:p>
                <w:p w14:paraId="73F4F922">
                  <w:pPr>
                    <w:rPr>
                      <w:sz w:val="18"/>
                      <w:szCs w:val="18"/>
                    </w:rPr>
                  </w:pPr>
                  <w:r>
                    <w:rPr>
                      <w:sz w:val="18"/>
                      <w:szCs w:val="18"/>
                    </w:rPr>
                    <w:t>3</w:t>
                  </w:r>
                  <w:r>
                    <w:rPr>
                      <w:rFonts w:hint="eastAsia"/>
                      <w:sz w:val="18"/>
                      <w:szCs w:val="18"/>
                    </w:rPr>
                    <w:t>.</w:t>
                  </w:r>
                  <w:r>
                    <w:rPr>
                      <w:sz w:val="18"/>
                      <w:szCs w:val="18"/>
                    </w:rPr>
                    <w:t>危险废物贮存分区标志的尺寸：危险废物贮存分区标志的尺寸宜根据对应的观察距离按照《危险废物识别标志设置技术规范》（HJ1276-2022）表3中的要求设置。</w:t>
                  </w:r>
                </w:p>
                <w:p w14:paraId="180670A2">
                  <w:pPr>
                    <w:rPr>
                      <w:sz w:val="18"/>
                      <w:szCs w:val="18"/>
                    </w:rPr>
                  </w:pPr>
                  <w:r>
                    <w:rPr>
                      <w:sz w:val="18"/>
                      <w:szCs w:val="18"/>
                    </w:rPr>
                    <w:t>4.危险废物贮存分区标志的材质：危险废物贮存分区标志的衬底宜采用坚固耐用的材料，并具有耐用性和防水性。废物贮存种类信息等可采用印刷纸张、不粘胶材质或塑料卡片等，以便固定在衬底上。</w:t>
                  </w:r>
                </w:p>
                <w:p w14:paraId="4A1BC441">
                  <w:pPr>
                    <w:rPr>
                      <w:sz w:val="18"/>
                      <w:szCs w:val="18"/>
                    </w:rPr>
                  </w:pPr>
                  <w:r>
                    <w:rPr>
                      <w:sz w:val="18"/>
                      <w:szCs w:val="18"/>
                    </w:rPr>
                    <w:t>5.危险废物贮存分区标志的印刷：危险废物贮存分区标志的图形和文字应清晰、完整，保证在足够的观察距离条件下不影响阅读。“危险废物贮存分区标志”字样与其他信息宜加黑色分界线区分，分界线的宽度不小于2mm。</w:t>
                  </w:r>
                </w:p>
              </w:tc>
            </w:tr>
            <w:tr w14:paraId="2E299566">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0" w:type="dxa"/>
                  <w:bottom w:w="0" w:type="dxa"/>
                  <w:right w:w="0" w:type="dxa"/>
                </w:tblCellMar>
              </w:tblPrEx>
              <w:tc>
                <w:tcPr>
                  <w:tcW w:w="5000" w:type="pct"/>
                  <w:gridSpan w:val="2"/>
                </w:tcPr>
                <w:p w14:paraId="36246AFF">
                  <w:pPr>
                    <w:widowControl/>
                    <w:adjustRightInd w:val="0"/>
                    <w:snapToGrid w:val="0"/>
                    <w:jc w:val="center"/>
                    <w:rPr>
                      <w:sz w:val="18"/>
                      <w:szCs w:val="18"/>
                    </w:rPr>
                  </w:pPr>
                  <w:r>
                    <w:rPr>
                      <w:sz w:val="18"/>
                      <w:szCs w:val="18"/>
                    </w:rPr>
                    <w:drawing>
                      <wp:inline distT="0" distB="0" distL="114300" distR="114300">
                        <wp:extent cx="1742440" cy="1356360"/>
                        <wp:effectExtent l="0" t="0" r="10160" b="15240"/>
                        <wp:docPr id="45" name="图片 27" descr="167809476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7" descr="1678094763013"/>
                                <pic:cNvPicPr>
                                  <a:picLocks noChangeAspect="1"/>
                                </pic:cNvPicPr>
                              </pic:nvPicPr>
                              <pic:blipFill>
                                <a:blip r:embed="rId52"/>
                                <a:stretch>
                                  <a:fillRect/>
                                </a:stretch>
                              </pic:blipFill>
                              <pic:spPr>
                                <a:xfrm>
                                  <a:off x="0" y="0"/>
                                  <a:ext cx="1742440" cy="1356360"/>
                                </a:xfrm>
                                <a:prstGeom prst="rect">
                                  <a:avLst/>
                                </a:prstGeom>
                                <a:noFill/>
                                <a:ln>
                                  <a:noFill/>
                                </a:ln>
                              </pic:spPr>
                            </pic:pic>
                          </a:graphicData>
                        </a:graphic>
                      </wp:inline>
                    </w:drawing>
                  </w:r>
                </w:p>
              </w:tc>
            </w:tr>
            <w:tr w14:paraId="2DF02F6B">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0" w:type="dxa"/>
                  <w:bottom w:w="0" w:type="dxa"/>
                  <w:right w:w="0" w:type="dxa"/>
                </w:tblCellMar>
              </w:tblPrEx>
              <w:tc>
                <w:tcPr>
                  <w:tcW w:w="5000" w:type="pct"/>
                  <w:gridSpan w:val="2"/>
                </w:tcPr>
                <w:p w14:paraId="0C553EF4">
                  <w:pPr>
                    <w:rPr>
                      <w:sz w:val="18"/>
                      <w:szCs w:val="18"/>
                    </w:rPr>
                  </w:pPr>
                  <w:r>
                    <w:rPr>
                      <w:sz w:val="18"/>
                      <w:szCs w:val="18"/>
                    </w:rPr>
                    <w:t>危险废物标签：</w:t>
                  </w:r>
                </w:p>
                <w:p w14:paraId="3D5CC266">
                  <w:pPr>
                    <w:rPr>
                      <w:sz w:val="18"/>
                      <w:szCs w:val="18"/>
                    </w:rPr>
                  </w:pPr>
                  <w:r>
                    <w:rPr>
                      <w:sz w:val="18"/>
                      <w:szCs w:val="18"/>
                    </w:rPr>
                    <w:t>1.危险废物标签的颜色：危险废物标签背景色应采用醒目的橘黄色，RGB颜色值为（255,150,0）。标签边框和字体颜色为黑色，RGB 颜色值为（0,0,0）。</w:t>
                  </w:r>
                </w:p>
                <w:p w14:paraId="2A9A9FE4">
                  <w:pPr>
                    <w:rPr>
                      <w:sz w:val="18"/>
                      <w:szCs w:val="18"/>
                    </w:rPr>
                  </w:pPr>
                  <w:r>
                    <w:rPr>
                      <w:sz w:val="18"/>
                      <w:szCs w:val="18"/>
                    </w:rPr>
                    <w:t>2.危险废物标签的字体：危险废物标签字体宜采用黑体字，其中“危险废物”字样应加粗放大。</w:t>
                  </w:r>
                </w:p>
                <w:p w14:paraId="08F4C9B2">
                  <w:pPr>
                    <w:rPr>
                      <w:sz w:val="18"/>
                      <w:szCs w:val="18"/>
                    </w:rPr>
                  </w:pPr>
                  <w:r>
                    <w:rPr>
                      <w:sz w:val="18"/>
                      <w:szCs w:val="18"/>
                    </w:rPr>
                    <w:t>3.危险废物标签尺寸：危险废物标签的尺寸宜根据容器或包装物的容积按照《危险废物识别标志设置技术规范》（HJ1276-2022）表1中的要求设置。</w:t>
                  </w:r>
                </w:p>
                <w:p w14:paraId="31EA594D">
                  <w:pPr>
                    <w:rPr>
                      <w:sz w:val="18"/>
                      <w:szCs w:val="18"/>
                    </w:rPr>
                  </w:pPr>
                  <w:r>
                    <w:rPr>
                      <w:sz w:val="18"/>
                      <w:szCs w:val="18"/>
                    </w:rPr>
                    <w:t>4．危险废物标签的材质：危险废物标签所选用的材质宜具有一定的耐用性和防水性。标签可采用不干胶印刷品，或印刷品外加防水塑料袋或塑封等。</w:t>
                  </w:r>
                </w:p>
                <w:p w14:paraId="0670BC30">
                  <w:pPr>
                    <w:rPr>
                      <w:sz w:val="18"/>
                      <w:szCs w:val="18"/>
                    </w:rPr>
                  </w:pPr>
                  <w:r>
                    <w:rPr>
                      <w:sz w:val="18"/>
                      <w:szCs w:val="18"/>
                    </w:rPr>
                    <w:t>5．危险废物标签的印刷：危险废物标签印刷的油墨应均匀，图案和文字应清晰、完整。危险废物标签的文字边缘宜加黑色边框，边框宽度不小于1mm，边框外宜留不小于3 mm的空白。</w:t>
                  </w:r>
                </w:p>
              </w:tc>
            </w:tr>
            <w:tr w14:paraId="2E9D70CA">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0" w:type="dxa"/>
                  <w:bottom w:w="0" w:type="dxa"/>
                  <w:right w:w="0" w:type="dxa"/>
                </w:tblCellMar>
              </w:tblPrEx>
              <w:tc>
                <w:tcPr>
                  <w:tcW w:w="5000" w:type="pct"/>
                  <w:gridSpan w:val="2"/>
                </w:tcPr>
                <w:p w14:paraId="7257D543">
                  <w:pPr>
                    <w:widowControl/>
                    <w:adjustRightInd w:val="0"/>
                    <w:snapToGrid w:val="0"/>
                    <w:jc w:val="center"/>
                    <w:rPr>
                      <w:sz w:val="18"/>
                      <w:szCs w:val="18"/>
                    </w:rPr>
                  </w:pPr>
                  <w:r>
                    <w:rPr>
                      <w:sz w:val="18"/>
                      <w:szCs w:val="18"/>
                    </w:rPr>
                    <w:drawing>
                      <wp:inline distT="0" distB="0" distL="114300" distR="114300">
                        <wp:extent cx="1826260" cy="1819275"/>
                        <wp:effectExtent l="0" t="0" r="2540" b="9525"/>
                        <wp:docPr id="46" name="图片 28" descr="167809468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8" descr="1678094684141"/>
                                <pic:cNvPicPr>
                                  <a:picLocks noChangeAspect="1"/>
                                </pic:cNvPicPr>
                              </pic:nvPicPr>
                              <pic:blipFill>
                                <a:blip r:embed="rId53"/>
                                <a:stretch>
                                  <a:fillRect/>
                                </a:stretch>
                              </pic:blipFill>
                              <pic:spPr>
                                <a:xfrm>
                                  <a:off x="0" y="0"/>
                                  <a:ext cx="1826260" cy="1819275"/>
                                </a:xfrm>
                                <a:prstGeom prst="rect">
                                  <a:avLst/>
                                </a:prstGeom>
                                <a:noFill/>
                                <a:ln>
                                  <a:noFill/>
                                </a:ln>
                              </pic:spPr>
                            </pic:pic>
                          </a:graphicData>
                        </a:graphic>
                      </wp:inline>
                    </w:drawing>
                  </w:r>
                </w:p>
              </w:tc>
            </w:tr>
            <w:tr w14:paraId="37FA4566">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0" w:type="dxa"/>
                  <w:bottom w:w="0" w:type="dxa"/>
                  <w:right w:w="0" w:type="dxa"/>
                </w:tblCellMar>
              </w:tblPrEx>
              <w:tc>
                <w:tcPr>
                  <w:tcW w:w="5000" w:type="pct"/>
                  <w:gridSpan w:val="2"/>
                </w:tcPr>
                <w:p w14:paraId="68FCBC30">
                  <w:pPr>
                    <w:widowControl/>
                    <w:adjustRightInd w:val="0"/>
                    <w:snapToGrid w:val="0"/>
                    <w:rPr>
                      <w:sz w:val="18"/>
                      <w:szCs w:val="18"/>
                    </w:rPr>
                  </w:pPr>
                  <w:r>
                    <w:rPr>
                      <w:sz w:val="18"/>
                      <w:szCs w:val="18"/>
                    </w:rPr>
                    <w:t>危废产生源标识：</w:t>
                  </w:r>
                </w:p>
                <w:p w14:paraId="42CC703A">
                  <w:pPr>
                    <w:pStyle w:val="4"/>
                    <w:adjustRightInd w:val="0"/>
                    <w:snapToGrid w:val="0"/>
                    <w:spacing w:before="0" w:after="0" w:line="240" w:lineRule="auto"/>
                    <w:jc w:val="center"/>
                    <w:rPr>
                      <w:sz w:val="18"/>
                      <w:szCs w:val="18"/>
                    </w:rPr>
                  </w:pPr>
                  <w:r>
                    <w:rPr>
                      <w:sz w:val="18"/>
                      <w:szCs w:val="18"/>
                    </w:rPr>
                    <w:drawing>
                      <wp:inline distT="0" distB="0" distL="114300" distR="114300">
                        <wp:extent cx="2275205" cy="1219200"/>
                        <wp:effectExtent l="0" t="0" r="10795" b="0"/>
                        <wp:docPr id="47" name="图片 100" descr="ce4bd4cf13b501cec599a2f9cb10c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0" descr="ce4bd4cf13b501cec599a2f9cb10c8f"/>
                                <pic:cNvPicPr>
                                  <a:picLocks noChangeAspect="1"/>
                                </pic:cNvPicPr>
                              </pic:nvPicPr>
                              <pic:blipFill>
                                <a:blip r:embed="rId54"/>
                                <a:stretch>
                                  <a:fillRect/>
                                </a:stretch>
                              </pic:blipFill>
                              <pic:spPr>
                                <a:xfrm>
                                  <a:off x="0" y="0"/>
                                  <a:ext cx="2275205" cy="1219200"/>
                                </a:xfrm>
                                <a:prstGeom prst="rect">
                                  <a:avLst/>
                                </a:prstGeom>
                                <a:noFill/>
                                <a:ln>
                                  <a:noFill/>
                                </a:ln>
                              </pic:spPr>
                            </pic:pic>
                          </a:graphicData>
                        </a:graphic>
                      </wp:inline>
                    </w:drawing>
                  </w:r>
                </w:p>
              </w:tc>
            </w:tr>
          </w:tbl>
          <w:p w14:paraId="17453C37">
            <w:pPr>
              <w:adjustRightInd w:val="0"/>
              <w:snapToGrid w:val="0"/>
              <w:spacing w:line="360" w:lineRule="auto"/>
              <w:ind w:firstLine="422" w:firstLineChars="200"/>
              <w:rPr>
                <w:b/>
                <w:szCs w:val="21"/>
              </w:rPr>
            </w:pPr>
            <w:r>
              <w:rPr>
                <w:b/>
                <w:szCs w:val="21"/>
              </w:rPr>
              <w:t>（9）</w:t>
            </w:r>
            <w:r>
              <w:rPr>
                <w:b/>
                <w:bCs/>
                <w:szCs w:val="21"/>
              </w:rPr>
              <w:t>危险废物</w:t>
            </w:r>
            <w:r>
              <w:rPr>
                <w:b/>
                <w:szCs w:val="21"/>
              </w:rPr>
              <w:t>运输过程的环境影响分析</w:t>
            </w:r>
          </w:p>
          <w:p w14:paraId="5623BB82">
            <w:pPr>
              <w:adjustRightInd w:val="0"/>
              <w:snapToGrid w:val="0"/>
              <w:spacing w:line="360" w:lineRule="auto"/>
              <w:ind w:firstLine="420" w:firstLineChars="200"/>
              <w:rPr>
                <w:szCs w:val="21"/>
              </w:rPr>
            </w:pPr>
            <w:r>
              <w:rPr>
                <w:szCs w:val="21"/>
              </w:rPr>
              <w:t>本项目危险废物委托资质单位进行运输，在运输过程中要采用专用的车辆，密闭运输，严格禁止跑冒滴漏，杜绝在运输过程中造成环境的二次污染，在危险废物的运输中执行</w:t>
            </w:r>
            <w:r>
              <w:rPr>
                <w:rFonts w:hint="eastAsia"/>
                <w:szCs w:val="21"/>
              </w:rPr>
              <w:t>《</w:t>
            </w:r>
            <w:r>
              <w:rPr>
                <w:szCs w:val="21"/>
              </w:rPr>
              <w:t>危险废物转移</w:t>
            </w:r>
            <w:r>
              <w:rPr>
                <w:rFonts w:hint="eastAsia"/>
                <w:szCs w:val="21"/>
              </w:rPr>
              <w:t>管理办法》中</w:t>
            </w:r>
            <w:r>
              <w:rPr>
                <w:szCs w:val="21"/>
              </w:rPr>
              <w:t>有关的规定和要求。</w:t>
            </w:r>
          </w:p>
          <w:p w14:paraId="33DD468A">
            <w:pPr>
              <w:autoSpaceDE w:val="0"/>
              <w:autoSpaceDN w:val="0"/>
              <w:adjustRightInd w:val="0"/>
              <w:snapToGrid w:val="0"/>
              <w:spacing w:line="360" w:lineRule="auto"/>
              <w:ind w:firstLine="420" w:firstLineChars="200"/>
              <w:rPr>
                <w:szCs w:val="21"/>
              </w:rPr>
            </w:pPr>
            <w:r>
              <w:rPr>
                <w:szCs w:val="21"/>
              </w:rPr>
              <w:t>根据《关于做好生态环境和应急管理部门联动工作的意见》（苏环办〔2020〕101号）中对企业的要求：企业法定代表人和实际控制人是企业废弃危险化学品等危险废物安全环保全过程管理的第一责任人，本项目废试剂包装、废活性炭、</w:t>
            </w:r>
            <w:r>
              <w:rPr>
                <w:rFonts w:hint="eastAsia"/>
                <w:szCs w:val="21"/>
              </w:rPr>
              <w:t>废实验耗材袋装储存，</w:t>
            </w:r>
            <w:r>
              <w:rPr>
                <w:rFonts w:hint="eastAsia"/>
                <w:szCs w:val="21"/>
                <w:lang w:eastAsia="zh-CN"/>
              </w:rPr>
              <w:t>实验废液、</w:t>
            </w:r>
            <w:r>
              <w:rPr>
                <w:rFonts w:hint="eastAsia"/>
                <w:szCs w:val="21"/>
                <w:lang w:val="en-US" w:eastAsia="zh-CN"/>
              </w:rPr>
              <w:t>初道</w:t>
            </w:r>
            <w:r>
              <w:rPr>
                <w:rFonts w:hint="eastAsia"/>
                <w:szCs w:val="21"/>
                <w:lang w:eastAsia="zh-CN"/>
              </w:rPr>
              <w:t>清洗废水、喷淋废液</w:t>
            </w:r>
            <w:r>
              <w:rPr>
                <w:rFonts w:hint="eastAsia"/>
                <w:szCs w:val="21"/>
              </w:rPr>
              <w:t>加盖</w:t>
            </w:r>
            <w:r>
              <w:rPr>
                <w:szCs w:val="21"/>
              </w:rPr>
              <w:t>密封存储</w:t>
            </w:r>
            <w:r>
              <w:rPr>
                <w:rFonts w:hint="eastAsia"/>
                <w:szCs w:val="21"/>
              </w:rPr>
              <w:t>，</w:t>
            </w:r>
            <w:r>
              <w:rPr>
                <w:szCs w:val="21"/>
              </w:rPr>
              <w:t>分区贮存在危废仓库，会制定危险废物管理计划并报属地生态环境部门备案。申请备案时对废弃危险化学品、物理危险性尚不明确、根据相关文件无法认定达到稳定化要求的，提供有资质单位出具的化学品物理危险性报告及其他证明材料，认定达到稳定化要求。</w:t>
            </w:r>
          </w:p>
          <w:p w14:paraId="4AE7ED94">
            <w:pPr>
              <w:adjustRightInd w:val="0"/>
              <w:snapToGrid w:val="0"/>
              <w:spacing w:line="360" w:lineRule="auto"/>
              <w:ind w:firstLine="420" w:firstLineChars="200"/>
              <w:rPr>
                <w:b/>
                <w:bCs/>
                <w:szCs w:val="21"/>
              </w:rPr>
            </w:pPr>
            <w:r>
              <w:rPr>
                <w:szCs w:val="21"/>
              </w:rPr>
              <w:t>企业是各类环境治理设施建设、运行、维护、拆除的责任主体。该公司拟对废气处理以及污水处理设施开展安全风险辨识管控，健全内部污染防治设施稳定运行和管理责任制度，严格依据标准规范建设环境治理设施，确保环境治理设施安全、稳定、有效运行。</w:t>
            </w:r>
          </w:p>
          <w:p w14:paraId="3E92319D">
            <w:pPr>
              <w:adjustRightInd w:val="0"/>
              <w:snapToGrid w:val="0"/>
              <w:spacing w:line="360" w:lineRule="auto"/>
              <w:ind w:firstLine="422" w:firstLineChars="200"/>
              <w:rPr>
                <w:szCs w:val="21"/>
              </w:rPr>
            </w:pPr>
            <w:r>
              <w:rPr>
                <w:b/>
                <w:bCs/>
                <w:szCs w:val="21"/>
              </w:rPr>
              <w:t>（10）危险废物的环境管理</w:t>
            </w:r>
          </w:p>
          <w:p w14:paraId="09862EA1">
            <w:pPr>
              <w:autoSpaceDE w:val="0"/>
              <w:autoSpaceDN w:val="0"/>
              <w:adjustRightInd w:val="0"/>
              <w:spacing w:line="360" w:lineRule="auto"/>
              <w:ind w:firstLine="420" w:firstLineChars="200"/>
              <w:rPr>
                <w:szCs w:val="21"/>
              </w:rPr>
            </w:pPr>
            <w:r>
              <w:rPr>
                <w:szCs w:val="21"/>
              </w:rPr>
              <w:t>针对项目正常运行阶段所产生的危险废物的日常管理提出要求：</w:t>
            </w:r>
          </w:p>
          <w:p w14:paraId="7BB77AC0">
            <w:pPr>
              <w:autoSpaceDE w:val="0"/>
              <w:autoSpaceDN w:val="0"/>
              <w:adjustRightInd w:val="0"/>
              <w:spacing w:line="360" w:lineRule="auto"/>
              <w:ind w:firstLine="416" w:firstLineChars="200"/>
              <w:rPr>
                <w:szCs w:val="21"/>
              </w:rPr>
            </w:pPr>
            <w:r>
              <w:rPr>
                <w:rFonts w:hint="eastAsia"/>
                <w:spacing w:val="-1"/>
                <w:szCs w:val="21"/>
              </w:rPr>
              <w:t>①</w:t>
            </w:r>
            <w:r>
              <w:rPr>
                <w:spacing w:val="-1"/>
                <w:szCs w:val="21"/>
              </w:rPr>
              <w:t>建设单位应通过“江苏省污染源‘一企一档’管理”系统</w:t>
            </w:r>
            <w:r>
              <w:rPr>
                <w:szCs w:val="21"/>
              </w:rPr>
              <w:t>进行危险废物申报登记，履行申报登记制度；</w:t>
            </w:r>
          </w:p>
          <w:p w14:paraId="48ED14A8">
            <w:pPr>
              <w:autoSpaceDE w:val="0"/>
              <w:autoSpaceDN w:val="0"/>
              <w:adjustRightInd w:val="0"/>
              <w:spacing w:line="360" w:lineRule="auto"/>
              <w:ind w:firstLine="420" w:firstLineChars="200"/>
              <w:rPr>
                <w:szCs w:val="21"/>
              </w:rPr>
            </w:pPr>
            <w:r>
              <w:rPr>
                <w:rFonts w:hint="eastAsia" w:ascii="宋体" w:hAnsi="宋体" w:cs="宋体"/>
                <w:szCs w:val="21"/>
              </w:rPr>
              <w:t>②</w:t>
            </w:r>
            <w:r>
              <w:rPr>
                <w:spacing w:val="-1"/>
                <w:szCs w:val="21"/>
              </w:rPr>
              <w:t>建设单位</w:t>
            </w:r>
            <w:r>
              <w:rPr>
                <w:szCs w:val="21"/>
              </w:rPr>
              <w:t>须做好危险废物情况的记录，将危险废物的实际产生、贮存、利用、处置等情况纳入生产记录，记录上需注明危险废物的名称、来源、数量、特性和包装容器的类别，建立台账管理制度；</w:t>
            </w:r>
          </w:p>
          <w:p w14:paraId="4A3E4314">
            <w:pPr>
              <w:autoSpaceDE w:val="0"/>
              <w:autoSpaceDN w:val="0"/>
              <w:adjustRightInd w:val="0"/>
              <w:spacing w:line="360" w:lineRule="auto"/>
              <w:ind w:firstLine="420" w:firstLineChars="200"/>
              <w:rPr>
                <w:szCs w:val="21"/>
              </w:rPr>
            </w:pPr>
            <w:r>
              <w:rPr>
                <w:rFonts w:hint="eastAsia" w:ascii="宋体" w:hAnsi="宋体" w:cs="宋体"/>
                <w:szCs w:val="21"/>
              </w:rPr>
              <w:t>③</w:t>
            </w:r>
            <w:r>
              <w:rPr>
                <w:szCs w:val="21"/>
              </w:rPr>
              <w:t>建立危险废物管理台账和企业内部产生和收集、贮存、转移等部门危险废物交接制度，执行危险废物报批和转移联单等制度；</w:t>
            </w:r>
          </w:p>
          <w:p w14:paraId="51A02C22">
            <w:pPr>
              <w:autoSpaceDE w:val="0"/>
              <w:autoSpaceDN w:val="0"/>
              <w:adjustRightInd w:val="0"/>
              <w:spacing w:line="360" w:lineRule="auto"/>
              <w:ind w:firstLine="420" w:firstLineChars="200"/>
              <w:rPr>
                <w:szCs w:val="21"/>
              </w:rPr>
            </w:pPr>
            <w:r>
              <w:rPr>
                <w:rFonts w:hint="eastAsia" w:ascii="宋体" w:hAnsi="宋体" w:cs="宋体"/>
                <w:szCs w:val="21"/>
              </w:rPr>
              <w:t>④</w:t>
            </w:r>
            <w:r>
              <w:rPr>
                <w:szCs w:val="21"/>
              </w:rPr>
              <w:t>定期对暂存的危险废物包装容器及贮存设施进行检查，及早发现破损，及时采取措施清理更换；</w:t>
            </w:r>
          </w:p>
          <w:p w14:paraId="08C9F457">
            <w:pPr>
              <w:autoSpaceDE w:val="0"/>
              <w:autoSpaceDN w:val="0"/>
              <w:adjustRightInd w:val="0"/>
              <w:spacing w:line="360" w:lineRule="auto"/>
              <w:ind w:firstLine="420" w:firstLineChars="200"/>
              <w:rPr>
                <w:szCs w:val="21"/>
              </w:rPr>
            </w:pPr>
            <w:r>
              <w:rPr>
                <w:rFonts w:hint="eastAsia" w:ascii="宋体" w:hAnsi="宋体" w:cs="宋体"/>
                <w:szCs w:val="21"/>
              </w:rPr>
              <w:t>⑤</w:t>
            </w:r>
            <w:r>
              <w:rPr>
                <w:szCs w:val="21"/>
              </w:rPr>
              <w:t>企业为固体废物污染防治的责任主体，应建立风险管理及应急救援体系，执行环境监测计划、转移联单管理制度及国家和省有关转移管理的相关规定、处置过程</w:t>
            </w:r>
            <w:r>
              <w:rPr>
                <w:spacing w:val="-1"/>
                <w:szCs w:val="21"/>
              </w:rPr>
              <w:t>安</w:t>
            </w:r>
            <w:r>
              <w:rPr>
                <w:szCs w:val="21"/>
              </w:rPr>
              <w:t>全操作规程</w:t>
            </w:r>
            <w:r>
              <w:rPr>
                <w:spacing w:val="-36"/>
                <w:szCs w:val="21"/>
              </w:rPr>
              <w:t>、</w:t>
            </w:r>
            <w:r>
              <w:rPr>
                <w:szCs w:val="21"/>
              </w:rPr>
              <w:t>人员培训考核制度</w:t>
            </w:r>
            <w:r>
              <w:rPr>
                <w:spacing w:val="-39"/>
                <w:szCs w:val="21"/>
              </w:rPr>
              <w:t>、</w:t>
            </w:r>
            <w:r>
              <w:rPr>
                <w:spacing w:val="2"/>
                <w:szCs w:val="21"/>
              </w:rPr>
              <w:t>档</w:t>
            </w:r>
            <w:r>
              <w:rPr>
                <w:szCs w:val="21"/>
              </w:rPr>
              <w:t>案管理制度</w:t>
            </w:r>
            <w:r>
              <w:rPr>
                <w:spacing w:val="-39"/>
                <w:szCs w:val="21"/>
              </w:rPr>
              <w:t>、</w:t>
            </w:r>
            <w:r>
              <w:rPr>
                <w:szCs w:val="21"/>
              </w:rPr>
              <w:t>处置全</w:t>
            </w:r>
            <w:r>
              <w:rPr>
                <w:spacing w:val="2"/>
                <w:szCs w:val="21"/>
              </w:rPr>
              <w:t>过</w:t>
            </w:r>
            <w:r>
              <w:rPr>
                <w:szCs w:val="21"/>
              </w:rPr>
              <w:t>程管理制</w:t>
            </w:r>
            <w:r>
              <w:rPr>
                <w:spacing w:val="-1"/>
                <w:szCs w:val="21"/>
              </w:rPr>
              <w:t>度</w:t>
            </w:r>
            <w:r>
              <w:rPr>
                <w:szCs w:val="21"/>
              </w:rPr>
              <w:t>。</w:t>
            </w:r>
          </w:p>
          <w:p w14:paraId="46AF54DE">
            <w:pPr>
              <w:autoSpaceDE w:val="0"/>
              <w:autoSpaceDN w:val="0"/>
              <w:adjustRightInd w:val="0"/>
              <w:spacing w:line="360" w:lineRule="auto"/>
              <w:ind w:firstLine="420" w:firstLineChars="200"/>
              <w:rPr>
                <w:szCs w:val="21"/>
              </w:rPr>
            </w:pPr>
            <w:r>
              <w:rPr>
                <w:rFonts w:hint="eastAsia" w:ascii="宋体" w:hAnsi="宋体" w:cs="宋体"/>
                <w:szCs w:val="21"/>
              </w:rPr>
              <w:t>⑥</w:t>
            </w:r>
            <w:r>
              <w:rPr>
                <w:szCs w:val="21"/>
              </w:rPr>
              <w:t>规范建设危险废物贮存场所并按照要求设置警告标志，危废包装、容器和贮存场所应按照要求张贴标识。</w:t>
            </w:r>
          </w:p>
          <w:p w14:paraId="4F57A961">
            <w:pPr>
              <w:autoSpaceDE w:val="0"/>
              <w:autoSpaceDN w:val="0"/>
              <w:adjustRightInd w:val="0"/>
              <w:spacing w:line="360" w:lineRule="auto"/>
              <w:ind w:firstLine="420" w:firstLineChars="200"/>
              <w:rPr>
                <w:szCs w:val="21"/>
              </w:rPr>
            </w:pPr>
            <w:r>
              <w:rPr>
                <w:rFonts w:hint="eastAsia" w:ascii="宋体" w:hAnsi="宋体" w:cs="宋体"/>
                <w:szCs w:val="21"/>
              </w:rPr>
              <w:t>⑦</w:t>
            </w:r>
            <w:r>
              <w:rPr>
                <w:szCs w:val="21"/>
              </w:rPr>
              <w:t>危废应根据其化学特性选择合适的容器和存放地点，通过密闭容器存放，不可混合贮存，容器标签必须标明废物种类、贮存时间，定期处理。</w:t>
            </w:r>
          </w:p>
          <w:p w14:paraId="7109DB2E">
            <w:pPr>
              <w:autoSpaceDE w:val="0"/>
              <w:autoSpaceDN w:val="0"/>
              <w:adjustRightInd w:val="0"/>
              <w:spacing w:line="360" w:lineRule="auto"/>
              <w:ind w:firstLine="420" w:firstLineChars="200"/>
              <w:rPr>
                <w:szCs w:val="21"/>
              </w:rPr>
            </w:pPr>
            <w:r>
              <w:rPr>
                <w:rFonts w:hint="eastAsia" w:ascii="宋体" w:hAnsi="宋体" w:cs="宋体"/>
                <w:szCs w:val="21"/>
              </w:rPr>
              <w:t>⑧</w:t>
            </w:r>
            <w:r>
              <w:rPr>
                <w:szCs w:val="21"/>
              </w:rPr>
              <w:t>危险废物产生单位在关键位置设置在线视频监控，企业应指定专人专职维护视频监控设施运行，定期巡视并做好相应的监控运行、维修、使用记录，保持摄像头表面整洁干净、监控拍摄位置正确、监控设施完好无损，确保视频传输图像清晰、监控设备正常稳定运行。</w:t>
            </w:r>
          </w:p>
          <w:p w14:paraId="222A77F6">
            <w:pPr>
              <w:autoSpaceDE w:val="0"/>
              <w:autoSpaceDN w:val="0"/>
              <w:adjustRightInd w:val="0"/>
              <w:spacing w:line="360" w:lineRule="auto"/>
              <w:ind w:firstLine="420" w:firstLineChars="200"/>
              <w:rPr>
                <w:szCs w:val="21"/>
              </w:rPr>
            </w:pPr>
            <w:r>
              <w:rPr>
                <w:rFonts w:hint="eastAsia" w:ascii="宋体" w:hAnsi="宋体" w:cs="宋体"/>
                <w:szCs w:val="21"/>
              </w:rPr>
              <w:t>⑨</w:t>
            </w:r>
            <w:r>
              <w:rPr>
                <w:szCs w:val="21"/>
              </w:rPr>
              <w:t>根据《关于开展工业固体废物排污许可管理工作的通知》（环办环评〔2021〕26号），依法将工业固体废物环境管理要求纳入排污许可证。</w:t>
            </w:r>
          </w:p>
          <w:p w14:paraId="5248E2C5">
            <w:pPr>
              <w:adjustRightInd w:val="0"/>
              <w:snapToGrid w:val="0"/>
              <w:spacing w:line="360" w:lineRule="auto"/>
              <w:ind w:firstLine="420" w:firstLineChars="200"/>
              <w:rPr>
                <w:szCs w:val="21"/>
              </w:rPr>
            </w:pPr>
            <w:r>
              <w:rPr>
                <w:szCs w:val="21"/>
              </w:rPr>
              <w:t>综上所述，建设项目产生的固废经上述措施均可得到有效处置，不会造成二次污染，对周边环境影响较小，固废处理措施是可行的。</w:t>
            </w:r>
          </w:p>
          <w:p w14:paraId="51308791">
            <w:pPr>
              <w:widowControl/>
              <w:shd w:val="clear" w:color="auto" w:fill="FFFFFF"/>
              <w:spacing w:line="360" w:lineRule="auto"/>
              <w:ind w:firstLine="454" w:firstLineChars="200"/>
              <w:jc w:val="left"/>
              <w:rPr>
                <w:b/>
                <w:bCs/>
                <w:spacing w:val="8"/>
                <w:kern w:val="0"/>
                <w:szCs w:val="21"/>
              </w:rPr>
            </w:pPr>
            <w:r>
              <w:rPr>
                <w:b/>
                <w:bCs/>
                <w:spacing w:val="8"/>
                <w:kern w:val="0"/>
                <w:szCs w:val="21"/>
              </w:rPr>
              <w:t>5.地下水、土壤</w:t>
            </w:r>
          </w:p>
          <w:p w14:paraId="4DCDA403">
            <w:pPr>
              <w:spacing w:line="360" w:lineRule="auto"/>
              <w:ind w:firstLine="420" w:firstLineChars="200"/>
              <w:rPr>
                <w:szCs w:val="21"/>
              </w:rPr>
            </w:pPr>
            <w:r>
              <w:rPr>
                <w:szCs w:val="21"/>
              </w:rPr>
              <w:t>A.污染源及污染途径分析</w:t>
            </w:r>
          </w:p>
          <w:p w14:paraId="6519D4DD">
            <w:pPr>
              <w:spacing w:line="360" w:lineRule="auto"/>
              <w:ind w:firstLine="420" w:firstLineChars="200"/>
              <w:rPr>
                <w:szCs w:val="21"/>
              </w:rPr>
            </w:pPr>
            <w:r>
              <w:rPr>
                <w:szCs w:val="21"/>
              </w:rPr>
              <w:t>根据对项目生产过程及存储方式等进行分析，本项目污染物能污染地下水的途径主要为液体原料（</w:t>
            </w:r>
            <w:r>
              <w:rPr>
                <w:rFonts w:hint="eastAsia"/>
                <w:szCs w:val="21"/>
              </w:rPr>
              <w:t>实验试剂</w:t>
            </w:r>
            <w:r>
              <w:rPr>
                <w:szCs w:val="21"/>
              </w:rPr>
              <w:t>）、废水、固废的渗漏。主要污染源为</w:t>
            </w:r>
            <w:r>
              <w:rPr>
                <w:rFonts w:hint="eastAsia"/>
                <w:szCs w:val="21"/>
              </w:rPr>
              <w:t>原料</w:t>
            </w:r>
            <w:r>
              <w:rPr>
                <w:szCs w:val="21"/>
              </w:rPr>
              <w:t>仓库、</w:t>
            </w:r>
            <w:r>
              <w:rPr>
                <w:rFonts w:hint="eastAsia"/>
                <w:szCs w:val="21"/>
              </w:rPr>
              <w:t>化粪池、</w:t>
            </w:r>
            <w:r>
              <w:rPr>
                <w:szCs w:val="21"/>
              </w:rPr>
              <w:t>危废仓库。本次环评要求企业在易污染地下水的危废仓库、</w:t>
            </w:r>
            <w:r>
              <w:rPr>
                <w:rFonts w:hint="eastAsia"/>
                <w:szCs w:val="21"/>
              </w:rPr>
              <w:t>试剂室</w:t>
            </w:r>
            <w:r>
              <w:rPr>
                <w:szCs w:val="21"/>
              </w:rPr>
              <w:t>等采取防渗措施。因此，在正常情况下，不会对地下水产生影响。本项目非正常状况主要液态原料泄漏、危废发生泄漏等状况导致污染物渗入地下水的情形。</w:t>
            </w:r>
          </w:p>
          <w:p w14:paraId="2B0810F5">
            <w:pPr>
              <w:spacing w:line="360" w:lineRule="auto"/>
              <w:ind w:firstLine="420" w:firstLineChars="200"/>
              <w:rPr>
                <w:szCs w:val="21"/>
              </w:rPr>
            </w:pPr>
            <w:r>
              <w:rPr>
                <w:szCs w:val="21"/>
              </w:rPr>
              <w:t>B.污染防治措施</w:t>
            </w:r>
          </w:p>
          <w:p w14:paraId="6F7F4557">
            <w:pPr>
              <w:spacing w:line="360" w:lineRule="auto"/>
              <w:ind w:firstLine="420" w:firstLineChars="200"/>
              <w:rPr>
                <w:szCs w:val="21"/>
              </w:rPr>
            </w:pPr>
            <w:r>
              <w:rPr>
                <w:szCs w:val="21"/>
              </w:rPr>
              <w:t>末端控制：分区防控。主要包括厂内污染区地面的防渗措施和泄漏、渗漏污染物收集措施，即在污染区地面进行防渗处理，防止洒落地面的污染物渗入地下，并把滞留在地面的污染物收集起来集中处理，从而避免对地下水的污染。结合项目各生产设备、贮存等因素，根据项目场地天然包气带防污性能、污染控制难易程度和污染物特性对全厂进行分区防控。</w:t>
            </w:r>
          </w:p>
          <w:p w14:paraId="00941F9B">
            <w:pPr>
              <w:spacing w:line="360" w:lineRule="auto"/>
              <w:ind w:firstLine="420" w:firstLineChars="200"/>
              <w:rPr>
                <w:szCs w:val="21"/>
              </w:rPr>
            </w:pPr>
            <w:r>
              <w:rPr>
                <w:szCs w:val="21"/>
              </w:rPr>
              <w:t>本项目地下水污染防渗分区见下表。</w:t>
            </w:r>
          </w:p>
          <w:p w14:paraId="4D8D40AB">
            <w:pPr>
              <w:adjustRightInd w:val="0"/>
              <w:snapToGrid w:val="0"/>
              <w:jc w:val="center"/>
              <w:rPr>
                <w:b/>
                <w:bCs/>
                <w:szCs w:val="21"/>
              </w:rPr>
            </w:pPr>
            <w:r>
              <w:rPr>
                <w:b/>
                <w:bCs/>
                <w:kern w:val="0"/>
                <w:szCs w:val="21"/>
              </w:rPr>
              <w:t>表4-</w:t>
            </w:r>
            <w:r>
              <w:rPr>
                <w:rFonts w:hint="eastAsia"/>
                <w:b/>
                <w:bCs/>
                <w:kern w:val="0"/>
                <w:szCs w:val="21"/>
              </w:rPr>
              <w:t>3</w:t>
            </w:r>
            <w:r>
              <w:rPr>
                <w:rFonts w:hint="eastAsia"/>
                <w:b/>
                <w:bCs/>
                <w:kern w:val="0"/>
                <w:szCs w:val="21"/>
                <w:lang w:val="en-US" w:eastAsia="zh-CN"/>
              </w:rPr>
              <w:t>3</w:t>
            </w:r>
            <w:r>
              <w:rPr>
                <w:b/>
                <w:bCs/>
                <w:szCs w:val="21"/>
              </w:rPr>
              <w:t>项目厂区地下水污染防渗分区</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631"/>
              <w:gridCol w:w="1202"/>
              <w:gridCol w:w="2206"/>
              <w:gridCol w:w="4757"/>
            </w:tblGrid>
            <w:tr w14:paraId="77CF12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46" w:hRule="atLeast"/>
                <w:tblHeader/>
                <w:jc w:val="center"/>
              </w:trPr>
              <w:tc>
                <w:tcPr>
                  <w:tcW w:w="608" w:type="dxa"/>
                  <w:tcMar>
                    <w:top w:w="0" w:type="dxa"/>
                    <w:left w:w="0" w:type="dxa"/>
                    <w:bottom w:w="0" w:type="dxa"/>
                    <w:right w:w="0" w:type="dxa"/>
                  </w:tcMar>
                  <w:vAlign w:val="center"/>
                </w:tcPr>
                <w:p w14:paraId="3EF6C547">
                  <w:pPr>
                    <w:adjustRightInd w:val="0"/>
                    <w:snapToGrid w:val="0"/>
                    <w:jc w:val="center"/>
                    <w:rPr>
                      <w:b/>
                      <w:bCs/>
                      <w:sz w:val="18"/>
                      <w:szCs w:val="18"/>
                    </w:rPr>
                  </w:pPr>
                  <w:r>
                    <w:rPr>
                      <w:b/>
                      <w:bCs/>
                      <w:sz w:val="18"/>
                      <w:szCs w:val="18"/>
                    </w:rPr>
                    <w:t>序号</w:t>
                  </w:r>
                </w:p>
              </w:tc>
              <w:tc>
                <w:tcPr>
                  <w:tcW w:w="1158" w:type="dxa"/>
                  <w:tcMar>
                    <w:top w:w="0" w:type="dxa"/>
                    <w:left w:w="0" w:type="dxa"/>
                    <w:bottom w:w="0" w:type="dxa"/>
                    <w:right w:w="0" w:type="dxa"/>
                  </w:tcMar>
                  <w:vAlign w:val="center"/>
                </w:tcPr>
                <w:p w14:paraId="1BFAFBFA">
                  <w:pPr>
                    <w:adjustRightInd w:val="0"/>
                    <w:snapToGrid w:val="0"/>
                    <w:jc w:val="center"/>
                    <w:rPr>
                      <w:b/>
                      <w:bCs/>
                      <w:sz w:val="18"/>
                      <w:szCs w:val="18"/>
                    </w:rPr>
                  </w:pPr>
                  <w:r>
                    <w:rPr>
                      <w:b/>
                      <w:bCs/>
                      <w:sz w:val="18"/>
                      <w:szCs w:val="18"/>
                    </w:rPr>
                    <w:t>防渗分区</w:t>
                  </w:r>
                </w:p>
              </w:tc>
              <w:tc>
                <w:tcPr>
                  <w:tcW w:w="2126" w:type="dxa"/>
                  <w:tcMar>
                    <w:top w:w="0" w:type="dxa"/>
                    <w:left w:w="0" w:type="dxa"/>
                    <w:bottom w:w="0" w:type="dxa"/>
                    <w:right w:w="0" w:type="dxa"/>
                  </w:tcMar>
                  <w:vAlign w:val="center"/>
                </w:tcPr>
                <w:p w14:paraId="06A16EBB">
                  <w:pPr>
                    <w:adjustRightInd w:val="0"/>
                    <w:snapToGrid w:val="0"/>
                    <w:jc w:val="center"/>
                    <w:rPr>
                      <w:b/>
                      <w:bCs/>
                      <w:sz w:val="18"/>
                      <w:szCs w:val="18"/>
                    </w:rPr>
                  </w:pPr>
                  <w:r>
                    <w:rPr>
                      <w:b/>
                      <w:bCs/>
                      <w:sz w:val="18"/>
                      <w:szCs w:val="18"/>
                    </w:rPr>
                    <w:t>分区位置</w:t>
                  </w:r>
                </w:p>
              </w:tc>
              <w:tc>
                <w:tcPr>
                  <w:tcW w:w="4584" w:type="dxa"/>
                  <w:tcMar>
                    <w:top w:w="0" w:type="dxa"/>
                    <w:left w:w="0" w:type="dxa"/>
                    <w:bottom w:w="0" w:type="dxa"/>
                    <w:right w:w="0" w:type="dxa"/>
                  </w:tcMar>
                  <w:vAlign w:val="center"/>
                </w:tcPr>
                <w:p w14:paraId="7A21A54A">
                  <w:pPr>
                    <w:adjustRightInd w:val="0"/>
                    <w:snapToGrid w:val="0"/>
                    <w:jc w:val="center"/>
                    <w:rPr>
                      <w:b/>
                      <w:bCs/>
                      <w:sz w:val="18"/>
                      <w:szCs w:val="18"/>
                    </w:rPr>
                  </w:pPr>
                  <w:r>
                    <w:rPr>
                      <w:b/>
                      <w:bCs/>
                      <w:sz w:val="18"/>
                      <w:szCs w:val="18"/>
                    </w:rPr>
                    <w:t>防渗技术要求</w:t>
                  </w:r>
                </w:p>
              </w:tc>
            </w:tr>
            <w:tr w14:paraId="672B4C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53" w:hRule="atLeast"/>
                <w:jc w:val="center"/>
              </w:trPr>
              <w:tc>
                <w:tcPr>
                  <w:tcW w:w="608" w:type="dxa"/>
                  <w:vAlign w:val="center"/>
                </w:tcPr>
                <w:p w14:paraId="5DFCF426">
                  <w:pPr>
                    <w:adjustRightInd w:val="0"/>
                    <w:snapToGrid w:val="0"/>
                    <w:jc w:val="center"/>
                    <w:rPr>
                      <w:sz w:val="18"/>
                      <w:szCs w:val="18"/>
                    </w:rPr>
                  </w:pPr>
                  <w:r>
                    <w:rPr>
                      <w:rFonts w:hint="eastAsia"/>
                      <w:sz w:val="18"/>
                      <w:szCs w:val="18"/>
                    </w:rPr>
                    <w:t>1</w:t>
                  </w:r>
                </w:p>
              </w:tc>
              <w:tc>
                <w:tcPr>
                  <w:tcW w:w="1158" w:type="dxa"/>
                  <w:vMerge w:val="restart"/>
                  <w:vAlign w:val="center"/>
                </w:tcPr>
                <w:p w14:paraId="4C2F4539">
                  <w:pPr>
                    <w:adjustRightInd w:val="0"/>
                    <w:snapToGrid w:val="0"/>
                    <w:jc w:val="center"/>
                    <w:rPr>
                      <w:sz w:val="18"/>
                      <w:szCs w:val="18"/>
                    </w:rPr>
                  </w:pPr>
                  <w:r>
                    <w:rPr>
                      <w:sz w:val="18"/>
                      <w:szCs w:val="18"/>
                    </w:rPr>
                    <w:t>一般防渗区</w:t>
                  </w:r>
                </w:p>
              </w:tc>
              <w:tc>
                <w:tcPr>
                  <w:tcW w:w="2126" w:type="dxa"/>
                  <w:vAlign w:val="center"/>
                </w:tcPr>
                <w:p w14:paraId="4C7F795E">
                  <w:pPr>
                    <w:adjustRightInd w:val="0"/>
                    <w:snapToGrid w:val="0"/>
                    <w:jc w:val="center"/>
                    <w:rPr>
                      <w:sz w:val="18"/>
                      <w:szCs w:val="18"/>
                    </w:rPr>
                  </w:pPr>
                  <w:r>
                    <w:rPr>
                      <w:rFonts w:hint="eastAsia"/>
                      <w:sz w:val="18"/>
                      <w:szCs w:val="18"/>
                    </w:rPr>
                    <w:t>试剂室、危废仓库</w:t>
                  </w:r>
                </w:p>
              </w:tc>
              <w:tc>
                <w:tcPr>
                  <w:tcW w:w="4584" w:type="dxa"/>
                  <w:tcMar>
                    <w:top w:w="0" w:type="dxa"/>
                    <w:left w:w="0" w:type="dxa"/>
                    <w:bottom w:w="0" w:type="dxa"/>
                    <w:right w:w="0" w:type="dxa"/>
                  </w:tcMar>
                  <w:vAlign w:val="center"/>
                </w:tcPr>
                <w:p w14:paraId="515FE6EF">
                  <w:pPr>
                    <w:adjustRightInd w:val="0"/>
                    <w:snapToGrid w:val="0"/>
                    <w:jc w:val="center"/>
                    <w:rPr>
                      <w:sz w:val="18"/>
                      <w:szCs w:val="18"/>
                    </w:rPr>
                  </w:pPr>
                  <w:r>
                    <w:rPr>
                      <w:rFonts w:hint="eastAsia"/>
                      <w:sz w:val="18"/>
                      <w:szCs w:val="18"/>
                    </w:rPr>
                    <w:t>裙脚和地面采用环氧地坪防渗处理</w:t>
                  </w:r>
                </w:p>
              </w:tc>
            </w:tr>
            <w:tr w14:paraId="1F3CF1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96" w:hRule="atLeast"/>
                <w:jc w:val="center"/>
              </w:trPr>
              <w:tc>
                <w:tcPr>
                  <w:tcW w:w="608" w:type="dxa"/>
                  <w:vAlign w:val="center"/>
                </w:tcPr>
                <w:p w14:paraId="0317E1AE">
                  <w:pPr>
                    <w:adjustRightInd w:val="0"/>
                    <w:snapToGrid w:val="0"/>
                    <w:jc w:val="center"/>
                    <w:rPr>
                      <w:sz w:val="18"/>
                      <w:szCs w:val="18"/>
                    </w:rPr>
                  </w:pPr>
                  <w:r>
                    <w:rPr>
                      <w:rFonts w:hint="eastAsia"/>
                      <w:sz w:val="18"/>
                      <w:szCs w:val="18"/>
                    </w:rPr>
                    <w:t>2</w:t>
                  </w:r>
                </w:p>
              </w:tc>
              <w:tc>
                <w:tcPr>
                  <w:tcW w:w="1158" w:type="dxa"/>
                  <w:vMerge w:val="continue"/>
                  <w:vAlign w:val="center"/>
                </w:tcPr>
                <w:p w14:paraId="463981D0">
                  <w:pPr>
                    <w:adjustRightInd w:val="0"/>
                    <w:snapToGrid w:val="0"/>
                    <w:jc w:val="center"/>
                    <w:rPr>
                      <w:sz w:val="18"/>
                      <w:szCs w:val="18"/>
                    </w:rPr>
                  </w:pPr>
                </w:p>
              </w:tc>
              <w:tc>
                <w:tcPr>
                  <w:tcW w:w="2126" w:type="dxa"/>
                  <w:vAlign w:val="center"/>
                </w:tcPr>
                <w:p w14:paraId="2735EBD9">
                  <w:pPr>
                    <w:adjustRightInd w:val="0"/>
                    <w:snapToGrid w:val="0"/>
                    <w:jc w:val="center"/>
                    <w:rPr>
                      <w:sz w:val="18"/>
                      <w:szCs w:val="18"/>
                    </w:rPr>
                  </w:pPr>
                  <w:r>
                    <w:rPr>
                      <w:rFonts w:hint="eastAsia"/>
                      <w:sz w:val="18"/>
                      <w:szCs w:val="18"/>
                    </w:rPr>
                    <w:t>事故池、</w:t>
                  </w:r>
                  <w:r>
                    <w:rPr>
                      <w:sz w:val="18"/>
                      <w:szCs w:val="18"/>
                    </w:rPr>
                    <w:t>化粪池、污水输送、收集管道</w:t>
                  </w:r>
                </w:p>
              </w:tc>
              <w:tc>
                <w:tcPr>
                  <w:tcW w:w="4584" w:type="dxa"/>
                  <w:tcMar>
                    <w:top w:w="0" w:type="dxa"/>
                    <w:left w:w="0" w:type="dxa"/>
                    <w:bottom w:w="0" w:type="dxa"/>
                    <w:right w:w="0" w:type="dxa"/>
                  </w:tcMar>
                  <w:vAlign w:val="center"/>
                </w:tcPr>
                <w:p w14:paraId="5AA5A1CC">
                  <w:pPr>
                    <w:adjustRightInd w:val="0"/>
                    <w:snapToGrid w:val="0"/>
                    <w:jc w:val="center"/>
                    <w:rPr>
                      <w:sz w:val="18"/>
                      <w:szCs w:val="18"/>
                    </w:rPr>
                  </w:pPr>
                  <w:r>
                    <w:rPr>
                      <w:rFonts w:hint="eastAsia"/>
                      <w:sz w:val="18"/>
                      <w:szCs w:val="18"/>
                    </w:rPr>
                    <w:t>事故池、</w:t>
                  </w:r>
                  <w:r>
                    <w:rPr>
                      <w:sz w:val="18"/>
                      <w:szCs w:val="18"/>
                    </w:rPr>
                    <w:t>化粪池、污水输送、收集管道</w:t>
                  </w:r>
                  <w:r>
                    <w:rPr>
                      <w:rFonts w:hint="eastAsia"/>
                      <w:sz w:val="18"/>
                      <w:szCs w:val="18"/>
                    </w:rPr>
                    <w:t>依托南通市金宏电化设备有限公司现有设施，池体底部已采用2mm厚聚氯乙烯膜或其他防渗性能等效的材料、内部涂刷环氧树脂或其他防渗性能等效的材料；对废水收集沟渠、管网、阀门严格质量管理，如发现问题，应及时解决。管沟、污水渠与污水集水井相连，已设计不低于5‰的排水坡度，便于废水排至集水井统一处理。工程管道DN500及以上管道均采用钢筋混凝土管，管径小于DN500的管道采用HDPE管。两种管材防水性均较好</w:t>
                  </w:r>
                </w:p>
              </w:tc>
            </w:tr>
            <w:tr w14:paraId="7263FC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71" w:hRule="atLeast"/>
                <w:jc w:val="center"/>
              </w:trPr>
              <w:tc>
                <w:tcPr>
                  <w:tcW w:w="608" w:type="dxa"/>
                  <w:vAlign w:val="center"/>
                </w:tcPr>
                <w:p w14:paraId="00009599">
                  <w:pPr>
                    <w:adjustRightInd w:val="0"/>
                    <w:snapToGrid w:val="0"/>
                    <w:jc w:val="center"/>
                    <w:rPr>
                      <w:sz w:val="18"/>
                      <w:szCs w:val="18"/>
                    </w:rPr>
                  </w:pPr>
                  <w:r>
                    <w:rPr>
                      <w:rFonts w:hint="eastAsia"/>
                      <w:sz w:val="18"/>
                      <w:szCs w:val="18"/>
                    </w:rPr>
                    <w:t>3</w:t>
                  </w:r>
                </w:p>
              </w:tc>
              <w:tc>
                <w:tcPr>
                  <w:tcW w:w="1158" w:type="dxa"/>
                  <w:vAlign w:val="center"/>
                </w:tcPr>
                <w:p w14:paraId="3177C488">
                  <w:pPr>
                    <w:adjustRightInd w:val="0"/>
                    <w:snapToGrid w:val="0"/>
                    <w:jc w:val="center"/>
                    <w:rPr>
                      <w:sz w:val="18"/>
                      <w:szCs w:val="18"/>
                    </w:rPr>
                  </w:pPr>
                  <w:r>
                    <w:rPr>
                      <w:sz w:val="18"/>
                      <w:szCs w:val="18"/>
                    </w:rPr>
                    <w:t>简单防渗区</w:t>
                  </w:r>
                </w:p>
              </w:tc>
              <w:tc>
                <w:tcPr>
                  <w:tcW w:w="2126" w:type="dxa"/>
                  <w:vAlign w:val="center"/>
                </w:tcPr>
                <w:p w14:paraId="5ABB66DA">
                  <w:pPr>
                    <w:adjustRightInd w:val="0"/>
                    <w:snapToGrid w:val="0"/>
                    <w:jc w:val="center"/>
                    <w:rPr>
                      <w:sz w:val="18"/>
                      <w:szCs w:val="18"/>
                    </w:rPr>
                  </w:pPr>
                  <w:r>
                    <w:rPr>
                      <w:sz w:val="18"/>
                      <w:szCs w:val="18"/>
                    </w:rPr>
                    <w:t>生产车间</w:t>
                  </w:r>
                  <w:r>
                    <w:rPr>
                      <w:rFonts w:hint="eastAsia"/>
                      <w:sz w:val="18"/>
                      <w:szCs w:val="18"/>
                    </w:rPr>
                    <w:t>、</w:t>
                  </w:r>
                  <w:r>
                    <w:rPr>
                      <w:sz w:val="18"/>
                      <w:szCs w:val="18"/>
                    </w:rPr>
                    <w:t>办公区</w:t>
                  </w:r>
                </w:p>
              </w:tc>
              <w:tc>
                <w:tcPr>
                  <w:tcW w:w="4584" w:type="dxa"/>
                  <w:vAlign w:val="center"/>
                </w:tcPr>
                <w:p w14:paraId="6265B1D4">
                  <w:pPr>
                    <w:adjustRightInd w:val="0"/>
                    <w:snapToGrid w:val="0"/>
                    <w:jc w:val="center"/>
                    <w:rPr>
                      <w:sz w:val="18"/>
                      <w:szCs w:val="18"/>
                    </w:rPr>
                  </w:pPr>
                  <w:r>
                    <w:rPr>
                      <w:sz w:val="18"/>
                      <w:szCs w:val="18"/>
                    </w:rPr>
                    <w:t>一般地面硬化</w:t>
                  </w:r>
                </w:p>
              </w:tc>
            </w:tr>
          </w:tbl>
          <w:p w14:paraId="00E5A502">
            <w:pPr>
              <w:adjustRightInd w:val="0"/>
              <w:snapToGrid w:val="0"/>
              <w:spacing w:before="120" w:line="360" w:lineRule="auto"/>
              <w:ind w:firstLine="420" w:firstLineChars="200"/>
              <w:rPr>
                <w:b/>
                <w:bCs/>
                <w:spacing w:val="8"/>
                <w:kern w:val="0"/>
                <w:szCs w:val="21"/>
              </w:rPr>
            </w:pPr>
            <w:r>
              <w:rPr>
                <w:szCs w:val="21"/>
              </w:rPr>
              <w:t>项目生活污水收集管道通过地下管廊通至化粪池，地下管廊设置地坑，如发生管道泄漏，通过地坑收集。厂区内的危险废物仓库采用环氧地坪，设置导流槽和收集井。综上，本项目对所在场地的</w:t>
            </w:r>
            <w:r>
              <w:rPr>
                <w:rFonts w:hint="eastAsia"/>
                <w:szCs w:val="21"/>
              </w:rPr>
              <w:t>土壤、</w:t>
            </w:r>
            <w:r>
              <w:rPr>
                <w:szCs w:val="21"/>
              </w:rPr>
              <w:t>地下水环境影响极小。</w:t>
            </w:r>
          </w:p>
          <w:p w14:paraId="04F7E61E">
            <w:pPr>
              <w:widowControl/>
              <w:shd w:val="clear" w:color="auto" w:fill="FFFFFF"/>
              <w:spacing w:line="360" w:lineRule="auto"/>
              <w:ind w:firstLine="454" w:firstLineChars="200"/>
              <w:jc w:val="left"/>
              <w:rPr>
                <w:b/>
                <w:bCs/>
                <w:spacing w:val="8"/>
                <w:kern w:val="0"/>
                <w:szCs w:val="21"/>
              </w:rPr>
            </w:pPr>
            <w:r>
              <w:rPr>
                <w:b/>
                <w:bCs/>
                <w:spacing w:val="8"/>
                <w:kern w:val="0"/>
                <w:szCs w:val="21"/>
              </w:rPr>
              <w:t>6.环境风险</w:t>
            </w:r>
          </w:p>
          <w:p w14:paraId="3543BCB4">
            <w:pPr>
              <w:adjustRightInd w:val="0"/>
              <w:snapToGrid w:val="0"/>
              <w:spacing w:line="360" w:lineRule="auto"/>
              <w:ind w:firstLine="420" w:firstLineChars="200"/>
              <w:rPr>
                <w:szCs w:val="21"/>
              </w:rPr>
            </w:pPr>
            <w:r>
              <w:rPr>
                <w:szCs w:val="21"/>
              </w:rPr>
              <w:t>（1）危险物质识别</w:t>
            </w:r>
          </w:p>
          <w:p w14:paraId="02AB2662">
            <w:pPr>
              <w:adjustRightInd w:val="0"/>
              <w:snapToGrid w:val="0"/>
              <w:spacing w:line="360" w:lineRule="auto"/>
              <w:ind w:firstLine="420" w:firstLineChars="200"/>
              <w:rPr>
                <w:szCs w:val="21"/>
              </w:rPr>
            </w:pPr>
            <w:r>
              <w:rPr>
                <w:szCs w:val="21"/>
              </w:rPr>
              <w:t>参照《建设项目环境风险评价技术导则》（HJ169-2018）附录B，建设项目涉及危险物质及数量见下表。</w:t>
            </w:r>
          </w:p>
          <w:p w14:paraId="13A1F94B">
            <w:pPr>
              <w:adjustRightInd w:val="0"/>
              <w:snapToGrid w:val="0"/>
              <w:jc w:val="center"/>
              <w:rPr>
                <w:b/>
                <w:szCs w:val="21"/>
              </w:rPr>
            </w:pPr>
            <w:r>
              <w:rPr>
                <w:b/>
                <w:szCs w:val="21"/>
              </w:rPr>
              <w:t>表4-</w:t>
            </w:r>
            <w:r>
              <w:rPr>
                <w:rFonts w:hint="eastAsia"/>
                <w:b/>
                <w:szCs w:val="21"/>
              </w:rPr>
              <w:t>3</w:t>
            </w:r>
            <w:r>
              <w:rPr>
                <w:rFonts w:hint="eastAsia"/>
                <w:b/>
                <w:szCs w:val="21"/>
                <w:lang w:val="en-US" w:eastAsia="zh-CN"/>
              </w:rPr>
              <w:t>4</w:t>
            </w:r>
            <w:r>
              <w:rPr>
                <w:b/>
                <w:szCs w:val="21"/>
              </w:rPr>
              <w:t>建设项目涉及危险物质及数量</w:t>
            </w:r>
          </w:p>
          <w:tbl>
            <w:tblPr>
              <w:tblStyle w:val="23"/>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321"/>
              <w:gridCol w:w="1540"/>
              <w:gridCol w:w="1152"/>
              <w:gridCol w:w="1140"/>
              <w:gridCol w:w="1108"/>
              <w:gridCol w:w="1099"/>
              <w:gridCol w:w="1138"/>
              <w:gridCol w:w="1293"/>
            </w:tblGrid>
            <w:tr w14:paraId="013861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3" w:type="pct"/>
                  <w:vAlign w:val="center"/>
                </w:tcPr>
                <w:p w14:paraId="47E56E57">
                  <w:pPr>
                    <w:adjustRightInd w:val="0"/>
                    <w:snapToGrid w:val="0"/>
                    <w:jc w:val="center"/>
                    <w:rPr>
                      <w:b/>
                      <w:sz w:val="18"/>
                      <w:szCs w:val="18"/>
                    </w:rPr>
                  </w:pPr>
                  <w:r>
                    <w:rPr>
                      <w:b/>
                      <w:sz w:val="18"/>
                      <w:szCs w:val="18"/>
                    </w:rPr>
                    <w:t>序号</w:t>
                  </w:r>
                </w:p>
              </w:tc>
              <w:tc>
                <w:tcPr>
                  <w:tcW w:w="876" w:type="pct"/>
                  <w:vAlign w:val="center"/>
                </w:tcPr>
                <w:p w14:paraId="47C6CD02">
                  <w:pPr>
                    <w:adjustRightInd w:val="0"/>
                    <w:snapToGrid w:val="0"/>
                    <w:jc w:val="center"/>
                    <w:rPr>
                      <w:b/>
                      <w:sz w:val="18"/>
                      <w:szCs w:val="18"/>
                    </w:rPr>
                  </w:pPr>
                  <w:r>
                    <w:rPr>
                      <w:b/>
                      <w:sz w:val="18"/>
                      <w:szCs w:val="18"/>
                    </w:rPr>
                    <w:t>名称</w:t>
                  </w:r>
                </w:p>
              </w:tc>
              <w:tc>
                <w:tcPr>
                  <w:tcW w:w="655" w:type="pct"/>
                  <w:vAlign w:val="center"/>
                </w:tcPr>
                <w:p w14:paraId="30B3918E">
                  <w:pPr>
                    <w:adjustRightInd w:val="0"/>
                    <w:snapToGrid w:val="0"/>
                    <w:jc w:val="center"/>
                    <w:rPr>
                      <w:b/>
                      <w:sz w:val="18"/>
                      <w:szCs w:val="18"/>
                    </w:rPr>
                  </w:pPr>
                  <w:r>
                    <w:rPr>
                      <w:b/>
                      <w:sz w:val="18"/>
                      <w:szCs w:val="18"/>
                    </w:rPr>
                    <w:t>年用量/年产生量（</w:t>
                  </w:r>
                  <w:r>
                    <w:rPr>
                      <w:rFonts w:hint="eastAsia"/>
                      <w:b/>
                      <w:sz w:val="18"/>
                      <w:szCs w:val="18"/>
                    </w:rPr>
                    <w:t>t</w:t>
                  </w:r>
                  <w:r>
                    <w:rPr>
                      <w:b/>
                      <w:sz w:val="18"/>
                      <w:szCs w:val="18"/>
                    </w:rPr>
                    <w:t>/</w:t>
                  </w:r>
                  <w:r>
                    <w:rPr>
                      <w:rFonts w:hint="eastAsia"/>
                      <w:b/>
                      <w:sz w:val="18"/>
                      <w:szCs w:val="18"/>
                    </w:rPr>
                    <w:t>a</w:t>
                  </w:r>
                  <w:r>
                    <w:rPr>
                      <w:b/>
                      <w:sz w:val="18"/>
                      <w:szCs w:val="18"/>
                    </w:rPr>
                    <w:t>）</w:t>
                  </w:r>
                </w:p>
              </w:tc>
              <w:tc>
                <w:tcPr>
                  <w:tcW w:w="648" w:type="pct"/>
                  <w:vAlign w:val="center"/>
                </w:tcPr>
                <w:p w14:paraId="73E3C787">
                  <w:pPr>
                    <w:adjustRightInd w:val="0"/>
                    <w:snapToGrid w:val="0"/>
                    <w:jc w:val="center"/>
                    <w:rPr>
                      <w:b/>
                      <w:sz w:val="18"/>
                      <w:szCs w:val="18"/>
                    </w:rPr>
                  </w:pPr>
                  <w:r>
                    <w:rPr>
                      <w:b/>
                      <w:sz w:val="18"/>
                      <w:szCs w:val="18"/>
                    </w:rPr>
                    <w:t>储存方式</w:t>
                  </w:r>
                </w:p>
              </w:tc>
              <w:tc>
                <w:tcPr>
                  <w:tcW w:w="630" w:type="pct"/>
                  <w:vAlign w:val="center"/>
                </w:tcPr>
                <w:p w14:paraId="046A892C">
                  <w:pPr>
                    <w:adjustRightInd w:val="0"/>
                    <w:snapToGrid w:val="0"/>
                    <w:jc w:val="center"/>
                    <w:rPr>
                      <w:b/>
                      <w:sz w:val="18"/>
                      <w:szCs w:val="18"/>
                    </w:rPr>
                  </w:pPr>
                  <w:r>
                    <w:rPr>
                      <w:b/>
                      <w:sz w:val="18"/>
                      <w:szCs w:val="18"/>
                    </w:rPr>
                    <w:t>最大存在量（t）</w:t>
                  </w:r>
                </w:p>
              </w:tc>
              <w:tc>
                <w:tcPr>
                  <w:tcW w:w="623" w:type="pct"/>
                  <w:vAlign w:val="center"/>
                </w:tcPr>
                <w:p w14:paraId="061D0BAB">
                  <w:pPr>
                    <w:adjustRightInd w:val="0"/>
                    <w:snapToGrid w:val="0"/>
                    <w:jc w:val="center"/>
                    <w:rPr>
                      <w:b/>
                      <w:sz w:val="18"/>
                      <w:szCs w:val="18"/>
                    </w:rPr>
                  </w:pPr>
                  <w:r>
                    <w:rPr>
                      <w:b/>
                      <w:sz w:val="18"/>
                      <w:szCs w:val="18"/>
                    </w:rPr>
                    <w:t>临界量</w:t>
                  </w:r>
                </w:p>
                <w:p w14:paraId="235558D1">
                  <w:pPr>
                    <w:adjustRightInd w:val="0"/>
                    <w:snapToGrid w:val="0"/>
                    <w:jc w:val="center"/>
                    <w:rPr>
                      <w:b/>
                      <w:sz w:val="18"/>
                      <w:szCs w:val="18"/>
                    </w:rPr>
                  </w:pPr>
                  <w:r>
                    <w:rPr>
                      <w:b/>
                      <w:sz w:val="18"/>
                      <w:szCs w:val="18"/>
                    </w:rPr>
                    <w:t>（t）</w:t>
                  </w:r>
                </w:p>
              </w:tc>
              <w:tc>
                <w:tcPr>
                  <w:tcW w:w="647" w:type="pct"/>
                  <w:vAlign w:val="center"/>
                </w:tcPr>
                <w:p w14:paraId="1C3D1E86">
                  <w:pPr>
                    <w:adjustRightInd w:val="0"/>
                    <w:snapToGrid w:val="0"/>
                    <w:jc w:val="center"/>
                    <w:rPr>
                      <w:b/>
                      <w:sz w:val="18"/>
                      <w:szCs w:val="18"/>
                    </w:rPr>
                  </w:pPr>
                  <w:r>
                    <w:rPr>
                      <w:b/>
                      <w:sz w:val="18"/>
                      <w:szCs w:val="18"/>
                    </w:rPr>
                    <w:t>q/Q</w:t>
                  </w:r>
                </w:p>
              </w:tc>
              <w:tc>
                <w:tcPr>
                  <w:tcW w:w="735" w:type="pct"/>
                  <w:vAlign w:val="center"/>
                </w:tcPr>
                <w:p w14:paraId="6FC8B0ED">
                  <w:pPr>
                    <w:adjustRightInd w:val="0"/>
                    <w:snapToGrid w:val="0"/>
                    <w:jc w:val="center"/>
                    <w:rPr>
                      <w:b/>
                      <w:sz w:val="18"/>
                      <w:szCs w:val="18"/>
                    </w:rPr>
                  </w:pPr>
                  <w:r>
                    <w:rPr>
                      <w:b/>
                      <w:sz w:val="18"/>
                      <w:szCs w:val="18"/>
                    </w:rPr>
                    <w:t>位置</w:t>
                  </w:r>
                </w:p>
              </w:tc>
            </w:tr>
            <w:tr w14:paraId="00470C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6AFE204F">
                  <w:pPr>
                    <w:adjustRightInd w:val="0"/>
                    <w:snapToGrid w:val="0"/>
                    <w:jc w:val="center"/>
                    <w:rPr>
                      <w:sz w:val="18"/>
                      <w:szCs w:val="18"/>
                    </w:rPr>
                  </w:pPr>
                  <w:r>
                    <w:rPr>
                      <w:sz w:val="18"/>
                      <w:szCs w:val="18"/>
                    </w:rPr>
                    <w:t>1</w:t>
                  </w:r>
                </w:p>
              </w:tc>
              <w:tc>
                <w:tcPr>
                  <w:tcW w:w="876" w:type="pct"/>
                  <w:vAlign w:val="center"/>
                </w:tcPr>
                <w:p w14:paraId="322A59C2">
                  <w:pPr>
                    <w:widowControl/>
                    <w:jc w:val="center"/>
                    <w:textAlignment w:val="center"/>
                    <w:rPr>
                      <w:sz w:val="18"/>
                      <w:szCs w:val="18"/>
                    </w:rPr>
                  </w:pPr>
                  <w:r>
                    <w:rPr>
                      <w:rFonts w:hint="eastAsia" w:ascii="宋体" w:hAnsi="宋体" w:cs="宋体"/>
                      <w:kern w:val="0"/>
                      <w:sz w:val="18"/>
                      <w:szCs w:val="18"/>
                      <w:lang w:bidi="ar"/>
                    </w:rPr>
                    <w:t>氨水</w:t>
                  </w:r>
                </w:p>
              </w:tc>
              <w:tc>
                <w:tcPr>
                  <w:tcW w:w="655" w:type="pct"/>
                  <w:vAlign w:val="center"/>
                </w:tcPr>
                <w:p w14:paraId="1DC22B70">
                  <w:pPr>
                    <w:widowControl/>
                    <w:jc w:val="center"/>
                    <w:textAlignment w:val="center"/>
                    <w:rPr>
                      <w:sz w:val="18"/>
                      <w:szCs w:val="18"/>
                    </w:rPr>
                  </w:pPr>
                  <w:r>
                    <w:rPr>
                      <w:kern w:val="0"/>
                      <w:sz w:val="18"/>
                      <w:szCs w:val="18"/>
                      <w:lang w:bidi="ar"/>
                    </w:rPr>
                    <w:t>0.0455</w:t>
                  </w:r>
                </w:p>
              </w:tc>
              <w:tc>
                <w:tcPr>
                  <w:tcW w:w="648" w:type="pct"/>
                  <w:vAlign w:val="center"/>
                </w:tcPr>
                <w:p w14:paraId="3D0937DC">
                  <w:pPr>
                    <w:widowControl/>
                    <w:jc w:val="center"/>
                    <w:textAlignment w:val="center"/>
                    <w:rPr>
                      <w:bCs/>
                      <w:sz w:val="18"/>
                      <w:szCs w:val="18"/>
                    </w:rPr>
                  </w:pPr>
                  <w:r>
                    <w:rPr>
                      <w:rFonts w:hint="eastAsia" w:ascii="宋体" w:hAnsi="宋体" w:cs="宋体"/>
                      <w:kern w:val="0"/>
                      <w:sz w:val="18"/>
                      <w:szCs w:val="18"/>
                      <w:lang w:bidi="ar"/>
                    </w:rPr>
                    <w:t>瓶装</w:t>
                  </w:r>
                </w:p>
              </w:tc>
              <w:tc>
                <w:tcPr>
                  <w:tcW w:w="630" w:type="pct"/>
                  <w:vAlign w:val="center"/>
                </w:tcPr>
                <w:p w14:paraId="25B0DA66">
                  <w:pPr>
                    <w:widowControl/>
                    <w:jc w:val="center"/>
                    <w:textAlignment w:val="center"/>
                    <w:rPr>
                      <w:kern w:val="0"/>
                      <w:sz w:val="18"/>
                      <w:szCs w:val="18"/>
                    </w:rPr>
                  </w:pPr>
                  <w:r>
                    <w:rPr>
                      <w:kern w:val="0"/>
                      <w:sz w:val="18"/>
                      <w:szCs w:val="18"/>
                      <w:lang w:bidi="ar"/>
                    </w:rPr>
                    <w:t>0.001</w:t>
                  </w:r>
                </w:p>
              </w:tc>
              <w:tc>
                <w:tcPr>
                  <w:tcW w:w="623" w:type="pct"/>
                  <w:vAlign w:val="center"/>
                </w:tcPr>
                <w:p w14:paraId="0CB74EFA">
                  <w:pPr>
                    <w:widowControl/>
                    <w:jc w:val="center"/>
                    <w:textAlignment w:val="center"/>
                    <w:rPr>
                      <w:sz w:val="18"/>
                      <w:szCs w:val="18"/>
                    </w:rPr>
                  </w:pPr>
                  <w:r>
                    <w:rPr>
                      <w:kern w:val="0"/>
                      <w:sz w:val="18"/>
                      <w:szCs w:val="18"/>
                      <w:lang w:bidi="ar"/>
                    </w:rPr>
                    <w:t>10</w:t>
                  </w:r>
                </w:p>
              </w:tc>
              <w:tc>
                <w:tcPr>
                  <w:tcW w:w="647" w:type="pct"/>
                  <w:vAlign w:val="center"/>
                </w:tcPr>
                <w:p w14:paraId="6F5D9114">
                  <w:pPr>
                    <w:widowControl/>
                    <w:jc w:val="center"/>
                    <w:textAlignment w:val="center"/>
                    <w:rPr>
                      <w:rFonts w:eastAsia="等线"/>
                      <w:sz w:val="18"/>
                      <w:szCs w:val="18"/>
                    </w:rPr>
                  </w:pPr>
                  <w:r>
                    <w:rPr>
                      <w:kern w:val="0"/>
                      <w:sz w:val="18"/>
                      <w:szCs w:val="18"/>
                      <w:lang w:bidi="ar"/>
                    </w:rPr>
                    <w:t>0.0001</w:t>
                  </w:r>
                </w:p>
              </w:tc>
              <w:tc>
                <w:tcPr>
                  <w:tcW w:w="735" w:type="pct"/>
                  <w:vMerge w:val="restart"/>
                  <w:vAlign w:val="center"/>
                </w:tcPr>
                <w:p w14:paraId="7393984F">
                  <w:pPr>
                    <w:adjustRightInd w:val="0"/>
                    <w:snapToGrid w:val="0"/>
                    <w:jc w:val="center"/>
                    <w:rPr>
                      <w:bCs/>
                      <w:sz w:val="18"/>
                      <w:szCs w:val="18"/>
                    </w:rPr>
                  </w:pPr>
                  <w:r>
                    <w:rPr>
                      <w:rFonts w:hint="eastAsia"/>
                      <w:bCs/>
                      <w:sz w:val="18"/>
                      <w:szCs w:val="18"/>
                    </w:rPr>
                    <w:t>试剂室</w:t>
                  </w:r>
                </w:p>
              </w:tc>
            </w:tr>
            <w:tr w14:paraId="3E1384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40AC0A52">
                  <w:pPr>
                    <w:adjustRightInd w:val="0"/>
                    <w:snapToGrid w:val="0"/>
                    <w:jc w:val="center"/>
                    <w:rPr>
                      <w:sz w:val="18"/>
                      <w:szCs w:val="18"/>
                    </w:rPr>
                  </w:pPr>
                  <w:r>
                    <w:rPr>
                      <w:rFonts w:hint="eastAsia"/>
                      <w:sz w:val="18"/>
                      <w:szCs w:val="18"/>
                    </w:rPr>
                    <w:t>2</w:t>
                  </w:r>
                </w:p>
              </w:tc>
              <w:tc>
                <w:tcPr>
                  <w:tcW w:w="876" w:type="pct"/>
                  <w:vAlign w:val="center"/>
                </w:tcPr>
                <w:p w14:paraId="2314C70E">
                  <w:pPr>
                    <w:widowControl/>
                    <w:jc w:val="center"/>
                    <w:textAlignment w:val="center"/>
                    <w:rPr>
                      <w:sz w:val="18"/>
                      <w:szCs w:val="18"/>
                    </w:rPr>
                  </w:pPr>
                  <w:r>
                    <w:rPr>
                      <w:rFonts w:hint="eastAsia" w:ascii="宋体" w:hAnsi="宋体" w:cs="宋体"/>
                      <w:kern w:val="0"/>
                      <w:sz w:val="18"/>
                      <w:szCs w:val="18"/>
                      <w:lang w:bidi="ar"/>
                    </w:rPr>
                    <w:t>醋酸</w:t>
                  </w:r>
                </w:p>
              </w:tc>
              <w:tc>
                <w:tcPr>
                  <w:tcW w:w="655" w:type="pct"/>
                  <w:vAlign w:val="center"/>
                </w:tcPr>
                <w:p w14:paraId="6F252F16">
                  <w:pPr>
                    <w:widowControl/>
                    <w:jc w:val="center"/>
                    <w:textAlignment w:val="center"/>
                    <w:rPr>
                      <w:sz w:val="18"/>
                      <w:szCs w:val="18"/>
                    </w:rPr>
                  </w:pPr>
                  <w:r>
                    <w:rPr>
                      <w:kern w:val="0"/>
                      <w:sz w:val="18"/>
                      <w:szCs w:val="18"/>
                      <w:lang w:bidi="ar"/>
                    </w:rPr>
                    <w:t>0.0315</w:t>
                  </w:r>
                </w:p>
              </w:tc>
              <w:tc>
                <w:tcPr>
                  <w:tcW w:w="648" w:type="pct"/>
                  <w:vAlign w:val="center"/>
                </w:tcPr>
                <w:p w14:paraId="008C5861">
                  <w:pPr>
                    <w:widowControl/>
                    <w:jc w:val="center"/>
                    <w:textAlignment w:val="center"/>
                    <w:rPr>
                      <w:bCs/>
                      <w:sz w:val="18"/>
                      <w:szCs w:val="18"/>
                    </w:rPr>
                  </w:pPr>
                  <w:r>
                    <w:rPr>
                      <w:rFonts w:hint="eastAsia" w:ascii="宋体" w:hAnsi="宋体" w:cs="宋体"/>
                      <w:kern w:val="0"/>
                      <w:sz w:val="18"/>
                      <w:szCs w:val="18"/>
                      <w:lang w:bidi="ar"/>
                    </w:rPr>
                    <w:t>瓶装</w:t>
                  </w:r>
                </w:p>
              </w:tc>
              <w:tc>
                <w:tcPr>
                  <w:tcW w:w="630" w:type="pct"/>
                  <w:vAlign w:val="center"/>
                </w:tcPr>
                <w:p w14:paraId="23273E9B">
                  <w:pPr>
                    <w:widowControl/>
                    <w:jc w:val="center"/>
                    <w:textAlignment w:val="center"/>
                    <w:rPr>
                      <w:kern w:val="0"/>
                      <w:sz w:val="18"/>
                      <w:szCs w:val="18"/>
                    </w:rPr>
                  </w:pPr>
                  <w:r>
                    <w:rPr>
                      <w:kern w:val="0"/>
                      <w:sz w:val="18"/>
                      <w:szCs w:val="18"/>
                      <w:lang w:bidi="ar"/>
                    </w:rPr>
                    <w:t>0.002</w:t>
                  </w:r>
                </w:p>
              </w:tc>
              <w:tc>
                <w:tcPr>
                  <w:tcW w:w="623" w:type="pct"/>
                  <w:vAlign w:val="center"/>
                </w:tcPr>
                <w:p w14:paraId="33999115">
                  <w:pPr>
                    <w:widowControl/>
                    <w:jc w:val="center"/>
                    <w:textAlignment w:val="center"/>
                    <w:rPr>
                      <w:sz w:val="18"/>
                      <w:szCs w:val="18"/>
                    </w:rPr>
                  </w:pPr>
                  <w:r>
                    <w:rPr>
                      <w:kern w:val="0"/>
                      <w:sz w:val="18"/>
                      <w:szCs w:val="18"/>
                      <w:lang w:bidi="ar"/>
                    </w:rPr>
                    <w:t>10</w:t>
                  </w:r>
                </w:p>
              </w:tc>
              <w:tc>
                <w:tcPr>
                  <w:tcW w:w="647" w:type="pct"/>
                  <w:vAlign w:val="center"/>
                </w:tcPr>
                <w:p w14:paraId="255FB0A1">
                  <w:pPr>
                    <w:widowControl/>
                    <w:jc w:val="center"/>
                    <w:textAlignment w:val="center"/>
                    <w:rPr>
                      <w:rFonts w:eastAsia="等线"/>
                      <w:sz w:val="18"/>
                      <w:szCs w:val="18"/>
                    </w:rPr>
                  </w:pPr>
                  <w:r>
                    <w:rPr>
                      <w:kern w:val="0"/>
                      <w:sz w:val="18"/>
                      <w:szCs w:val="18"/>
                      <w:lang w:bidi="ar"/>
                    </w:rPr>
                    <w:t>0.0002</w:t>
                  </w:r>
                </w:p>
              </w:tc>
              <w:tc>
                <w:tcPr>
                  <w:tcW w:w="735" w:type="pct"/>
                  <w:vMerge w:val="continue"/>
                  <w:vAlign w:val="center"/>
                </w:tcPr>
                <w:p w14:paraId="6307D216">
                  <w:pPr>
                    <w:adjustRightInd w:val="0"/>
                    <w:snapToGrid w:val="0"/>
                    <w:jc w:val="center"/>
                    <w:rPr>
                      <w:bCs/>
                      <w:sz w:val="18"/>
                      <w:szCs w:val="18"/>
                    </w:rPr>
                  </w:pPr>
                </w:p>
              </w:tc>
            </w:tr>
            <w:tr w14:paraId="1D4206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0DBCBD3D">
                  <w:pPr>
                    <w:adjustRightInd w:val="0"/>
                    <w:snapToGrid w:val="0"/>
                    <w:jc w:val="center"/>
                    <w:rPr>
                      <w:sz w:val="18"/>
                      <w:szCs w:val="18"/>
                    </w:rPr>
                  </w:pPr>
                  <w:r>
                    <w:rPr>
                      <w:rFonts w:hint="eastAsia"/>
                      <w:sz w:val="18"/>
                      <w:szCs w:val="18"/>
                    </w:rPr>
                    <w:t>3</w:t>
                  </w:r>
                </w:p>
              </w:tc>
              <w:tc>
                <w:tcPr>
                  <w:tcW w:w="876" w:type="pct"/>
                  <w:vAlign w:val="center"/>
                </w:tcPr>
                <w:p w14:paraId="1CB48595">
                  <w:pPr>
                    <w:widowControl/>
                    <w:jc w:val="center"/>
                    <w:textAlignment w:val="center"/>
                    <w:rPr>
                      <w:sz w:val="18"/>
                      <w:szCs w:val="18"/>
                    </w:rPr>
                  </w:pPr>
                  <w:r>
                    <w:rPr>
                      <w:rFonts w:hint="eastAsia" w:ascii="宋体" w:hAnsi="宋体" w:cs="宋体"/>
                      <w:kern w:val="0"/>
                      <w:sz w:val="18"/>
                      <w:szCs w:val="18"/>
                      <w:lang w:bidi="ar"/>
                    </w:rPr>
                    <w:t>铬酸钾</w:t>
                  </w:r>
                </w:p>
              </w:tc>
              <w:tc>
                <w:tcPr>
                  <w:tcW w:w="655" w:type="pct"/>
                  <w:vAlign w:val="center"/>
                </w:tcPr>
                <w:p w14:paraId="5475765A">
                  <w:pPr>
                    <w:widowControl/>
                    <w:jc w:val="center"/>
                    <w:textAlignment w:val="center"/>
                    <w:rPr>
                      <w:sz w:val="18"/>
                      <w:szCs w:val="18"/>
                    </w:rPr>
                  </w:pPr>
                  <w:r>
                    <w:rPr>
                      <w:kern w:val="0"/>
                      <w:sz w:val="18"/>
                      <w:szCs w:val="18"/>
                      <w:lang w:bidi="ar"/>
                    </w:rPr>
                    <w:t>0.0005</w:t>
                  </w:r>
                </w:p>
              </w:tc>
              <w:tc>
                <w:tcPr>
                  <w:tcW w:w="648" w:type="pct"/>
                  <w:vAlign w:val="center"/>
                </w:tcPr>
                <w:p w14:paraId="394A30A4">
                  <w:pPr>
                    <w:widowControl/>
                    <w:jc w:val="center"/>
                    <w:textAlignment w:val="center"/>
                    <w:rPr>
                      <w:bCs/>
                      <w:sz w:val="18"/>
                      <w:szCs w:val="18"/>
                    </w:rPr>
                  </w:pPr>
                  <w:r>
                    <w:rPr>
                      <w:rFonts w:hint="eastAsia" w:ascii="宋体" w:hAnsi="宋体" w:cs="宋体"/>
                      <w:kern w:val="0"/>
                      <w:sz w:val="18"/>
                      <w:szCs w:val="18"/>
                      <w:lang w:bidi="ar"/>
                    </w:rPr>
                    <w:t>瓶装</w:t>
                  </w:r>
                </w:p>
              </w:tc>
              <w:tc>
                <w:tcPr>
                  <w:tcW w:w="630" w:type="pct"/>
                  <w:vAlign w:val="center"/>
                </w:tcPr>
                <w:p w14:paraId="6E38C42A">
                  <w:pPr>
                    <w:widowControl/>
                    <w:jc w:val="center"/>
                    <w:textAlignment w:val="center"/>
                    <w:rPr>
                      <w:kern w:val="0"/>
                      <w:sz w:val="18"/>
                      <w:szCs w:val="18"/>
                    </w:rPr>
                  </w:pPr>
                  <w:r>
                    <w:rPr>
                      <w:kern w:val="0"/>
                      <w:sz w:val="18"/>
                      <w:szCs w:val="18"/>
                      <w:lang w:bidi="ar"/>
                    </w:rPr>
                    <w:t>0.0005</w:t>
                  </w:r>
                </w:p>
              </w:tc>
              <w:tc>
                <w:tcPr>
                  <w:tcW w:w="623" w:type="pct"/>
                  <w:vAlign w:val="center"/>
                </w:tcPr>
                <w:p w14:paraId="12CA6F21">
                  <w:pPr>
                    <w:widowControl/>
                    <w:jc w:val="center"/>
                    <w:textAlignment w:val="center"/>
                    <w:rPr>
                      <w:sz w:val="18"/>
                      <w:szCs w:val="18"/>
                    </w:rPr>
                  </w:pPr>
                  <w:r>
                    <w:rPr>
                      <w:kern w:val="0"/>
                      <w:sz w:val="18"/>
                      <w:szCs w:val="18"/>
                      <w:lang w:bidi="ar"/>
                    </w:rPr>
                    <w:t>0.25</w:t>
                  </w:r>
                </w:p>
              </w:tc>
              <w:tc>
                <w:tcPr>
                  <w:tcW w:w="647" w:type="pct"/>
                  <w:vAlign w:val="center"/>
                </w:tcPr>
                <w:p w14:paraId="7B15FFCE">
                  <w:pPr>
                    <w:widowControl/>
                    <w:jc w:val="center"/>
                    <w:textAlignment w:val="center"/>
                    <w:rPr>
                      <w:rFonts w:eastAsia="等线"/>
                      <w:sz w:val="18"/>
                      <w:szCs w:val="18"/>
                    </w:rPr>
                  </w:pPr>
                  <w:r>
                    <w:rPr>
                      <w:kern w:val="0"/>
                      <w:sz w:val="18"/>
                      <w:szCs w:val="18"/>
                      <w:lang w:bidi="ar"/>
                    </w:rPr>
                    <w:t>0.002</w:t>
                  </w:r>
                </w:p>
              </w:tc>
              <w:tc>
                <w:tcPr>
                  <w:tcW w:w="735" w:type="pct"/>
                  <w:vMerge w:val="continue"/>
                  <w:vAlign w:val="center"/>
                </w:tcPr>
                <w:p w14:paraId="1603723B">
                  <w:pPr>
                    <w:adjustRightInd w:val="0"/>
                    <w:snapToGrid w:val="0"/>
                    <w:jc w:val="center"/>
                    <w:rPr>
                      <w:bCs/>
                      <w:sz w:val="18"/>
                      <w:szCs w:val="18"/>
                    </w:rPr>
                  </w:pPr>
                </w:p>
              </w:tc>
            </w:tr>
            <w:tr w14:paraId="4520C2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0903C1CD">
                  <w:pPr>
                    <w:adjustRightInd w:val="0"/>
                    <w:snapToGrid w:val="0"/>
                    <w:jc w:val="center"/>
                    <w:rPr>
                      <w:sz w:val="18"/>
                      <w:szCs w:val="18"/>
                    </w:rPr>
                  </w:pPr>
                  <w:r>
                    <w:rPr>
                      <w:rFonts w:hint="eastAsia"/>
                      <w:sz w:val="18"/>
                      <w:szCs w:val="18"/>
                    </w:rPr>
                    <w:t>4</w:t>
                  </w:r>
                </w:p>
              </w:tc>
              <w:tc>
                <w:tcPr>
                  <w:tcW w:w="876" w:type="pct"/>
                  <w:shd w:val="clear" w:color="auto" w:fill="auto"/>
                  <w:vAlign w:val="center"/>
                </w:tcPr>
                <w:p w14:paraId="702E7B02">
                  <w:pPr>
                    <w:widowControl/>
                    <w:jc w:val="center"/>
                    <w:textAlignment w:val="center"/>
                    <w:rPr>
                      <w:rFonts w:ascii="Times New Roman" w:hAnsi="Times New Roman" w:eastAsia="宋体" w:cs="Times New Roman"/>
                      <w:kern w:val="2"/>
                      <w:sz w:val="18"/>
                      <w:szCs w:val="18"/>
                      <w:lang w:val="en-US" w:eastAsia="zh-CN" w:bidi="ar-SA"/>
                    </w:rPr>
                  </w:pPr>
                  <w:r>
                    <w:rPr>
                      <w:rFonts w:hint="eastAsia" w:ascii="宋体" w:hAnsi="宋体" w:cs="宋体"/>
                      <w:kern w:val="0"/>
                      <w:sz w:val="18"/>
                      <w:szCs w:val="18"/>
                      <w:lang w:bidi="ar"/>
                    </w:rPr>
                    <w:t>氯化镍</w:t>
                  </w:r>
                  <w:r>
                    <w:rPr>
                      <w:kern w:val="0"/>
                      <w:sz w:val="18"/>
                      <w:szCs w:val="18"/>
                      <w:lang w:bidi="ar"/>
                    </w:rPr>
                    <w:t>(</w:t>
                  </w:r>
                  <w:r>
                    <w:rPr>
                      <w:rFonts w:hint="eastAsia" w:ascii="微软雅黑" w:hAnsi="微软雅黑" w:eastAsia="微软雅黑" w:cs="微软雅黑"/>
                      <w:kern w:val="0"/>
                      <w:sz w:val="18"/>
                      <w:szCs w:val="18"/>
                      <w:lang w:bidi="ar"/>
                    </w:rPr>
                    <w:t>Ⅱ</w:t>
                  </w:r>
                  <w:r>
                    <w:rPr>
                      <w:kern w:val="0"/>
                      <w:sz w:val="18"/>
                      <w:szCs w:val="18"/>
                      <w:lang w:bidi="ar"/>
                    </w:rPr>
                    <w:t>)</w:t>
                  </w:r>
                </w:p>
              </w:tc>
              <w:tc>
                <w:tcPr>
                  <w:tcW w:w="655" w:type="pct"/>
                  <w:shd w:val="clear" w:color="auto" w:fill="auto"/>
                  <w:vAlign w:val="center"/>
                </w:tcPr>
                <w:p w14:paraId="4231FC01">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0.0005</w:t>
                  </w:r>
                </w:p>
              </w:tc>
              <w:tc>
                <w:tcPr>
                  <w:tcW w:w="648" w:type="pct"/>
                  <w:shd w:val="clear" w:color="auto" w:fill="auto"/>
                  <w:vAlign w:val="center"/>
                </w:tcPr>
                <w:p w14:paraId="129D8B02">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40EA7AA2">
                  <w:pPr>
                    <w:widowControl/>
                    <w:jc w:val="center"/>
                    <w:textAlignment w:val="center"/>
                    <w:rPr>
                      <w:rFonts w:ascii="Times New Roman" w:hAnsi="Times New Roman" w:eastAsia="宋体" w:cs="Times New Roman"/>
                      <w:kern w:val="0"/>
                      <w:sz w:val="18"/>
                      <w:szCs w:val="18"/>
                      <w:lang w:val="en-US" w:eastAsia="zh-CN" w:bidi="ar-SA"/>
                    </w:rPr>
                  </w:pPr>
                  <w:r>
                    <w:rPr>
                      <w:kern w:val="0"/>
                      <w:sz w:val="18"/>
                      <w:szCs w:val="18"/>
                      <w:lang w:bidi="ar"/>
                    </w:rPr>
                    <w:t>0.0005</w:t>
                  </w:r>
                </w:p>
              </w:tc>
              <w:tc>
                <w:tcPr>
                  <w:tcW w:w="623" w:type="pct"/>
                  <w:shd w:val="clear" w:color="auto" w:fill="auto"/>
                  <w:vAlign w:val="center"/>
                </w:tcPr>
                <w:p w14:paraId="7E6F6773">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0.25</w:t>
                  </w:r>
                </w:p>
              </w:tc>
              <w:tc>
                <w:tcPr>
                  <w:tcW w:w="647" w:type="pct"/>
                  <w:shd w:val="clear" w:color="auto" w:fill="auto"/>
                  <w:vAlign w:val="center"/>
                </w:tcPr>
                <w:p w14:paraId="12E09560">
                  <w:pPr>
                    <w:widowControl/>
                    <w:jc w:val="center"/>
                    <w:textAlignment w:val="center"/>
                    <w:rPr>
                      <w:rFonts w:ascii="Times New Roman" w:hAnsi="Times New Roman" w:eastAsia="等线" w:cs="Times New Roman"/>
                      <w:kern w:val="2"/>
                      <w:sz w:val="18"/>
                      <w:szCs w:val="18"/>
                      <w:lang w:val="en-US" w:eastAsia="zh-CN" w:bidi="ar-SA"/>
                    </w:rPr>
                  </w:pPr>
                  <w:r>
                    <w:rPr>
                      <w:kern w:val="0"/>
                      <w:sz w:val="18"/>
                      <w:szCs w:val="18"/>
                      <w:lang w:bidi="ar"/>
                    </w:rPr>
                    <w:t>0.002</w:t>
                  </w:r>
                </w:p>
              </w:tc>
              <w:tc>
                <w:tcPr>
                  <w:tcW w:w="735" w:type="pct"/>
                  <w:vMerge w:val="continue"/>
                  <w:vAlign w:val="center"/>
                </w:tcPr>
                <w:p w14:paraId="4CCF3B3F">
                  <w:pPr>
                    <w:adjustRightInd w:val="0"/>
                    <w:snapToGrid w:val="0"/>
                    <w:jc w:val="center"/>
                    <w:rPr>
                      <w:bCs/>
                      <w:sz w:val="18"/>
                      <w:szCs w:val="18"/>
                    </w:rPr>
                  </w:pPr>
                </w:p>
              </w:tc>
            </w:tr>
            <w:tr w14:paraId="3C7BF9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14D7F6DB">
                  <w:pPr>
                    <w:adjustRightInd w:val="0"/>
                    <w:snapToGrid w:val="0"/>
                    <w:jc w:val="center"/>
                    <w:rPr>
                      <w:sz w:val="18"/>
                      <w:szCs w:val="18"/>
                    </w:rPr>
                  </w:pPr>
                  <w:r>
                    <w:rPr>
                      <w:rFonts w:hint="eastAsia"/>
                      <w:sz w:val="18"/>
                      <w:szCs w:val="18"/>
                    </w:rPr>
                    <w:t>5</w:t>
                  </w:r>
                </w:p>
              </w:tc>
              <w:tc>
                <w:tcPr>
                  <w:tcW w:w="876" w:type="pct"/>
                  <w:shd w:val="clear" w:color="auto" w:fill="auto"/>
                  <w:vAlign w:val="center"/>
                </w:tcPr>
                <w:p w14:paraId="3C25EAE7">
                  <w:pPr>
                    <w:widowControl/>
                    <w:jc w:val="center"/>
                    <w:textAlignment w:val="center"/>
                    <w:rPr>
                      <w:rFonts w:ascii="Times New Roman" w:hAnsi="Times New Roman" w:eastAsia="宋体" w:cs="Times New Roman"/>
                      <w:kern w:val="2"/>
                      <w:sz w:val="18"/>
                      <w:szCs w:val="18"/>
                      <w:lang w:val="en-US" w:eastAsia="zh-CN" w:bidi="ar-SA"/>
                    </w:rPr>
                  </w:pPr>
                  <w:r>
                    <w:rPr>
                      <w:rFonts w:hint="eastAsia" w:ascii="宋体" w:hAnsi="宋体" w:cs="宋体"/>
                      <w:kern w:val="0"/>
                      <w:sz w:val="18"/>
                      <w:szCs w:val="18"/>
                      <w:lang w:bidi="ar"/>
                    </w:rPr>
                    <w:t>硫酸镍</w:t>
                  </w:r>
                </w:p>
              </w:tc>
              <w:tc>
                <w:tcPr>
                  <w:tcW w:w="655" w:type="pct"/>
                  <w:shd w:val="clear" w:color="auto" w:fill="auto"/>
                  <w:vAlign w:val="center"/>
                </w:tcPr>
                <w:p w14:paraId="15B1745D">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0.002</w:t>
                  </w:r>
                </w:p>
              </w:tc>
              <w:tc>
                <w:tcPr>
                  <w:tcW w:w="648" w:type="pct"/>
                  <w:shd w:val="clear" w:color="auto" w:fill="auto"/>
                  <w:vAlign w:val="center"/>
                </w:tcPr>
                <w:p w14:paraId="53C9E275">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03019812">
                  <w:pPr>
                    <w:widowControl/>
                    <w:jc w:val="center"/>
                    <w:textAlignment w:val="center"/>
                    <w:rPr>
                      <w:rFonts w:ascii="Times New Roman" w:hAnsi="Times New Roman" w:eastAsia="宋体" w:cs="Times New Roman"/>
                      <w:kern w:val="0"/>
                      <w:sz w:val="18"/>
                      <w:szCs w:val="18"/>
                      <w:lang w:val="en-US" w:eastAsia="zh-CN" w:bidi="ar-SA"/>
                    </w:rPr>
                  </w:pPr>
                  <w:r>
                    <w:rPr>
                      <w:kern w:val="0"/>
                      <w:sz w:val="18"/>
                      <w:szCs w:val="18"/>
                      <w:lang w:bidi="ar"/>
                    </w:rPr>
                    <w:t>0.001</w:t>
                  </w:r>
                </w:p>
              </w:tc>
              <w:tc>
                <w:tcPr>
                  <w:tcW w:w="623" w:type="pct"/>
                  <w:shd w:val="clear" w:color="auto" w:fill="auto"/>
                  <w:vAlign w:val="center"/>
                </w:tcPr>
                <w:p w14:paraId="6F339DCA">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0.25</w:t>
                  </w:r>
                </w:p>
              </w:tc>
              <w:tc>
                <w:tcPr>
                  <w:tcW w:w="647" w:type="pct"/>
                  <w:shd w:val="clear" w:color="auto" w:fill="auto"/>
                  <w:vAlign w:val="center"/>
                </w:tcPr>
                <w:p w14:paraId="2A393184">
                  <w:pPr>
                    <w:widowControl/>
                    <w:jc w:val="center"/>
                    <w:textAlignment w:val="center"/>
                    <w:rPr>
                      <w:rFonts w:ascii="Times New Roman" w:hAnsi="Times New Roman" w:eastAsia="等线" w:cs="Times New Roman"/>
                      <w:kern w:val="2"/>
                      <w:sz w:val="18"/>
                      <w:szCs w:val="18"/>
                      <w:lang w:val="en-US" w:eastAsia="zh-CN" w:bidi="ar-SA"/>
                    </w:rPr>
                  </w:pPr>
                  <w:r>
                    <w:rPr>
                      <w:kern w:val="0"/>
                      <w:sz w:val="18"/>
                      <w:szCs w:val="18"/>
                      <w:lang w:bidi="ar"/>
                    </w:rPr>
                    <w:t>0.004</w:t>
                  </w:r>
                </w:p>
              </w:tc>
              <w:tc>
                <w:tcPr>
                  <w:tcW w:w="735" w:type="pct"/>
                  <w:vMerge w:val="continue"/>
                  <w:vAlign w:val="center"/>
                </w:tcPr>
                <w:p w14:paraId="6F2D6B58">
                  <w:pPr>
                    <w:adjustRightInd w:val="0"/>
                    <w:snapToGrid w:val="0"/>
                    <w:jc w:val="center"/>
                    <w:rPr>
                      <w:bCs/>
                      <w:sz w:val="18"/>
                      <w:szCs w:val="18"/>
                    </w:rPr>
                  </w:pPr>
                </w:p>
              </w:tc>
            </w:tr>
            <w:tr w14:paraId="6A343F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7B1A6249">
                  <w:pPr>
                    <w:adjustRightInd w:val="0"/>
                    <w:snapToGrid w:val="0"/>
                    <w:jc w:val="center"/>
                    <w:rPr>
                      <w:sz w:val="18"/>
                      <w:szCs w:val="18"/>
                    </w:rPr>
                  </w:pPr>
                  <w:r>
                    <w:rPr>
                      <w:rFonts w:hint="eastAsia"/>
                      <w:sz w:val="18"/>
                      <w:szCs w:val="18"/>
                    </w:rPr>
                    <w:t>6</w:t>
                  </w:r>
                </w:p>
              </w:tc>
              <w:tc>
                <w:tcPr>
                  <w:tcW w:w="876" w:type="pct"/>
                  <w:shd w:val="clear" w:color="auto" w:fill="auto"/>
                  <w:vAlign w:val="center"/>
                </w:tcPr>
                <w:p w14:paraId="3E39943D">
                  <w:pPr>
                    <w:widowControl/>
                    <w:jc w:val="center"/>
                    <w:textAlignment w:val="center"/>
                    <w:rPr>
                      <w:rFonts w:ascii="Times New Roman" w:hAnsi="Times New Roman" w:eastAsia="宋体" w:cs="Times New Roman"/>
                      <w:kern w:val="2"/>
                      <w:sz w:val="18"/>
                      <w:szCs w:val="18"/>
                      <w:lang w:val="en-US" w:eastAsia="zh-CN" w:bidi="ar-SA"/>
                    </w:rPr>
                  </w:pPr>
                  <w:r>
                    <w:rPr>
                      <w:rFonts w:hint="eastAsia" w:ascii="宋体" w:hAnsi="宋体" w:cs="宋体"/>
                      <w:kern w:val="0"/>
                      <w:sz w:val="18"/>
                      <w:szCs w:val="18"/>
                      <w:lang w:bidi="ar"/>
                    </w:rPr>
                    <w:t>盐酸</w:t>
                  </w:r>
                </w:p>
              </w:tc>
              <w:tc>
                <w:tcPr>
                  <w:tcW w:w="655" w:type="pct"/>
                  <w:shd w:val="clear" w:color="auto" w:fill="auto"/>
                  <w:vAlign w:val="center"/>
                </w:tcPr>
                <w:p w14:paraId="41F8BC9B">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0.006</w:t>
                  </w:r>
                </w:p>
              </w:tc>
              <w:tc>
                <w:tcPr>
                  <w:tcW w:w="648" w:type="pct"/>
                  <w:shd w:val="clear" w:color="auto" w:fill="auto"/>
                  <w:vAlign w:val="center"/>
                </w:tcPr>
                <w:p w14:paraId="7E6854FB">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039116C0">
                  <w:pPr>
                    <w:widowControl/>
                    <w:jc w:val="center"/>
                    <w:textAlignment w:val="center"/>
                    <w:rPr>
                      <w:rFonts w:ascii="Times New Roman" w:hAnsi="Times New Roman" w:eastAsia="宋体" w:cs="Times New Roman"/>
                      <w:kern w:val="0"/>
                      <w:sz w:val="18"/>
                      <w:szCs w:val="18"/>
                      <w:lang w:val="en-US" w:eastAsia="zh-CN" w:bidi="ar-SA"/>
                    </w:rPr>
                  </w:pPr>
                  <w:r>
                    <w:rPr>
                      <w:kern w:val="0"/>
                      <w:sz w:val="18"/>
                      <w:szCs w:val="18"/>
                      <w:lang w:bidi="ar"/>
                    </w:rPr>
                    <w:t>0.002</w:t>
                  </w:r>
                </w:p>
              </w:tc>
              <w:tc>
                <w:tcPr>
                  <w:tcW w:w="623" w:type="pct"/>
                  <w:shd w:val="clear" w:color="auto" w:fill="auto"/>
                  <w:vAlign w:val="center"/>
                </w:tcPr>
                <w:p w14:paraId="70227713">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7.5</w:t>
                  </w:r>
                </w:p>
              </w:tc>
              <w:tc>
                <w:tcPr>
                  <w:tcW w:w="647" w:type="pct"/>
                  <w:shd w:val="clear" w:color="auto" w:fill="auto"/>
                  <w:vAlign w:val="center"/>
                </w:tcPr>
                <w:p w14:paraId="753EFDFF">
                  <w:pPr>
                    <w:widowControl/>
                    <w:jc w:val="center"/>
                    <w:textAlignment w:val="center"/>
                    <w:rPr>
                      <w:rFonts w:ascii="Times New Roman" w:hAnsi="Times New Roman" w:eastAsia="等线" w:cs="Times New Roman"/>
                      <w:kern w:val="2"/>
                      <w:sz w:val="18"/>
                      <w:szCs w:val="18"/>
                      <w:lang w:val="en-US" w:eastAsia="zh-CN" w:bidi="ar-SA"/>
                    </w:rPr>
                  </w:pPr>
                  <w:r>
                    <w:rPr>
                      <w:kern w:val="0"/>
                      <w:sz w:val="18"/>
                      <w:szCs w:val="18"/>
                      <w:lang w:bidi="ar"/>
                    </w:rPr>
                    <w:t>0.000</w:t>
                  </w:r>
                  <w:r>
                    <w:rPr>
                      <w:rFonts w:hint="eastAsia"/>
                      <w:kern w:val="0"/>
                      <w:sz w:val="18"/>
                      <w:szCs w:val="18"/>
                      <w:lang w:bidi="ar"/>
                    </w:rPr>
                    <w:t>3</w:t>
                  </w:r>
                </w:p>
              </w:tc>
              <w:tc>
                <w:tcPr>
                  <w:tcW w:w="735" w:type="pct"/>
                  <w:vMerge w:val="continue"/>
                  <w:vAlign w:val="center"/>
                </w:tcPr>
                <w:p w14:paraId="0CA327A3">
                  <w:pPr>
                    <w:adjustRightInd w:val="0"/>
                    <w:snapToGrid w:val="0"/>
                    <w:jc w:val="center"/>
                    <w:rPr>
                      <w:bCs/>
                      <w:sz w:val="18"/>
                      <w:szCs w:val="18"/>
                    </w:rPr>
                  </w:pPr>
                </w:p>
              </w:tc>
            </w:tr>
            <w:tr w14:paraId="073924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71712C2E">
                  <w:pPr>
                    <w:adjustRightInd w:val="0"/>
                    <w:snapToGrid w:val="0"/>
                    <w:jc w:val="center"/>
                    <w:rPr>
                      <w:sz w:val="18"/>
                      <w:szCs w:val="18"/>
                    </w:rPr>
                  </w:pPr>
                  <w:r>
                    <w:rPr>
                      <w:rFonts w:hint="eastAsia"/>
                      <w:sz w:val="18"/>
                      <w:szCs w:val="18"/>
                    </w:rPr>
                    <w:t>7</w:t>
                  </w:r>
                </w:p>
              </w:tc>
              <w:tc>
                <w:tcPr>
                  <w:tcW w:w="876" w:type="pct"/>
                  <w:shd w:val="clear" w:color="auto" w:fill="auto"/>
                  <w:vAlign w:val="center"/>
                </w:tcPr>
                <w:p w14:paraId="1DB8D1C8">
                  <w:pPr>
                    <w:widowControl/>
                    <w:jc w:val="center"/>
                    <w:textAlignment w:val="center"/>
                    <w:rPr>
                      <w:rFonts w:ascii="Times New Roman" w:hAnsi="Times New Roman" w:eastAsia="宋体" w:cs="Times New Roman"/>
                      <w:kern w:val="2"/>
                      <w:sz w:val="18"/>
                      <w:szCs w:val="18"/>
                      <w:lang w:val="en-US" w:eastAsia="zh-CN" w:bidi="ar-SA"/>
                    </w:rPr>
                  </w:pPr>
                  <w:r>
                    <w:rPr>
                      <w:rFonts w:hint="eastAsia" w:ascii="宋体" w:hAnsi="宋体" w:cs="宋体"/>
                      <w:kern w:val="0"/>
                      <w:sz w:val="18"/>
                      <w:szCs w:val="18"/>
                      <w:lang w:bidi="ar"/>
                    </w:rPr>
                    <w:t>硫酸</w:t>
                  </w:r>
                </w:p>
              </w:tc>
              <w:tc>
                <w:tcPr>
                  <w:tcW w:w="655" w:type="pct"/>
                  <w:shd w:val="clear" w:color="auto" w:fill="auto"/>
                  <w:vAlign w:val="center"/>
                </w:tcPr>
                <w:p w14:paraId="56549CE1">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0.004</w:t>
                  </w:r>
                </w:p>
              </w:tc>
              <w:tc>
                <w:tcPr>
                  <w:tcW w:w="648" w:type="pct"/>
                  <w:shd w:val="clear" w:color="auto" w:fill="auto"/>
                  <w:vAlign w:val="center"/>
                </w:tcPr>
                <w:p w14:paraId="07133890">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076D911B">
                  <w:pPr>
                    <w:widowControl/>
                    <w:jc w:val="center"/>
                    <w:textAlignment w:val="center"/>
                    <w:rPr>
                      <w:rFonts w:ascii="Times New Roman" w:hAnsi="Times New Roman" w:eastAsia="宋体" w:cs="Times New Roman"/>
                      <w:kern w:val="0"/>
                      <w:sz w:val="18"/>
                      <w:szCs w:val="18"/>
                      <w:lang w:val="en-US" w:eastAsia="zh-CN" w:bidi="ar-SA"/>
                    </w:rPr>
                  </w:pPr>
                  <w:r>
                    <w:rPr>
                      <w:kern w:val="0"/>
                      <w:sz w:val="18"/>
                      <w:szCs w:val="18"/>
                      <w:lang w:bidi="ar"/>
                    </w:rPr>
                    <w:t>0.001</w:t>
                  </w:r>
                </w:p>
              </w:tc>
              <w:tc>
                <w:tcPr>
                  <w:tcW w:w="623" w:type="pct"/>
                  <w:shd w:val="clear" w:color="auto" w:fill="auto"/>
                  <w:vAlign w:val="center"/>
                </w:tcPr>
                <w:p w14:paraId="11647368">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5</w:t>
                  </w:r>
                </w:p>
              </w:tc>
              <w:tc>
                <w:tcPr>
                  <w:tcW w:w="647" w:type="pct"/>
                  <w:shd w:val="clear" w:color="auto" w:fill="auto"/>
                  <w:vAlign w:val="center"/>
                </w:tcPr>
                <w:p w14:paraId="55AC11E8">
                  <w:pPr>
                    <w:widowControl/>
                    <w:jc w:val="center"/>
                    <w:textAlignment w:val="center"/>
                    <w:rPr>
                      <w:rFonts w:ascii="Times New Roman" w:hAnsi="Times New Roman" w:eastAsia="等线" w:cs="Times New Roman"/>
                      <w:kern w:val="2"/>
                      <w:sz w:val="18"/>
                      <w:szCs w:val="18"/>
                      <w:lang w:val="en-US" w:eastAsia="zh-CN" w:bidi="ar-SA"/>
                    </w:rPr>
                  </w:pPr>
                  <w:r>
                    <w:rPr>
                      <w:kern w:val="0"/>
                      <w:sz w:val="18"/>
                      <w:szCs w:val="18"/>
                      <w:lang w:bidi="ar"/>
                    </w:rPr>
                    <w:t>0.0002</w:t>
                  </w:r>
                </w:p>
              </w:tc>
              <w:tc>
                <w:tcPr>
                  <w:tcW w:w="735" w:type="pct"/>
                  <w:vMerge w:val="continue"/>
                  <w:vAlign w:val="center"/>
                </w:tcPr>
                <w:p w14:paraId="4537C2CE">
                  <w:pPr>
                    <w:adjustRightInd w:val="0"/>
                    <w:snapToGrid w:val="0"/>
                    <w:jc w:val="center"/>
                    <w:rPr>
                      <w:bCs/>
                      <w:sz w:val="18"/>
                      <w:szCs w:val="18"/>
                    </w:rPr>
                  </w:pPr>
                </w:p>
              </w:tc>
            </w:tr>
            <w:tr w14:paraId="011110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3632015A">
                  <w:pPr>
                    <w:adjustRightInd w:val="0"/>
                    <w:snapToGrid w:val="0"/>
                    <w:jc w:val="center"/>
                    <w:rPr>
                      <w:sz w:val="18"/>
                      <w:szCs w:val="18"/>
                    </w:rPr>
                  </w:pPr>
                  <w:r>
                    <w:rPr>
                      <w:rFonts w:hint="eastAsia"/>
                      <w:sz w:val="18"/>
                      <w:szCs w:val="18"/>
                    </w:rPr>
                    <w:t>8</w:t>
                  </w:r>
                </w:p>
              </w:tc>
              <w:tc>
                <w:tcPr>
                  <w:tcW w:w="876" w:type="pct"/>
                  <w:shd w:val="clear" w:color="auto" w:fill="auto"/>
                  <w:vAlign w:val="center"/>
                </w:tcPr>
                <w:p w14:paraId="376AA4B3">
                  <w:pPr>
                    <w:widowControl/>
                    <w:jc w:val="center"/>
                    <w:textAlignment w:val="center"/>
                    <w:rPr>
                      <w:rFonts w:ascii="Times New Roman" w:hAnsi="Times New Roman" w:eastAsia="宋体" w:cs="Times New Roman"/>
                      <w:kern w:val="2"/>
                      <w:sz w:val="18"/>
                      <w:szCs w:val="18"/>
                      <w:lang w:val="en-US" w:eastAsia="zh-CN" w:bidi="ar-SA"/>
                    </w:rPr>
                  </w:pPr>
                  <w:r>
                    <w:rPr>
                      <w:rFonts w:hint="eastAsia" w:ascii="宋体" w:hAnsi="宋体" w:cs="宋体"/>
                      <w:kern w:val="0"/>
                      <w:sz w:val="18"/>
                      <w:szCs w:val="18"/>
                      <w:lang w:bidi="ar"/>
                    </w:rPr>
                    <w:t>硝酸</w:t>
                  </w:r>
                </w:p>
              </w:tc>
              <w:tc>
                <w:tcPr>
                  <w:tcW w:w="655" w:type="pct"/>
                  <w:shd w:val="clear" w:color="auto" w:fill="auto"/>
                  <w:vAlign w:val="center"/>
                </w:tcPr>
                <w:p w14:paraId="113D3A0D">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0.004</w:t>
                  </w:r>
                </w:p>
              </w:tc>
              <w:tc>
                <w:tcPr>
                  <w:tcW w:w="648" w:type="pct"/>
                  <w:shd w:val="clear" w:color="auto" w:fill="auto"/>
                  <w:vAlign w:val="center"/>
                </w:tcPr>
                <w:p w14:paraId="74E8C216">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206ABD21">
                  <w:pPr>
                    <w:widowControl/>
                    <w:jc w:val="center"/>
                    <w:textAlignment w:val="center"/>
                    <w:rPr>
                      <w:rFonts w:ascii="Times New Roman" w:hAnsi="Times New Roman" w:eastAsia="宋体" w:cs="Times New Roman"/>
                      <w:kern w:val="0"/>
                      <w:sz w:val="18"/>
                      <w:szCs w:val="18"/>
                      <w:lang w:val="en-US" w:eastAsia="zh-CN" w:bidi="ar-SA"/>
                    </w:rPr>
                  </w:pPr>
                  <w:r>
                    <w:rPr>
                      <w:kern w:val="0"/>
                      <w:sz w:val="18"/>
                      <w:szCs w:val="18"/>
                      <w:lang w:bidi="ar"/>
                    </w:rPr>
                    <w:t>0.001</w:t>
                  </w:r>
                </w:p>
              </w:tc>
              <w:tc>
                <w:tcPr>
                  <w:tcW w:w="623" w:type="pct"/>
                  <w:shd w:val="clear" w:color="auto" w:fill="auto"/>
                  <w:vAlign w:val="center"/>
                </w:tcPr>
                <w:p w14:paraId="39E66DA3">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7.5</w:t>
                  </w:r>
                </w:p>
              </w:tc>
              <w:tc>
                <w:tcPr>
                  <w:tcW w:w="647" w:type="pct"/>
                  <w:shd w:val="clear" w:color="auto" w:fill="auto"/>
                  <w:vAlign w:val="center"/>
                </w:tcPr>
                <w:p w14:paraId="5808C71A">
                  <w:pPr>
                    <w:widowControl/>
                    <w:jc w:val="center"/>
                    <w:textAlignment w:val="center"/>
                    <w:rPr>
                      <w:rFonts w:ascii="Times New Roman" w:hAnsi="Times New Roman" w:eastAsia="等线" w:cs="Times New Roman"/>
                      <w:kern w:val="2"/>
                      <w:sz w:val="18"/>
                      <w:szCs w:val="18"/>
                      <w:lang w:val="en-US" w:eastAsia="zh-CN" w:bidi="ar-SA"/>
                    </w:rPr>
                  </w:pPr>
                  <w:r>
                    <w:rPr>
                      <w:kern w:val="0"/>
                      <w:sz w:val="18"/>
                      <w:szCs w:val="18"/>
                      <w:lang w:bidi="ar"/>
                    </w:rPr>
                    <w:t>0.0001</w:t>
                  </w:r>
                </w:p>
              </w:tc>
              <w:tc>
                <w:tcPr>
                  <w:tcW w:w="735" w:type="pct"/>
                  <w:vMerge w:val="continue"/>
                  <w:vAlign w:val="center"/>
                </w:tcPr>
                <w:p w14:paraId="63CB15D2">
                  <w:pPr>
                    <w:adjustRightInd w:val="0"/>
                    <w:snapToGrid w:val="0"/>
                    <w:jc w:val="center"/>
                    <w:rPr>
                      <w:bCs/>
                      <w:sz w:val="18"/>
                      <w:szCs w:val="18"/>
                    </w:rPr>
                  </w:pPr>
                </w:p>
              </w:tc>
            </w:tr>
            <w:tr w14:paraId="341589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06AA385B">
                  <w:pPr>
                    <w:adjustRightInd w:val="0"/>
                    <w:snapToGrid w:val="0"/>
                    <w:jc w:val="center"/>
                    <w:rPr>
                      <w:sz w:val="18"/>
                      <w:szCs w:val="18"/>
                    </w:rPr>
                  </w:pPr>
                  <w:r>
                    <w:rPr>
                      <w:rFonts w:hint="eastAsia"/>
                      <w:sz w:val="18"/>
                      <w:szCs w:val="18"/>
                    </w:rPr>
                    <w:t>9</w:t>
                  </w:r>
                </w:p>
              </w:tc>
              <w:tc>
                <w:tcPr>
                  <w:tcW w:w="876" w:type="pct"/>
                  <w:shd w:val="clear" w:color="auto" w:fill="auto"/>
                  <w:vAlign w:val="center"/>
                </w:tcPr>
                <w:p w14:paraId="4B40B641">
                  <w:pPr>
                    <w:widowControl/>
                    <w:jc w:val="center"/>
                    <w:textAlignment w:val="center"/>
                    <w:rPr>
                      <w:rFonts w:ascii="Times New Roman" w:hAnsi="Times New Roman" w:eastAsia="宋体" w:cs="Times New Roman"/>
                      <w:kern w:val="2"/>
                      <w:sz w:val="18"/>
                      <w:szCs w:val="18"/>
                      <w:lang w:val="en-US" w:eastAsia="zh-CN" w:bidi="ar-SA"/>
                    </w:rPr>
                  </w:pPr>
                  <w:r>
                    <w:rPr>
                      <w:rFonts w:hint="eastAsia" w:ascii="宋体" w:hAnsi="宋体" w:cs="宋体"/>
                      <w:kern w:val="0"/>
                      <w:sz w:val="18"/>
                      <w:szCs w:val="18"/>
                      <w:lang w:bidi="ar"/>
                    </w:rPr>
                    <w:t>磷酸</w:t>
                  </w:r>
                </w:p>
              </w:tc>
              <w:tc>
                <w:tcPr>
                  <w:tcW w:w="655" w:type="pct"/>
                  <w:shd w:val="clear" w:color="auto" w:fill="auto"/>
                  <w:vAlign w:val="center"/>
                </w:tcPr>
                <w:p w14:paraId="0C9CAD9F">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0.005</w:t>
                  </w:r>
                </w:p>
              </w:tc>
              <w:tc>
                <w:tcPr>
                  <w:tcW w:w="648" w:type="pct"/>
                  <w:shd w:val="clear" w:color="auto" w:fill="auto"/>
                  <w:vAlign w:val="center"/>
                </w:tcPr>
                <w:p w14:paraId="71BD645B">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09BFEEB9">
                  <w:pPr>
                    <w:widowControl/>
                    <w:jc w:val="center"/>
                    <w:textAlignment w:val="center"/>
                    <w:rPr>
                      <w:rFonts w:ascii="Times New Roman" w:hAnsi="Times New Roman" w:eastAsia="宋体" w:cs="Times New Roman"/>
                      <w:kern w:val="0"/>
                      <w:sz w:val="18"/>
                      <w:szCs w:val="18"/>
                      <w:lang w:val="en-US" w:eastAsia="zh-CN" w:bidi="ar-SA"/>
                    </w:rPr>
                  </w:pPr>
                  <w:r>
                    <w:rPr>
                      <w:kern w:val="0"/>
                      <w:sz w:val="18"/>
                      <w:szCs w:val="18"/>
                      <w:lang w:bidi="ar"/>
                    </w:rPr>
                    <w:t>0.001</w:t>
                  </w:r>
                </w:p>
              </w:tc>
              <w:tc>
                <w:tcPr>
                  <w:tcW w:w="623" w:type="pct"/>
                  <w:shd w:val="clear" w:color="auto" w:fill="auto"/>
                  <w:vAlign w:val="center"/>
                </w:tcPr>
                <w:p w14:paraId="2335E5D5">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10</w:t>
                  </w:r>
                </w:p>
              </w:tc>
              <w:tc>
                <w:tcPr>
                  <w:tcW w:w="647" w:type="pct"/>
                  <w:shd w:val="clear" w:color="auto" w:fill="auto"/>
                  <w:vAlign w:val="center"/>
                </w:tcPr>
                <w:p w14:paraId="65BEDFD0">
                  <w:pPr>
                    <w:widowControl/>
                    <w:jc w:val="center"/>
                    <w:textAlignment w:val="center"/>
                    <w:rPr>
                      <w:rFonts w:ascii="Times New Roman" w:hAnsi="Times New Roman" w:eastAsia="等线" w:cs="Times New Roman"/>
                      <w:kern w:val="2"/>
                      <w:sz w:val="18"/>
                      <w:szCs w:val="18"/>
                      <w:lang w:val="en-US" w:eastAsia="zh-CN" w:bidi="ar-SA"/>
                    </w:rPr>
                  </w:pPr>
                  <w:r>
                    <w:rPr>
                      <w:kern w:val="0"/>
                      <w:sz w:val="18"/>
                      <w:szCs w:val="18"/>
                      <w:lang w:bidi="ar"/>
                    </w:rPr>
                    <w:t>0.0001</w:t>
                  </w:r>
                </w:p>
              </w:tc>
              <w:tc>
                <w:tcPr>
                  <w:tcW w:w="735" w:type="pct"/>
                  <w:vMerge w:val="continue"/>
                  <w:vAlign w:val="center"/>
                </w:tcPr>
                <w:p w14:paraId="669D1AAF">
                  <w:pPr>
                    <w:adjustRightInd w:val="0"/>
                    <w:snapToGrid w:val="0"/>
                    <w:jc w:val="center"/>
                    <w:rPr>
                      <w:bCs/>
                      <w:sz w:val="18"/>
                      <w:szCs w:val="18"/>
                    </w:rPr>
                  </w:pPr>
                </w:p>
              </w:tc>
            </w:tr>
            <w:tr w14:paraId="45849A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394A1E11">
                  <w:pPr>
                    <w:adjustRightInd w:val="0"/>
                    <w:snapToGrid w:val="0"/>
                    <w:jc w:val="center"/>
                    <w:rPr>
                      <w:sz w:val="18"/>
                      <w:szCs w:val="18"/>
                    </w:rPr>
                  </w:pPr>
                  <w:r>
                    <w:rPr>
                      <w:rFonts w:hint="eastAsia"/>
                      <w:sz w:val="18"/>
                      <w:szCs w:val="18"/>
                    </w:rPr>
                    <w:t>10</w:t>
                  </w:r>
                </w:p>
              </w:tc>
              <w:tc>
                <w:tcPr>
                  <w:tcW w:w="876" w:type="pct"/>
                  <w:shd w:val="clear" w:color="auto" w:fill="auto"/>
                  <w:vAlign w:val="center"/>
                </w:tcPr>
                <w:p w14:paraId="6B704F16">
                  <w:pPr>
                    <w:widowControl/>
                    <w:jc w:val="center"/>
                    <w:textAlignment w:val="center"/>
                    <w:rPr>
                      <w:rFonts w:ascii="Times New Roman" w:hAnsi="Times New Roman" w:eastAsia="宋体" w:cs="Times New Roman"/>
                      <w:kern w:val="2"/>
                      <w:sz w:val="18"/>
                      <w:szCs w:val="18"/>
                      <w:lang w:val="en-US" w:eastAsia="zh-CN" w:bidi="ar-SA"/>
                    </w:rPr>
                  </w:pPr>
                  <w:r>
                    <w:rPr>
                      <w:rFonts w:hint="eastAsia" w:ascii="宋体" w:hAnsi="宋体" w:cs="宋体"/>
                      <w:kern w:val="0"/>
                      <w:sz w:val="18"/>
                      <w:szCs w:val="18"/>
                      <w:lang w:bidi="ar"/>
                    </w:rPr>
                    <w:t>甲醇</w:t>
                  </w:r>
                </w:p>
              </w:tc>
              <w:tc>
                <w:tcPr>
                  <w:tcW w:w="655" w:type="pct"/>
                  <w:shd w:val="clear" w:color="auto" w:fill="auto"/>
                  <w:vAlign w:val="center"/>
                </w:tcPr>
                <w:p w14:paraId="4E96E1D2">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0.26</w:t>
                  </w:r>
                </w:p>
              </w:tc>
              <w:tc>
                <w:tcPr>
                  <w:tcW w:w="648" w:type="pct"/>
                  <w:shd w:val="clear" w:color="auto" w:fill="auto"/>
                  <w:vAlign w:val="center"/>
                </w:tcPr>
                <w:p w14:paraId="0D62259C">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09498FDE">
                  <w:pPr>
                    <w:widowControl/>
                    <w:jc w:val="center"/>
                    <w:textAlignment w:val="center"/>
                    <w:rPr>
                      <w:rFonts w:ascii="Times New Roman" w:hAnsi="Times New Roman" w:eastAsia="宋体" w:cs="Times New Roman"/>
                      <w:kern w:val="0"/>
                      <w:sz w:val="18"/>
                      <w:szCs w:val="18"/>
                      <w:lang w:val="en-US" w:eastAsia="zh-CN" w:bidi="ar-SA"/>
                    </w:rPr>
                  </w:pPr>
                  <w:r>
                    <w:rPr>
                      <w:kern w:val="0"/>
                      <w:sz w:val="18"/>
                      <w:szCs w:val="18"/>
                      <w:lang w:bidi="ar"/>
                    </w:rPr>
                    <w:t>0.016</w:t>
                  </w:r>
                </w:p>
              </w:tc>
              <w:tc>
                <w:tcPr>
                  <w:tcW w:w="623" w:type="pct"/>
                  <w:shd w:val="clear" w:color="auto" w:fill="auto"/>
                  <w:vAlign w:val="center"/>
                </w:tcPr>
                <w:p w14:paraId="6620E1FB">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10</w:t>
                  </w:r>
                </w:p>
              </w:tc>
              <w:tc>
                <w:tcPr>
                  <w:tcW w:w="647" w:type="pct"/>
                  <w:shd w:val="clear" w:color="auto" w:fill="auto"/>
                  <w:vAlign w:val="center"/>
                </w:tcPr>
                <w:p w14:paraId="168A4C14">
                  <w:pPr>
                    <w:widowControl/>
                    <w:jc w:val="center"/>
                    <w:textAlignment w:val="center"/>
                    <w:rPr>
                      <w:rFonts w:ascii="Times New Roman" w:hAnsi="Times New Roman" w:eastAsia="等线" w:cs="Times New Roman"/>
                      <w:kern w:val="2"/>
                      <w:sz w:val="18"/>
                      <w:szCs w:val="18"/>
                      <w:lang w:val="en-US" w:eastAsia="zh-CN" w:bidi="ar-SA"/>
                    </w:rPr>
                  </w:pPr>
                  <w:r>
                    <w:rPr>
                      <w:kern w:val="0"/>
                      <w:sz w:val="18"/>
                      <w:szCs w:val="18"/>
                      <w:lang w:bidi="ar"/>
                    </w:rPr>
                    <w:t>0.0016</w:t>
                  </w:r>
                </w:p>
              </w:tc>
              <w:tc>
                <w:tcPr>
                  <w:tcW w:w="735" w:type="pct"/>
                  <w:vMerge w:val="continue"/>
                  <w:vAlign w:val="center"/>
                </w:tcPr>
                <w:p w14:paraId="52955256">
                  <w:pPr>
                    <w:adjustRightInd w:val="0"/>
                    <w:snapToGrid w:val="0"/>
                    <w:jc w:val="center"/>
                    <w:rPr>
                      <w:bCs/>
                      <w:sz w:val="18"/>
                      <w:szCs w:val="18"/>
                    </w:rPr>
                  </w:pPr>
                </w:p>
              </w:tc>
            </w:tr>
            <w:tr w14:paraId="620FA1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0B2780CF">
                  <w:pPr>
                    <w:adjustRightInd w:val="0"/>
                    <w:snapToGrid w:val="0"/>
                    <w:jc w:val="center"/>
                    <w:rPr>
                      <w:sz w:val="18"/>
                      <w:szCs w:val="18"/>
                    </w:rPr>
                  </w:pPr>
                  <w:r>
                    <w:rPr>
                      <w:rFonts w:hint="eastAsia"/>
                      <w:sz w:val="18"/>
                      <w:szCs w:val="18"/>
                    </w:rPr>
                    <w:t>11</w:t>
                  </w:r>
                </w:p>
              </w:tc>
              <w:tc>
                <w:tcPr>
                  <w:tcW w:w="876" w:type="pct"/>
                  <w:shd w:val="clear" w:color="auto" w:fill="auto"/>
                  <w:vAlign w:val="center"/>
                </w:tcPr>
                <w:p w14:paraId="05853F0C">
                  <w:pPr>
                    <w:widowControl/>
                    <w:jc w:val="center"/>
                    <w:textAlignment w:val="center"/>
                    <w:rPr>
                      <w:rFonts w:ascii="Times New Roman" w:hAnsi="Times New Roman" w:eastAsia="宋体" w:cs="Times New Roman"/>
                      <w:kern w:val="2"/>
                      <w:sz w:val="18"/>
                      <w:szCs w:val="18"/>
                      <w:lang w:val="en-US" w:eastAsia="zh-CN" w:bidi="ar-SA"/>
                    </w:rPr>
                  </w:pPr>
                  <w:r>
                    <w:rPr>
                      <w:rFonts w:hint="eastAsia" w:ascii="宋体" w:hAnsi="宋体" w:cs="宋体"/>
                      <w:kern w:val="0"/>
                      <w:sz w:val="18"/>
                      <w:szCs w:val="18"/>
                      <w:lang w:bidi="ar"/>
                    </w:rPr>
                    <w:t>丙酮</w:t>
                  </w:r>
                </w:p>
              </w:tc>
              <w:tc>
                <w:tcPr>
                  <w:tcW w:w="655" w:type="pct"/>
                  <w:shd w:val="clear" w:color="auto" w:fill="auto"/>
                  <w:vAlign w:val="center"/>
                </w:tcPr>
                <w:p w14:paraId="63D06B86">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0.005</w:t>
                  </w:r>
                </w:p>
              </w:tc>
              <w:tc>
                <w:tcPr>
                  <w:tcW w:w="648" w:type="pct"/>
                  <w:shd w:val="clear" w:color="auto" w:fill="auto"/>
                  <w:vAlign w:val="center"/>
                </w:tcPr>
                <w:p w14:paraId="4DB9EE69">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70FC2036">
                  <w:pPr>
                    <w:widowControl/>
                    <w:jc w:val="center"/>
                    <w:textAlignment w:val="center"/>
                    <w:rPr>
                      <w:rFonts w:ascii="Times New Roman" w:hAnsi="Times New Roman" w:eastAsia="宋体" w:cs="Times New Roman"/>
                      <w:kern w:val="0"/>
                      <w:sz w:val="18"/>
                      <w:szCs w:val="18"/>
                      <w:lang w:val="en-US" w:eastAsia="zh-CN" w:bidi="ar-SA"/>
                    </w:rPr>
                  </w:pPr>
                  <w:r>
                    <w:rPr>
                      <w:kern w:val="0"/>
                      <w:sz w:val="18"/>
                      <w:szCs w:val="18"/>
                      <w:lang w:bidi="ar"/>
                    </w:rPr>
                    <w:t>0.001</w:t>
                  </w:r>
                </w:p>
              </w:tc>
              <w:tc>
                <w:tcPr>
                  <w:tcW w:w="623" w:type="pct"/>
                  <w:shd w:val="clear" w:color="auto" w:fill="auto"/>
                  <w:vAlign w:val="center"/>
                </w:tcPr>
                <w:p w14:paraId="136CB14E">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10</w:t>
                  </w:r>
                </w:p>
              </w:tc>
              <w:tc>
                <w:tcPr>
                  <w:tcW w:w="647" w:type="pct"/>
                  <w:shd w:val="clear" w:color="auto" w:fill="auto"/>
                  <w:vAlign w:val="center"/>
                </w:tcPr>
                <w:p w14:paraId="4BDAB036">
                  <w:pPr>
                    <w:widowControl/>
                    <w:jc w:val="center"/>
                    <w:textAlignment w:val="center"/>
                    <w:rPr>
                      <w:rFonts w:ascii="Times New Roman" w:hAnsi="Times New Roman" w:eastAsia="等线" w:cs="Times New Roman"/>
                      <w:kern w:val="2"/>
                      <w:sz w:val="18"/>
                      <w:szCs w:val="18"/>
                      <w:lang w:val="en-US" w:eastAsia="zh-CN" w:bidi="ar-SA"/>
                    </w:rPr>
                  </w:pPr>
                  <w:r>
                    <w:rPr>
                      <w:kern w:val="0"/>
                      <w:sz w:val="18"/>
                      <w:szCs w:val="18"/>
                      <w:lang w:bidi="ar"/>
                    </w:rPr>
                    <w:t>0.0001</w:t>
                  </w:r>
                </w:p>
              </w:tc>
              <w:tc>
                <w:tcPr>
                  <w:tcW w:w="735" w:type="pct"/>
                  <w:vMerge w:val="continue"/>
                  <w:vAlign w:val="center"/>
                </w:tcPr>
                <w:p w14:paraId="1FA6EE45">
                  <w:pPr>
                    <w:adjustRightInd w:val="0"/>
                    <w:snapToGrid w:val="0"/>
                    <w:jc w:val="center"/>
                    <w:rPr>
                      <w:bCs/>
                      <w:sz w:val="18"/>
                      <w:szCs w:val="18"/>
                    </w:rPr>
                  </w:pPr>
                </w:p>
              </w:tc>
            </w:tr>
            <w:tr w14:paraId="767D1E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0CA2AE0B">
                  <w:pPr>
                    <w:adjustRightInd w:val="0"/>
                    <w:snapToGrid w:val="0"/>
                    <w:jc w:val="center"/>
                    <w:rPr>
                      <w:sz w:val="18"/>
                      <w:szCs w:val="18"/>
                    </w:rPr>
                  </w:pPr>
                  <w:r>
                    <w:rPr>
                      <w:rFonts w:hint="eastAsia"/>
                      <w:sz w:val="18"/>
                      <w:szCs w:val="18"/>
                    </w:rPr>
                    <w:t>12</w:t>
                  </w:r>
                </w:p>
              </w:tc>
              <w:tc>
                <w:tcPr>
                  <w:tcW w:w="876" w:type="pct"/>
                  <w:shd w:val="clear" w:color="auto" w:fill="auto"/>
                  <w:vAlign w:val="center"/>
                </w:tcPr>
                <w:p w14:paraId="57FB9D8F">
                  <w:pPr>
                    <w:widowControl/>
                    <w:jc w:val="center"/>
                    <w:textAlignment w:val="center"/>
                    <w:rPr>
                      <w:rFonts w:ascii="Times New Roman" w:hAnsi="Times New Roman" w:eastAsia="宋体" w:cs="Times New Roman"/>
                      <w:kern w:val="2"/>
                      <w:sz w:val="18"/>
                      <w:szCs w:val="18"/>
                      <w:lang w:val="en-US" w:eastAsia="zh-CN" w:bidi="ar-SA"/>
                    </w:rPr>
                  </w:pPr>
                  <w:r>
                    <w:rPr>
                      <w:rFonts w:hint="eastAsia" w:ascii="宋体" w:hAnsi="宋体" w:cs="宋体"/>
                      <w:kern w:val="0"/>
                      <w:sz w:val="18"/>
                      <w:szCs w:val="18"/>
                      <w:lang w:bidi="ar"/>
                    </w:rPr>
                    <w:t>甲酸</w:t>
                  </w:r>
                </w:p>
              </w:tc>
              <w:tc>
                <w:tcPr>
                  <w:tcW w:w="655" w:type="pct"/>
                  <w:shd w:val="clear" w:color="auto" w:fill="auto"/>
                  <w:vAlign w:val="center"/>
                </w:tcPr>
                <w:p w14:paraId="6AD84E50">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0.004</w:t>
                  </w:r>
                </w:p>
              </w:tc>
              <w:tc>
                <w:tcPr>
                  <w:tcW w:w="648" w:type="pct"/>
                  <w:shd w:val="clear" w:color="auto" w:fill="auto"/>
                  <w:vAlign w:val="center"/>
                </w:tcPr>
                <w:p w14:paraId="07414B54">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6EF37728">
                  <w:pPr>
                    <w:widowControl/>
                    <w:jc w:val="center"/>
                    <w:textAlignment w:val="center"/>
                    <w:rPr>
                      <w:rFonts w:ascii="Times New Roman" w:hAnsi="Times New Roman" w:eastAsia="宋体" w:cs="Times New Roman"/>
                      <w:kern w:val="0"/>
                      <w:sz w:val="18"/>
                      <w:szCs w:val="18"/>
                      <w:lang w:val="en-US" w:eastAsia="zh-CN" w:bidi="ar-SA"/>
                    </w:rPr>
                  </w:pPr>
                  <w:r>
                    <w:rPr>
                      <w:kern w:val="0"/>
                      <w:sz w:val="18"/>
                      <w:szCs w:val="18"/>
                      <w:lang w:bidi="ar"/>
                    </w:rPr>
                    <w:t>0.001</w:t>
                  </w:r>
                </w:p>
              </w:tc>
              <w:tc>
                <w:tcPr>
                  <w:tcW w:w="623" w:type="pct"/>
                  <w:shd w:val="clear" w:color="auto" w:fill="auto"/>
                  <w:vAlign w:val="center"/>
                </w:tcPr>
                <w:p w14:paraId="0D2F28BA">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10</w:t>
                  </w:r>
                </w:p>
              </w:tc>
              <w:tc>
                <w:tcPr>
                  <w:tcW w:w="647" w:type="pct"/>
                  <w:shd w:val="clear" w:color="auto" w:fill="auto"/>
                  <w:vAlign w:val="center"/>
                </w:tcPr>
                <w:p w14:paraId="653A3053">
                  <w:pPr>
                    <w:widowControl/>
                    <w:jc w:val="center"/>
                    <w:textAlignment w:val="center"/>
                    <w:rPr>
                      <w:rFonts w:ascii="Times New Roman" w:hAnsi="Times New Roman" w:eastAsia="等线" w:cs="Times New Roman"/>
                      <w:kern w:val="2"/>
                      <w:sz w:val="18"/>
                      <w:szCs w:val="18"/>
                      <w:lang w:val="en-US" w:eastAsia="zh-CN" w:bidi="ar-SA"/>
                    </w:rPr>
                  </w:pPr>
                  <w:r>
                    <w:rPr>
                      <w:kern w:val="0"/>
                      <w:sz w:val="18"/>
                      <w:szCs w:val="18"/>
                      <w:lang w:bidi="ar"/>
                    </w:rPr>
                    <w:t>0.0001</w:t>
                  </w:r>
                </w:p>
              </w:tc>
              <w:tc>
                <w:tcPr>
                  <w:tcW w:w="735" w:type="pct"/>
                  <w:vMerge w:val="continue"/>
                  <w:vAlign w:val="center"/>
                </w:tcPr>
                <w:p w14:paraId="045CC84E">
                  <w:pPr>
                    <w:adjustRightInd w:val="0"/>
                    <w:snapToGrid w:val="0"/>
                    <w:jc w:val="center"/>
                    <w:rPr>
                      <w:bCs/>
                      <w:sz w:val="18"/>
                      <w:szCs w:val="18"/>
                    </w:rPr>
                  </w:pPr>
                </w:p>
              </w:tc>
            </w:tr>
            <w:tr w14:paraId="754449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38FE1C6C">
                  <w:pPr>
                    <w:adjustRightInd w:val="0"/>
                    <w:snapToGrid w:val="0"/>
                    <w:jc w:val="center"/>
                    <w:rPr>
                      <w:sz w:val="18"/>
                      <w:szCs w:val="18"/>
                    </w:rPr>
                  </w:pPr>
                  <w:r>
                    <w:rPr>
                      <w:rFonts w:hint="eastAsia"/>
                      <w:sz w:val="18"/>
                      <w:szCs w:val="18"/>
                    </w:rPr>
                    <w:t>13</w:t>
                  </w:r>
                </w:p>
              </w:tc>
              <w:tc>
                <w:tcPr>
                  <w:tcW w:w="876" w:type="pct"/>
                  <w:shd w:val="clear" w:color="auto" w:fill="auto"/>
                  <w:vAlign w:val="center"/>
                </w:tcPr>
                <w:p w14:paraId="0795244B">
                  <w:pPr>
                    <w:widowControl/>
                    <w:jc w:val="center"/>
                    <w:textAlignment w:val="center"/>
                    <w:rPr>
                      <w:rFonts w:ascii="Times New Roman" w:hAnsi="Times New Roman" w:eastAsia="宋体" w:cs="Times New Roman"/>
                      <w:kern w:val="2"/>
                      <w:sz w:val="18"/>
                      <w:szCs w:val="18"/>
                      <w:lang w:val="en-US" w:eastAsia="zh-CN" w:bidi="ar-SA"/>
                    </w:rPr>
                  </w:pPr>
                  <w:r>
                    <w:rPr>
                      <w:rFonts w:hint="eastAsia" w:ascii="宋体" w:hAnsi="宋体" w:cs="宋体"/>
                      <w:kern w:val="0"/>
                      <w:sz w:val="18"/>
                      <w:szCs w:val="18"/>
                      <w:lang w:bidi="ar"/>
                    </w:rPr>
                    <w:t>冰醋酸</w:t>
                  </w:r>
                </w:p>
              </w:tc>
              <w:tc>
                <w:tcPr>
                  <w:tcW w:w="655" w:type="pct"/>
                  <w:shd w:val="clear" w:color="auto" w:fill="auto"/>
                  <w:vAlign w:val="center"/>
                </w:tcPr>
                <w:p w14:paraId="7F9E088A">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0.01</w:t>
                  </w:r>
                </w:p>
              </w:tc>
              <w:tc>
                <w:tcPr>
                  <w:tcW w:w="648" w:type="pct"/>
                  <w:shd w:val="clear" w:color="auto" w:fill="auto"/>
                  <w:vAlign w:val="center"/>
                </w:tcPr>
                <w:p w14:paraId="6CBA9848">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4D70EFA0">
                  <w:pPr>
                    <w:widowControl/>
                    <w:jc w:val="center"/>
                    <w:textAlignment w:val="center"/>
                    <w:rPr>
                      <w:rFonts w:ascii="Times New Roman" w:hAnsi="Times New Roman" w:eastAsia="宋体" w:cs="Times New Roman"/>
                      <w:kern w:val="0"/>
                      <w:sz w:val="18"/>
                      <w:szCs w:val="18"/>
                      <w:lang w:val="en-US" w:eastAsia="zh-CN" w:bidi="ar-SA"/>
                    </w:rPr>
                  </w:pPr>
                  <w:r>
                    <w:rPr>
                      <w:kern w:val="0"/>
                      <w:sz w:val="18"/>
                      <w:szCs w:val="18"/>
                      <w:lang w:bidi="ar"/>
                    </w:rPr>
                    <w:t>0.002</w:t>
                  </w:r>
                </w:p>
              </w:tc>
              <w:tc>
                <w:tcPr>
                  <w:tcW w:w="623" w:type="pct"/>
                  <w:shd w:val="clear" w:color="auto" w:fill="auto"/>
                  <w:vAlign w:val="center"/>
                </w:tcPr>
                <w:p w14:paraId="00A5B581">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10</w:t>
                  </w:r>
                </w:p>
              </w:tc>
              <w:tc>
                <w:tcPr>
                  <w:tcW w:w="647" w:type="pct"/>
                  <w:shd w:val="clear" w:color="auto" w:fill="auto"/>
                  <w:vAlign w:val="center"/>
                </w:tcPr>
                <w:p w14:paraId="7030CA4F">
                  <w:pPr>
                    <w:widowControl/>
                    <w:jc w:val="center"/>
                    <w:textAlignment w:val="center"/>
                    <w:rPr>
                      <w:rFonts w:ascii="Times New Roman" w:hAnsi="Times New Roman" w:eastAsia="等线" w:cs="Times New Roman"/>
                      <w:kern w:val="2"/>
                      <w:sz w:val="18"/>
                      <w:szCs w:val="18"/>
                      <w:lang w:val="en-US" w:eastAsia="zh-CN" w:bidi="ar-SA"/>
                    </w:rPr>
                  </w:pPr>
                  <w:r>
                    <w:rPr>
                      <w:kern w:val="0"/>
                      <w:sz w:val="18"/>
                      <w:szCs w:val="18"/>
                      <w:lang w:bidi="ar"/>
                    </w:rPr>
                    <w:t>0.0002</w:t>
                  </w:r>
                </w:p>
              </w:tc>
              <w:tc>
                <w:tcPr>
                  <w:tcW w:w="735" w:type="pct"/>
                  <w:vMerge w:val="continue"/>
                  <w:vAlign w:val="center"/>
                </w:tcPr>
                <w:p w14:paraId="1ACE3E9A">
                  <w:pPr>
                    <w:adjustRightInd w:val="0"/>
                    <w:snapToGrid w:val="0"/>
                    <w:jc w:val="center"/>
                    <w:rPr>
                      <w:bCs/>
                      <w:sz w:val="18"/>
                      <w:szCs w:val="18"/>
                    </w:rPr>
                  </w:pPr>
                </w:p>
              </w:tc>
            </w:tr>
            <w:tr w14:paraId="761C46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57BFC0E4">
                  <w:pPr>
                    <w:adjustRightInd w:val="0"/>
                    <w:snapToGrid w:val="0"/>
                    <w:jc w:val="center"/>
                    <w:rPr>
                      <w:sz w:val="18"/>
                      <w:szCs w:val="18"/>
                    </w:rPr>
                  </w:pPr>
                  <w:r>
                    <w:rPr>
                      <w:rFonts w:hint="eastAsia"/>
                      <w:sz w:val="18"/>
                      <w:szCs w:val="18"/>
                    </w:rPr>
                    <w:t>14</w:t>
                  </w:r>
                </w:p>
              </w:tc>
              <w:tc>
                <w:tcPr>
                  <w:tcW w:w="876" w:type="pct"/>
                  <w:shd w:val="clear" w:color="auto" w:fill="auto"/>
                  <w:vAlign w:val="center"/>
                </w:tcPr>
                <w:p w14:paraId="7257BC92">
                  <w:pPr>
                    <w:widowControl/>
                    <w:jc w:val="center"/>
                    <w:textAlignment w:val="center"/>
                    <w:rPr>
                      <w:rFonts w:ascii="Times New Roman" w:hAnsi="Times New Roman" w:eastAsia="宋体" w:cs="Times New Roman"/>
                      <w:kern w:val="2"/>
                      <w:sz w:val="18"/>
                      <w:szCs w:val="18"/>
                      <w:lang w:val="en-US" w:eastAsia="zh-CN" w:bidi="ar-SA"/>
                    </w:rPr>
                  </w:pPr>
                  <w:r>
                    <w:rPr>
                      <w:rFonts w:hint="eastAsia" w:ascii="宋体" w:hAnsi="宋体" w:cs="宋体"/>
                      <w:kern w:val="0"/>
                      <w:sz w:val="18"/>
                      <w:szCs w:val="18"/>
                      <w:lang w:bidi="ar"/>
                    </w:rPr>
                    <w:t>异丙醇</w:t>
                  </w:r>
                </w:p>
              </w:tc>
              <w:tc>
                <w:tcPr>
                  <w:tcW w:w="655" w:type="pct"/>
                  <w:shd w:val="clear" w:color="auto" w:fill="auto"/>
                  <w:vAlign w:val="center"/>
                </w:tcPr>
                <w:p w14:paraId="2AEA33C3">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0.002</w:t>
                  </w:r>
                </w:p>
              </w:tc>
              <w:tc>
                <w:tcPr>
                  <w:tcW w:w="648" w:type="pct"/>
                  <w:shd w:val="clear" w:color="auto" w:fill="auto"/>
                  <w:vAlign w:val="center"/>
                </w:tcPr>
                <w:p w14:paraId="75D08A17">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5C4E94C8">
                  <w:pPr>
                    <w:widowControl/>
                    <w:jc w:val="center"/>
                    <w:textAlignment w:val="center"/>
                    <w:rPr>
                      <w:rFonts w:ascii="Times New Roman" w:hAnsi="Times New Roman" w:eastAsia="宋体" w:cs="Times New Roman"/>
                      <w:kern w:val="0"/>
                      <w:sz w:val="18"/>
                      <w:szCs w:val="18"/>
                      <w:lang w:val="en-US" w:eastAsia="zh-CN" w:bidi="ar-SA"/>
                    </w:rPr>
                  </w:pPr>
                  <w:r>
                    <w:rPr>
                      <w:kern w:val="0"/>
                      <w:sz w:val="18"/>
                      <w:szCs w:val="18"/>
                      <w:lang w:bidi="ar"/>
                    </w:rPr>
                    <w:t>0.001</w:t>
                  </w:r>
                </w:p>
              </w:tc>
              <w:tc>
                <w:tcPr>
                  <w:tcW w:w="623" w:type="pct"/>
                  <w:shd w:val="clear" w:color="auto" w:fill="auto"/>
                  <w:vAlign w:val="center"/>
                </w:tcPr>
                <w:p w14:paraId="4DAEA362">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10</w:t>
                  </w:r>
                </w:p>
              </w:tc>
              <w:tc>
                <w:tcPr>
                  <w:tcW w:w="647" w:type="pct"/>
                  <w:shd w:val="clear" w:color="auto" w:fill="auto"/>
                  <w:vAlign w:val="center"/>
                </w:tcPr>
                <w:p w14:paraId="3FBEC191">
                  <w:pPr>
                    <w:widowControl/>
                    <w:jc w:val="center"/>
                    <w:textAlignment w:val="center"/>
                    <w:rPr>
                      <w:rFonts w:ascii="Times New Roman" w:hAnsi="Times New Roman" w:eastAsia="等线" w:cs="Times New Roman"/>
                      <w:kern w:val="2"/>
                      <w:sz w:val="18"/>
                      <w:szCs w:val="18"/>
                      <w:lang w:val="en-US" w:eastAsia="zh-CN" w:bidi="ar-SA"/>
                    </w:rPr>
                  </w:pPr>
                  <w:r>
                    <w:rPr>
                      <w:kern w:val="0"/>
                      <w:sz w:val="18"/>
                      <w:szCs w:val="18"/>
                      <w:lang w:bidi="ar"/>
                    </w:rPr>
                    <w:t>0.0001</w:t>
                  </w:r>
                </w:p>
              </w:tc>
              <w:tc>
                <w:tcPr>
                  <w:tcW w:w="735" w:type="pct"/>
                  <w:vMerge w:val="continue"/>
                  <w:vAlign w:val="center"/>
                </w:tcPr>
                <w:p w14:paraId="14149EC9">
                  <w:pPr>
                    <w:adjustRightInd w:val="0"/>
                    <w:snapToGrid w:val="0"/>
                    <w:jc w:val="center"/>
                    <w:rPr>
                      <w:bCs/>
                      <w:sz w:val="18"/>
                      <w:szCs w:val="18"/>
                    </w:rPr>
                  </w:pPr>
                </w:p>
              </w:tc>
            </w:tr>
            <w:tr w14:paraId="02EB3E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35DAF8DA">
                  <w:pPr>
                    <w:adjustRightInd w:val="0"/>
                    <w:snapToGrid w:val="0"/>
                    <w:jc w:val="center"/>
                    <w:rPr>
                      <w:sz w:val="18"/>
                      <w:szCs w:val="18"/>
                    </w:rPr>
                  </w:pPr>
                  <w:r>
                    <w:rPr>
                      <w:rFonts w:hint="eastAsia"/>
                      <w:sz w:val="18"/>
                      <w:szCs w:val="18"/>
                    </w:rPr>
                    <w:t>15</w:t>
                  </w:r>
                </w:p>
              </w:tc>
              <w:tc>
                <w:tcPr>
                  <w:tcW w:w="876" w:type="pct"/>
                  <w:shd w:val="clear" w:color="auto" w:fill="auto"/>
                  <w:vAlign w:val="center"/>
                </w:tcPr>
                <w:p w14:paraId="2C898090">
                  <w:pPr>
                    <w:widowControl/>
                    <w:jc w:val="center"/>
                    <w:textAlignment w:val="center"/>
                    <w:rPr>
                      <w:rFonts w:ascii="Times New Roman" w:hAnsi="Times New Roman" w:eastAsia="宋体" w:cs="Times New Roman"/>
                      <w:kern w:val="2"/>
                      <w:sz w:val="18"/>
                      <w:szCs w:val="18"/>
                      <w:lang w:val="en-US" w:eastAsia="zh-CN" w:bidi="ar-SA"/>
                    </w:rPr>
                  </w:pPr>
                  <w:r>
                    <w:rPr>
                      <w:rFonts w:hint="eastAsia" w:ascii="宋体" w:hAnsi="宋体" w:cs="宋体"/>
                      <w:kern w:val="0"/>
                      <w:sz w:val="18"/>
                      <w:szCs w:val="18"/>
                      <w:lang w:bidi="ar"/>
                    </w:rPr>
                    <w:t>乙腈</w:t>
                  </w:r>
                </w:p>
              </w:tc>
              <w:tc>
                <w:tcPr>
                  <w:tcW w:w="655" w:type="pct"/>
                  <w:shd w:val="clear" w:color="auto" w:fill="auto"/>
                  <w:vAlign w:val="center"/>
                </w:tcPr>
                <w:p w14:paraId="3215E516">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0.01</w:t>
                  </w:r>
                </w:p>
              </w:tc>
              <w:tc>
                <w:tcPr>
                  <w:tcW w:w="648" w:type="pct"/>
                  <w:shd w:val="clear" w:color="auto" w:fill="auto"/>
                  <w:vAlign w:val="center"/>
                </w:tcPr>
                <w:p w14:paraId="0D024F7E">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2CB047BA">
                  <w:pPr>
                    <w:widowControl/>
                    <w:jc w:val="center"/>
                    <w:textAlignment w:val="center"/>
                    <w:rPr>
                      <w:rFonts w:ascii="Times New Roman" w:hAnsi="Times New Roman" w:eastAsia="宋体" w:cs="Times New Roman"/>
                      <w:kern w:val="0"/>
                      <w:sz w:val="18"/>
                      <w:szCs w:val="18"/>
                      <w:lang w:val="en-US" w:eastAsia="zh-CN" w:bidi="ar-SA"/>
                    </w:rPr>
                  </w:pPr>
                  <w:r>
                    <w:rPr>
                      <w:kern w:val="0"/>
                      <w:sz w:val="18"/>
                      <w:szCs w:val="18"/>
                      <w:lang w:bidi="ar"/>
                    </w:rPr>
                    <w:t>0.002</w:t>
                  </w:r>
                </w:p>
              </w:tc>
              <w:tc>
                <w:tcPr>
                  <w:tcW w:w="623" w:type="pct"/>
                  <w:shd w:val="clear" w:color="auto" w:fill="auto"/>
                  <w:vAlign w:val="center"/>
                </w:tcPr>
                <w:p w14:paraId="01BC71D5">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10</w:t>
                  </w:r>
                </w:p>
              </w:tc>
              <w:tc>
                <w:tcPr>
                  <w:tcW w:w="647" w:type="pct"/>
                  <w:shd w:val="clear" w:color="auto" w:fill="auto"/>
                  <w:vAlign w:val="center"/>
                </w:tcPr>
                <w:p w14:paraId="3567A1E4">
                  <w:pPr>
                    <w:widowControl/>
                    <w:jc w:val="center"/>
                    <w:textAlignment w:val="center"/>
                    <w:rPr>
                      <w:rFonts w:ascii="Times New Roman" w:hAnsi="Times New Roman" w:eastAsia="等线" w:cs="Times New Roman"/>
                      <w:kern w:val="2"/>
                      <w:sz w:val="18"/>
                      <w:szCs w:val="18"/>
                      <w:lang w:val="en-US" w:eastAsia="zh-CN" w:bidi="ar-SA"/>
                    </w:rPr>
                  </w:pPr>
                  <w:r>
                    <w:rPr>
                      <w:kern w:val="0"/>
                      <w:sz w:val="18"/>
                      <w:szCs w:val="18"/>
                      <w:lang w:bidi="ar"/>
                    </w:rPr>
                    <w:t>0.0002</w:t>
                  </w:r>
                </w:p>
              </w:tc>
              <w:tc>
                <w:tcPr>
                  <w:tcW w:w="735" w:type="pct"/>
                  <w:vMerge w:val="continue"/>
                  <w:vAlign w:val="center"/>
                </w:tcPr>
                <w:p w14:paraId="63BA736E">
                  <w:pPr>
                    <w:adjustRightInd w:val="0"/>
                    <w:snapToGrid w:val="0"/>
                    <w:jc w:val="center"/>
                    <w:rPr>
                      <w:bCs/>
                      <w:sz w:val="18"/>
                      <w:szCs w:val="18"/>
                    </w:rPr>
                  </w:pPr>
                </w:p>
              </w:tc>
            </w:tr>
            <w:tr w14:paraId="0D68B1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15C47C36">
                  <w:pPr>
                    <w:adjustRightInd w:val="0"/>
                    <w:snapToGrid w:val="0"/>
                    <w:jc w:val="center"/>
                    <w:rPr>
                      <w:sz w:val="18"/>
                      <w:szCs w:val="18"/>
                    </w:rPr>
                  </w:pPr>
                  <w:r>
                    <w:rPr>
                      <w:rFonts w:hint="eastAsia"/>
                      <w:sz w:val="18"/>
                      <w:szCs w:val="18"/>
                    </w:rPr>
                    <w:t>16</w:t>
                  </w:r>
                </w:p>
              </w:tc>
              <w:tc>
                <w:tcPr>
                  <w:tcW w:w="876" w:type="pct"/>
                  <w:shd w:val="clear" w:color="auto" w:fill="auto"/>
                  <w:vAlign w:val="center"/>
                </w:tcPr>
                <w:p w14:paraId="2DDDD1DA">
                  <w:pPr>
                    <w:widowControl/>
                    <w:jc w:val="center"/>
                    <w:textAlignment w:val="center"/>
                    <w:rPr>
                      <w:rFonts w:ascii="Times New Roman" w:hAnsi="Times New Roman" w:eastAsia="宋体" w:cs="Times New Roman"/>
                      <w:kern w:val="2"/>
                      <w:sz w:val="18"/>
                      <w:szCs w:val="18"/>
                      <w:lang w:val="en-US" w:eastAsia="zh-CN" w:bidi="ar-SA"/>
                    </w:rPr>
                  </w:pPr>
                  <w:r>
                    <w:rPr>
                      <w:rFonts w:hint="eastAsia" w:ascii="宋体" w:hAnsi="宋体" w:cs="宋体"/>
                      <w:kern w:val="0"/>
                      <w:sz w:val="18"/>
                      <w:szCs w:val="18"/>
                      <w:lang w:bidi="ar"/>
                    </w:rPr>
                    <w:t>乙酸乙酯</w:t>
                  </w:r>
                </w:p>
              </w:tc>
              <w:tc>
                <w:tcPr>
                  <w:tcW w:w="655" w:type="pct"/>
                  <w:shd w:val="clear" w:color="auto" w:fill="auto"/>
                  <w:vAlign w:val="center"/>
                </w:tcPr>
                <w:p w14:paraId="31C86573">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0.005</w:t>
                  </w:r>
                </w:p>
              </w:tc>
              <w:tc>
                <w:tcPr>
                  <w:tcW w:w="648" w:type="pct"/>
                  <w:shd w:val="clear" w:color="auto" w:fill="auto"/>
                  <w:vAlign w:val="center"/>
                </w:tcPr>
                <w:p w14:paraId="6FE8AAAA">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4BE83D4F">
                  <w:pPr>
                    <w:widowControl/>
                    <w:jc w:val="center"/>
                    <w:textAlignment w:val="center"/>
                    <w:rPr>
                      <w:rFonts w:ascii="Times New Roman" w:hAnsi="Times New Roman" w:eastAsia="宋体" w:cs="Times New Roman"/>
                      <w:kern w:val="0"/>
                      <w:sz w:val="18"/>
                      <w:szCs w:val="18"/>
                      <w:lang w:val="en-US" w:eastAsia="zh-CN" w:bidi="ar-SA"/>
                    </w:rPr>
                  </w:pPr>
                  <w:r>
                    <w:rPr>
                      <w:kern w:val="0"/>
                      <w:sz w:val="18"/>
                      <w:szCs w:val="18"/>
                      <w:lang w:bidi="ar"/>
                    </w:rPr>
                    <w:t>0.001</w:t>
                  </w:r>
                </w:p>
              </w:tc>
              <w:tc>
                <w:tcPr>
                  <w:tcW w:w="623" w:type="pct"/>
                  <w:shd w:val="clear" w:color="auto" w:fill="auto"/>
                  <w:vAlign w:val="center"/>
                </w:tcPr>
                <w:p w14:paraId="2784DBCA">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10</w:t>
                  </w:r>
                </w:p>
              </w:tc>
              <w:tc>
                <w:tcPr>
                  <w:tcW w:w="647" w:type="pct"/>
                  <w:shd w:val="clear" w:color="auto" w:fill="auto"/>
                  <w:vAlign w:val="center"/>
                </w:tcPr>
                <w:p w14:paraId="2EF090ED">
                  <w:pPr>
                    <w:widowControl/>
                    <w:jc w:val="center"/>
                    <w:textAlignment w:val="center"/>
                    <w:rPr>
                      <w:rFonts w:ascii="Times New Roman" w:hAnsi="Times New Roman" w:eastAsia="等线" w:cs="Times New Roman"/>
                      <w:kern w:val="2"/>
                      <w:sz w:val="18"/>
                      <w:szCs w:val="18"/>
                      <w:lang w:val="en-US" w:eastAsia="zh-CN" w:bidi="ar-SA"/>
                    </w:rPr>
                  </w:pPr>
                  <w:r>
                    <w:rPr>
                      <w:kern w:val="0"/>
                      <w:sz w:val="18"/>
                      <w:szCs w:val="18"/>
                      <w:lang w:bidi="ar"/>
                    </w:rPr>
                    <w:t>0.0001</w:t>
                  </w:r>
                </w:p>
              </w:tc>
              <w:tc>
                <w:tcPr>
                  <w:tcW w:w="735" w:type="pct"/>
                  <w:vMerge w:val="continue"/>
                  <w:vAlign w:val="center"/>
                </w:tcPr>
                <w:p w14:paraId="5DF4A4F2">
                  <w:pPr>
                    <w:adjustRightInd w:val="0"/>
                    <w:snapToGrid w:val="0"/>
                    <w:jc w:val="center"/>
                    <w:rPr>
                      <w:bCs/>
                      <w:sz w:val="18"/>
                      <w:szCs w:val="18"/>
                    </w:rPr>
                  </w:pPr>
                </w:p>
              </w:tc>
            </w:tr>
            <w:tr w14:paraId="1D87B9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0469AB70">
                  <w:pPr>
                    <w:adjustRightInd w:val="0"/>
                    <w:snapToGrid w:val="0"/>
                    <w:jc w:val="center"/>
                    <w:rPr>
                      <w:sz w:val="18"/>
                      <w:szCs w:val="18"/>
                    </w:rPr>
                  </w:pPr>
                  <w:r>
                    <w:rPr>
                      <w:rFonts w:hint="eastAsia"/>
                      <w:sz w:val="18"/>
                      <w:szCs w:val="18"/>
                    </w:rPr>
                    <w:t>17</w:t>
                  </w:r>
                </w:p>
              </w:tc>
              <w:tc>
                <w:tcPr>
                  <w:tcW w:w="876" w:type="pct"/>
                  <w:shd w:val="clear" w:color="auto" w:fill="auto"/>
                  <w:vAlign w:val="center"/>
                </w:tcPr>
                <w:p w14:paraId="64E288F4">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N,N-</w:t>
                  </w:r>
                  <w:r>
                    <w:rPr>
                      <w:rFonts w:hint="eastAsia" w:ascii="宋体" w:hAnsi="宋体" w:cs="宋体"/>
                      <w:kern w:val="0"/>
                      <w:sz w:val="18"/>
                      <w:szCs w:val="18"/>
                      <w:lang w:bidi="ar"/>
                    </w:rPr>
                    <w:t>二甲基甲酰胺</w:t>
                  </w:r>
                </w:p>
              </w:tc>
              <w:tc>
                <w:tcPr>
                  <w:tcW w:w="655" w:type="pct"/>
                  <w:shd w:val="clear" w:color="auto" w:fill="auto"/>
                  <w:vAlign w:val="center"/>
                </w:tcPr>
                <w:p w14:paraId="61ACEB5B">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0.004</w:t>
                  </w:r>
                </w:p>
              </w:tc>
              <w:tc>
                <w:tcPr>
                  <w:tcW w:w="648" w:type="pct"/>
                  <w:shd w:val="clear" w:color="auto" w:fill="auto"/>
                  <w:vAlign w:val="center"/>
                </w:tcPr>
                <w:p w14:paraId="41CDDF6B">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1200F227">
                  <w:pPr>
                    <w:widowControl/>
                    <w:jc w:val="center"/>
                    <w:textAlignment w:val="center"/>
                    <w:rPr>
                      <w:rFonts w:ascii="Times New Roman" w:hAnsi="Times New Roman" w:eastAsia="宋体" w:cs="Times New Roman"/>
                      <w:kern w:val="0"/>
                      <w:sz w:val="18"/>
                      <w:szCs w:val="18"/>
                      <w:lang w:val="en-US" w:eastAsia="zh-CN" w:bidi="ar-SA"/>
                    </w:rPr>
                  </w:pPr>
                  <w:r>
                    <w:rPr>
                      <w:kern w:val="0"/>
                      <w:sz w:val="18"/>
                      <w:szCs w:val="18"/>
                      <w:lang w:bidi="ar"/>
                    </w:rPr>
                    <w:t>0.002</w:t>
                  </w:r>
                </w:p>
              </w:tc>
              <w:tc>
                <w:tcPr>
                  <w:tcW w:w="623" w:type="pct"/>
                  <w:shd w:val="clear" w:color="auto" w:fill="auto"/>
                  <w:vAlign w:val="center"/>
                </w:tcPr>
                <w:p w14:paraId="49567352">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5</w:t>
                  </w:r>
                </w:p>
              </w:tc>
              <w:tc>
                <w:tcPr>
                  <w:tcW w:w="647" w:type="pct"/>
                  <w:shd w:val="clear" w:color="auto" w:fill="auto"/>
                  <w:vAlign w:val="center"/>
                </w:tcPr>
                <w:p w14:paraId="1492F0A0">
                  <w:pPr>
                    <w:widowControl/>
                    <w:jc w:val="center"/>
                    <w:textAlignment w:val="center"/>
                    <w:rPr>
                      <w:rFonts w:ascii="Times New Roman" w:hAnsi="Times New Roman" w:eastAsia="等线" w:cs="Times New Roman"/>
                      <w:kern w:val="2"/>
                      <w:sz w:val="18"/>
                      <w:szCs w:val="18"/>
                      <w:lang w:val="en-US" w:eastAsia="zh-CN" w:bidi="ar-SA"/>
                    </w:rPr>
                  </w:pPr>
                  <w:r>
                    <w:rPr>
                      <w:kern w:val="0"/>
                      <w:sz w:val="18"/>
                      <w:szCs w:val="18"/>
                      <w:lang w:bidi="ar"/>
                    </w:rPr>
                    <w:t>0.0004</w:t>
                  </w:r>
                </w:p>
              </w:tc>
              <w:tc>
                <w:tcPr>
                  <w:tcW w:w="735" w:type="pct"/>
                  <w:vMerge w:val="continue"/>
                  <w:vAlign w:val="center"/>
                </w:tcPr>
                <w:p w14:paraId="6425E9D0">
                  <w:pPr>
                    <w:adjustRightInd w:val="0"/>
                    <w:snapToGrid w:val="0"/>
                    <w:jc w:val="center"/>
                    <w:rPr>
                      <w:bCs/>
                      <w:sz w:val="18"/>
                      <w:szCs w:val="18"/>
                    </w:rPr>
                  </w:pPr>
                </w:p>
              </w:tc>
            </w:tr>
            <w:tr w14:paraId="7BBAC9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7AE5A8F6">
                  <w:pPr>
                    <w:adjustRightInd w:val="0"/>
                    <w:snapToGrid w:val="0"/>
                    <w:jc w:val="center"/>
                    <w:rPr>
                      <w:sz w:val="18"/>
                      <w:szCs w:val="18"/>
                    </w:rPr>
                  </w:pPr>
                  <w:r>
                    <w:rPr>
                      <w:rFonts w:hint="eastAsia"/>
                      <w:sz w:val="18"/>
                      <w:szCs w:val="18"/>
                    </w:rPr>
                    <w:t>18</w:t>
                  </w:r>
                </w:p>
              </w:tc>
              <w:tc>
                <w:tcPr>
                  <w:tcW w:w="876" w:type="pct"/>
                  <w:shd w:val="clear" w:color="auto" w:fill="auto"/>
                  <w:vAlign w:val="center"/>
                </w:tcPr>
                <w:p w14:paraId="578FF0A8">
                  <w:pPr>
                    <w:widowControl/>
                    <w:jc w:val="center"/>
                    <w:textAlignment w:val="center"/>
                    <w:rPr>
                      <w:rFonts w:ascii="Times New Roman" w:hAnsi="Times New Roman" w:eastAsia="宋体" w:cs="Times New Roman"/>
                      <w:kern w:val="2"/>
                      <w:sz w:val="18"/>
                      <w:szCs w:val="18"/>
                      <w:lang w:val="en-US" w:eastAsia="zh-CN" w:bidi="ar-SA"/>
                    </w:rPr>
                  </w:pPr>
                  <w:r>
                    <w:rPr>
                      <w:rFonts w:hint="eastAsia" w:ascii="宋体" w:hAnsi="宋体" w:cs="宋体"/>
                      <w:kern w:val="0"/>
                      <w:sz w:val="18"/>
                      <w:szCs w:val="18"/>
                      <w:lang w:bidi="ar"/>
                    </w:rPr>
                    <w:t>对二甲苯</w:t>
                  </w:r>
                </w:p>
              </w:tc>
              <w:tc>
                <w:tcPr>
                  <w:tcW w:w="655" w:type="pct"/>
                  <w:shd w:val="clear" w:color="auto" w:fill="auto"/>
                  <w:vAlign w:val="center"/>
                </w:tcPr>
                <w:p w14:paraId="481050A5">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0.002</w:t>
                  </w:r>
                </w:p>
              </w:tc>
              <w:tc>
                <w:tcPr>
                  <w:tcW w:w="648" w:type="pct"/>
                  <w:shd w:val="clear" w:color="auto" w:fill="auto"/>
                  <w:vAlign w:val="center"/>
                </w:tcPr>
                <w:p w14:paraId="34F2AE32">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5D118F5A">
                  <w:pPr>
                    <w:widowControl/>
                    <w:jc w:val="center"/>
                    <w:textAlignment w:val="center"/>
                    <w:rPr>
                      <w:rFonts w:ascii="Times New Roman" w:hAnsi="Times New Roman" w:eastAsia="宋体" w:cs="Times New Roman"/>
                      <w:kern w:val="0"/>
                      <w:sz w:val="18"/>
                      <w:szCs w:val="18"/>
                      <w:lang w:val="en-US" w:eastAsia="zh-CN" w:bidi="ar-SA"/>
                    </w:rPr>
                  </w:pPr>
                  <w:r>
                    <w:rPr>
                      <w:kern w:val="0"/>
                      <w:sz w:val="18"/>
                      <w:szCs w:val="18"/>
                      <w:lang w:bidi="ar"/>
                    </w:rPr>
                    <w:t>0.001</w:t>
                  </w:r>
                </w:p>
              </w:tc>
              <w:tc>
                <w:tcPr>
                  <w:tcW w:w="623" w:type="pct"/>
                  <w:shd w:val="clear" w:color="auto" w:fill="auto"/>
                  <w:vAlign w:val="center"/>
                </w:tcPr>
                <w:p w14:paraId="05B54BB6">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10</w:t>
                  </w:r>
                </w:p>
              </w:tc>
              <w:tc>
                <w:tcPr>
                  <w:tcW w:w="647" w:type="pct"/>
                  <w:shd w:val="clear" w:color="auto" w:fill="auto"/>
                  <w:vAlign w:val="center"/>
                </w:tcPr>
                <w:p w14:paraId="17263AB2">
                  <w:pPr>
                    <w:widowControl/>
                    <w:jc w:val="center"/>
                    <w:textAlignment w:val="center"/>
                    <w:rPr>
                      <w:rFonts w:ascii="Times New Roman" w:hAnsi="Times New Roman" w:eastAsia="等线" w:cs="Times New Roman"/>
                      <w:kern w:val="2"/>
                      <w:sz w:val="18"/>
                      <w:szCs w:val="18"/>
                      <w:lang w:val="en-US" w:eastAsia="zh-CN" w:bidi="ar-SA"/>
                    </w:rPr>
                  </w:pPr>
                  <w:r>
                    <w:rPr>
                      <w:kern w:val="0"/>
                      <w:sz w:val="18"/>
                      <w:szCs w:val="18"/>
                      <w:lang w:bidi="ar"/>
                    </w:rPr>
                    <w:t>0.0001</w:t>
                  </w:r>
                </w:p>
              </w:tc>
              <w:tc>
                <w:tcPr>
                  <w:tcW w:w="735" w:type="pct"/>
                  <w:vMerge w:val="continue"/>
                  <w:vAlign w:val="center"/>
                </w:tcPr>
                <w:p w14:paraId="30A66D45">
                  <w:pPr>
                    <w:adjustRightInd w:val="0"/>
                    <w:snapToGrid w:val="0"/>
                    <w:jc w:val="center"/>
                    <w:rPr>
                      <w:bCs/>
                      <w:sz w:val="18"/>
                      <w:szCs w:val="18"/>
                    </w:rPr>
                  </w:pPr>
                </w:p>
              </w:tc>
            </w:tr>
            <w:tr w14:paraId="5C9C6D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47C3DC3F">
                  <w:pPr>
                    <w:adjustRightInd w:val="0"/>
                    <w:snapToGrid w:val="0"/>
                    <w:jc w:val="center"/>
                    <w:rPr>
                      <w:sz w:val="18"/>
                      <w:szCs w:val="18"/>
                    </w:rPr>
                  </w:pPr>
                  <w:r>
                    <w:rPr>
                      <w:rFonts w:hint="eastAsia"/>
                      <w:sz w:val="18"/>
                      <w:szCs w:val="18"/>
                    </w:rPr>
                    <w:t>19</w:t>
                  </w:r>
                </w:p>
              </w:tc>
              <w:tc>
                <w:tcPr>
                  <w:tcW w:w="876" w:type="pct"/>
                  <w:shd w:val="clear" w:color="auto" w:fill="auto"/>
                  <w:vAlign w:val="center"/>
                </w:tcPr>
                <w:p w14:paraId="3FE53920">
                  <w:pPr>
                    <w:widowControl/>
                    <w:jc w:val="center"/>
                    <w:textAlignment w:val="center"/>
                    <w:rPr>
                      <w:rFonts w:ascii="Times New Roman" w:hAnsi="Times New Roman" w:eastAsia="宋体" w:cs="Times New Roman"/>
                      <w:kern w:val="2"/>
                      <w:sz w:val="18"/>
                      <w:szCs w:val="18"/>
                      <w:lang w:val="en-US" w:eastAsia="zh-CN" w:bidi="ar-SA"/>
                    </w:rPr>
                  </w:pPr>
                  <w:r>
                    <w:rPr>
                      <w:rFonts w:hint="eastAsia" w:ascii="宋体" w:hAnsi="宋体" w:cs="宋体"/>
                      <w:kern w:val="0"/>
                      <w:sz w:val="18"/>
                      <w:szCs w:val="18"/>
                      <w:lang w:bidi="ar"/>
                    </w:rPr>
                    <w:t>邻二甲苯</w:t>
                  </w:r>
                </w:p>
              </w:tc>
              <w:tc>
                <w:tcPr>
                  <w:tcW w:w="655" w:type="pct"/>
                  <w:shd w:val="clear" w:color="auto" w:fill="auto"/>
                  <w:vAlign w:val="center"/>
                </w:tcPr>
                <w:p w14:paraId="57CD4B1A">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0.002</w:t>
                  </w:r>
                </w:p>
              </w:tc>
              <w:tc>
                <w:tcPr>
                  <w:tcW w:w="648" w:type="pct"/>
                  <w:shd w:val="clear" w:color="auto" w:fill="auto"/>
                  <w:vAlign w:val="center"/>
                </w:tcPr>
                <w:p w14:paraId="79C71369">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6540A3B8">
                  <w:pPr>
                    <w:widowControl/>
                    <w:jc w:val="center"/>
                    <w:textAlignment w:val="center"/>
                    <w:rPr>
                      <w:rFonts w:ascii="Times New Roman" w:hAnsi="Times New Roman" w:eastAsia="宋体" w:cs="Times New Roman"/>
                      <w:kern w:val="0"/>
                      <w:sz w:val="18"/>
                      <w:szCs w:val="18"/>
                      <w:lang w:val="en-US" w:eastAsia="zh-CN" w:bidi="ar-SA"/>
                    </w:rPr>
                  </w:pPr>
                  <w:r>
                    <w:rPr>
                      <w:kern w:val="0"/>
                      <w:sz w:val="18"/>
                      <w:szCs w:val="18"/>
                      <w:lang w:bidi="ar"/>
                    </w:rPr>
                    <w:t>0.001</w:t>
                  </w:r>
                </w:p>
              </w:tc>
              <w:tc>
                <w:tcPr>
                  <w:tcW w:w="623" w:type="pct"/>
                  <w:shd w:val="clear" w:color="auto" w:fill="auto"/>
                  <w:vAlign w:val="center"/>
                </w:tcPr>
                <w:p w14:paraId="7BD5BE5B">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10</w:t>
                  </w:r>
                </w:p>
              </w:tc>
              <w:tc>
                <w:tcPr>
                  <w:tcW w:w="647" w:type="pct"/>
                  <w:shd w:val="clear" w:color="auto" w:fill="auto"/>
                  <w:vAlign w:val="center"/>
                </w:tcPr>
                <w:p w14:paraId="51F49435">
                  <w:pPr>
                    <w:widowControl/>
                    <w:jc w:val="center"/>
                    <w:textAlignment w:val="center"/>
                    <w:rPr>
                      <w:rFonts w:ascii="Times New Roman" w:hAnsi="Times New Roman" w:eastAsia="等线" w:cs="Times New Roman"/>
                      <w:kern w:val="2"/>
                      <w:sz w:val="18"/>
                      <w:szCs w:val="18"/>
                      <w:lang w:val="en-US" w:eastAsia="zh-CN" w:bidi="ar-SA"/>
                    </w:rPr>
                  </w:pPr>
                  <w:r>
                    <w:rPr>
                      <w:kern w:val="0"/>
                      <w:sz w:val="18"/>
                      <w:szCs w:val="18"/>
                      <w:lang w:bidi="ar"/>
                    </w:rPr>
                    <w:t>0.0001</w:t>
                  </w:r>
                </w:p>
              </w:tc>
              <w:tc>
                <w:tcPr>
                  <w:tcW w:w="735" w:type="pct"/>
                  <w:vMerge w:val="continue"/>
                  <w:vAlign w:val="center"/>
                </w:tcPr>
                <w:p w14:paraId="2EE68581">
                  <w:pPr>
                    <w:adjustRightInd w:val="0"/>
                    <w:snapToGrid w:val="0"/>
                    <w:jc w:val="center"/>
                    <w:rPr>
                      <w:bCs/>
                      <w:sz w:val="18"/>
                      <w:szCs w:val="18"/>
                    </w:rPr>
                  </w:pPr>
                </w:p>
              </w:tc>
            </w:tr>
            <w:tr w14:paraId="7B0DBB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7832ACB6">
                  <w:pPr>
                    <w:adjustRightInd w:val="0"/>
                    <w:snapToGrid w:val="0"/>
                    <w:jc w:val="center"/>
                    <w:rPr>
                      <w:sz w:val="18"/>
                      <w:szCs w:val="18"/>
                    </w:rPr>
                  </w:pPr>
                  <w:r>
                    <w:rPr>
                      <w:rFonts w:hint="eastAsia"/>
                      <w:sz w:val="18"/>
                      <w:szCs w:val="18"/>
                    </w:rPr>
                    <w:t>20</w:t>
                  </w:r>
                </w:p>
              </w:tc>
              <w:tc>
                <w:tcPr>
                  <w:tcW w:w="876" w:type="pct"/>
                  <w:shd w:val="clear" w:color="auto" w:fill="auto"/>
                  <w:vAlign w:val="center"/>
                </w:tcPr>
                <w:p w14:paraId="4B18AD1D">
                  <w:pPr>
                    <w:widowControl/>
                    <w:jc w:val="center"/>
                    <w:textAlignment w:val="center"/>
                    <w:rPr>
                      <w:rFonts w:ascii="Times New Roman" w:hAnsi="Times New Roman" w:eastAsia="宋体" w:cs="Times New Roman"/>
                      <w:kern w:val="2"/>
                      <w:sz w:val="18"/>
                      <w:szCs w:val="18"/>
                      <w:lang w:val="en-US" w:eastAsia="zh-CN" w:bidi="ar-SA"/>
                    </w:rPr>
                  </w:pPr>
                  <w:r>
                    <w:rPr>
                      <w:rFonts w:hint="eastAsia" w:ascii="宋体" w:hAnsi="宋体" w:cs="宋体"/>
                      <w:kern w:val="0"/>
                      <w:sz w:val="18"/>
                      <w:szCs w:val="18"/>
                      <w:lang w:bidi="ar"/>
                    </w:rPr>
                    <w:t>间二甲苯</w:t>
                  </w:r>
                </w:p>
              </w:tc>
              <w:tc>
                <w:tcPr>
                  <w:tcW w:w="655" w:type="pct"/>
                  <w:shd w:val="clear" w:color="auto" w:fill="auto"/>
                  <w:vAlign w:val="center"/>
                </w:tcPr>
                <w:p w14:paraId="0CB61A10">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0.002</w:t>
                  </w:r>
                </w:p>
              </w:tc>
              <w:tc>
                <w:tcPr>
                  <w:tcW w:w="648" w:type="pct"/>
                  <w:shd w:val="clear" w:color="auto" w:fill="auto"/>
                  <w:vAlign w:val="center"/>
                </w:tcPr>
                <w:p w14:paraId="41129A33">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01B26DD3">
                  <w:pPr>
                    <w:widowControl/>
                    <w:jc w:val="center"/>
                    <w:textAlignment w:val="center"/>
                    <w:rPr>
                      <w:rFonts w:ascii="Times New Roman" w:hAnsi="Times New Roman" w:eastAsia="宋体" w:cs="Times New Roman"/>
                      <w:kern w:val="0"/>
                      <w:sz w:val="18"/>
                      <w:szCs w:val="18"/>
                      <w:lang w:val="en-US" w:eastAsia="zh-CN" w:bidi="ar-SA"/>
                    </w:rPr>
                  </w:pPr>
                  <w:r>
                    <w:rPr>
                      <w:kern w:val="0"/>
                      <w:sz w:val="18"/>
                      <w:szCs w:val="18"/>
                      <w:lang w:bidi="ar"/>
                    </w:rPr>
                    <w:t>0.001</w:t>
                  </w:r>
                </w:p>
              </w:tc>
              <w:tc>
                <w:tcPr>
                  <w:tcW w:w="623" w:type="pct"/>
                  <w:shd w:val="clear" w:color="auto" w:fill="auto"/>
                  <w:vAlign w:val="center"/>
                </w:tcPr>
                <w:p w14:paraId="352BDC38">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10</w:t>
                  </w:r>
                </w:p>
              </w:tc>
              <w:tc>
                <w:tcPr>
                  <w:tcW w:w="647" w:type="pct"/>
                  <w:shd w:val="clear" w:color="auto" w:fill="auto"/>
                  <w:vAlign w:val="center"/>
                </w:tcPr>
                <w:p w14:paraId="6EAC1C65">
                  <w:pPr>
                    <w:widowControl/>
                    <w:jc w:val="center"/>
                    <w:textAlignment w:val="center"/>
                    <w:rPr>
                      <w:rFonts w:ascii="Times New Roman" w:hAnsi="Times New Roman" w:eastAsia="等线" w:cs="Times New Roman"/>
                      <w:kern w:val="2"/>
                      <w:sz w:val="18"/>
                      <w:szCs w:val="18"/>
                      <w:lang w:val="en-US" w:eastAsia="zh-CN" w:bidi="ar-SA"/>
                    </w:rPr>
                  </w:pPr>
                  <w:r>
                    <w:rPr>
                      <w:kern w:val="0"/>
                      <w:sz w:val="18"/>
                      <w:szCs w:val="18"/>
                      <w:lang w:bidi="ar"/>
                    </w:rPr>
                    <w:t>0.0001</w:t>
                  </w:r>
                </w:p>
              </w:tc>
              <w:tc>
                <w:tcPr>
                  <w:tcW w:w="735" w:type="pct"/>
                  <w:vMerge w:val="continue"/>
                  <w:vAlign w:val="center"/>
                </w:tcPr>
                <w:p w14:paraId="5BCA4D8B">
                  <w:pPr>
                    <w:adjustRightInd w:val="0"/>
                    <w:snapToGrid w:val="0"/>
                    <w:jc w:val="center"/>
                    <w:rPr>
                      <w:bCs/>
                      <w:sz w:val="18"/>
                      <w:szCs w:val="18"/>
                    </w:rPr>
                  </w:pPr>
                </w:p>
              </w:tc>
            </w:tr>
            <w:tr w14:paraId="78B890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58D5FD83">
                  <w:pPr>
                    <w:adjustRightInd w:val="0"/>
                    <w:snapToGrid w:val="0"/>
                    <w:jc w:val="center"/>
                    <w:rPr>
                      <w:sz w:val="18"/>
                      <w:szCs w:val="18"/>
                    </w:rPr>
                  </w:pPr>
                  <w:r>
                    <w:rPr>
                      <w:rFonts w:hint="eastAsia"/>
                      <w:sz w:val="18"/>
                      <w:szCs w:val="18"/>
                    </w:rPr>
                    <w:t>21</w:t>
                  </w:r>
                </w:p>
              </w:tc>
              <w:tc>
                <w:tcPr>
                  <w:tcW w:w="876" w:type="pct"/>
                  <w:shd w:val="clear" w:color="auto" w:fill="auto"/>
                  <w:vAlign w:val="center"/>
                </w:tcPr>
                <w:p w14:paraId="246B7451">
                  <w:pPr>
                    <w:widowControl/>
                    <w:jc w:val="center"/>
                    <w:textAlignment w:val="center"/>
                    <w:rPr>
                      <w:rFonts w:ascii="Times New Roman" w:hAnsi="Times New Roman" w:eastAsia="宋体" w:cs="Times New Roman"/>
                      <w:kern w:val="2"/>
                      <w:sz w:val="18"/>
                      <w:szCs w:val="18"/>
                      <w:lang w:val="en-US" w:eastAsia="zh-CN" w:bidi="ar-SA"/>
                    </w:rPr>
                  </w:pPr>
                  <w:r>
                    <w:rPr>
                      <w:rFonts w:hint="eastAsia" w:ascii="宋体" w:hAnsi="宋体" w:cs="宋体"/>
                      <w:kern w:val="0"/>
                      <w:sz w:val="18"/>
                      <w:szCs w:val="18"/>
                      <w:lang w:bidi="ar"/>
                    </w:rPr>
                    <w:t>苯乙烯</w:t>
                  </w:r>
                </w:p>
              </w:tc>
              <w:tc>
                <w:tcPr>
                  <w:tcW w:w="655" w:type="pct"/>
                  <w:shd w:val="clear" w:color="auto" w:fill="auto"/>
                  <w:vAlign w:val="center"/>
                </w:tcPr>
                <w:p w14:paraId="495A0637">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0.002</w:t>
                  </w:r>
                </w:p>
              </w:tc>
              <w:tc>
                <w:tcPr>
                  <w:tcW w:w="648" w:type="pct"/>
                  <w:shd w:val="clear" w:color="auto" w:fill="auto"/>
                  <w:vAlign w:val="center"/>
                </w:tcPr>
                <w:p w14:paraId="1DAD4E10">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1C988CBD">
                  <w:pPr>
                    <w:widowControl/>
                    <w:jc w:val="center"/>
                    <w:textAlignment w:val="center"/>
                    <w:rPr>
                      <w:rFonts w:ascii="Times New Roman" w:hAnsi="Times New Roman" w:eastAsia="宋体" w:cs="Times New Roman"/>
                      <w:kern w:val="0"/>
                      <w:sz w:val="18"/>
                      <w:szCs w:val="18"/>
                      <w:lang w:val="en-US" w:eastAsia="zh-CN" w:bidi="ar-SA"/>
                    </w:rPr>
                  </w:pPr>
                  <w:r>
                    <w:rPr>
                      <w:kern w:val="0"/>
                      <w:sz w:val="18"/>
                      <w:szCs w:val="18"/>
                      <w:lang w:bidi="ar"/>
                    </w:rPr>
                    <w:t>0.001</w:t>
                  </w:r>
                </w:p>
              </w:tc>
              <w:tc>
                <w:tcPr>
                  <w:tcW w:w="623" w:type="pct"/>
                  <w:shd w:val="clear" w:color="auto" w:fill="auto"/>
                  <w:vAlign w:val="center"/>
                </w:tcPr>
                <w:p w14:paraId="235BE8BB">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10</w:t>
                  </w:r>
                </w:p>
              </w:tc>
              <w:tc>
                <w:tcPr>
                  <w:tcW w:w="647" w:type="pct"/>
                  <w:shd w:val="clear" w:color="auto" w:fill="auto"/>
                  <w:vAlign w:val="center"/>
                </w:tcPr>
                <w:p w14:paraId="17FC1F02">
                  <w:pPr>
                    <w:widowControl/>
                    <w:jc w:val="center"/>
                    <w:textAlignment w:val="center"/>
                    <w:rPr>
                      <w:rFonts w:ascii="Times New Roman" w:hAnsi="Times New Roman" w:eastAsia="等线" w:cs="Times New Roman"/>
                      <w:kern w:val="2"/>
                      <w:sz w:val="18"/>
                      <w:szCs w:val="18"/>
                      <w:lang w:val="en-US" w:eastAsia="zh-CN" w:bidi="ar-SA"/>
                    </w:rPr>
                  </w:pPr>
                  <w:r>
                    <w:rPr>
                      <w:kern w:val="0"/>
                      <w:sz w:val="18"/>
                      <w:szCs w:val="18"/>
                      <w:lang w:bidi="ar"/>
                    </w:rPr>
                    <w:t>0.0001</w:t>
                  </w:r>
                </w:p>
              </w:tc>
              <w:tc>
                <w:tcPr>
                  <w:tcW w:w="735" w:type="pct"/>
                  <w:vMerge w:val="continue"/>
                  <w:vAlign w:val="center"/>
                </w:tcPr>
                <w:p w14:paraId="3E3E57BC">
                  <w:pPr>
                    <w:adjustRightInd w:val="0"/>
                    <w:snapToGrid w:val="0"/>
                    <w:jc w:val="center"/>
                    <w:rPr>
                      <w:bCs/>
                      <w:sz w:val="18"/>
                      <w:szCs w:val="18"/>
                    </w:rPr>
                  </w:pPr>
                </w:p>
              </w:tc>
            </w:tr>
            <w:tr w14:paraId="577FDF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5B7E0ABE">
                  <w:pPr>
                    <w:adjustRightInd w:val="0"/>
                    <w:snapToGrid w:val="0"/>
                    <w:jc w:val="center"/>
                    <w:rPr>
                      <w:sz w:val="18"/>
                      <w:szCs w:val="18"/>
                    </w:rPr>
                  </w:pPr>
                  <w:r>
                    <w:rPr>
                      <w:rFonts w:hint="eastAsia"/>
                      <w:sz w:val="18"/>
                      <w:szCs w:val="18"/>
                    </w:rPr>
                    <w:t>22</w:t>
                  </w:r>
                </w:p>
              </w:tc>
              <w:tc>
                <w:tcPr>
                  <w:tcW w:w="876" w:type="pct"/>
                  <w:shd w:val="clear" w:color="auto" w:fill="auto"/>
                  <w:vAlign w:val="center"/>
                </w:tcPr>
                <w:p w14:paraId="0D6F0341">
                  <w:pPr>
                    <w:widowControl/>
                    <w:jc w:val="center"/>
                    <w:textAlignment w:val="center"/>
                    <w:rPr>
                      <w:rFonts w:ascii="Times New Roman" w:hAnsi="Times New Roman" w:eastAsia="宋体" w:cs="Times New Roman"/>
                      <w:kern w:val="2"/>
                      <w:sz w:val="18"/>
                      <w:szCs w:val="18"/>
                      <w:lang w:val="en-US" w:eastAsia="zh-CN" w:bidi="ar-SA"/>
                    </w:rPr>
                  </w:pPr>
                  <w:r>
                    <w:rPr>
                      <w:rFonts w:hint="eastAsia" w:ascii="宋体" w:hAnsi="宋体" w:cs="宋体"/>
                      <w:kern w:val="0"/>
                      <w:sz w:val="18"/>
                      <w:szCs w:val="18"/>
                      <w:lang w:bidi="ar"/>
                    </w:rPr>
                    <w:t>苯酚</w:t>
                  </w:r>
                </w:p>
              </w:tc>
              <w:tc>
                <w:tcPr>
                  <w:tcW w:w="655" w:type="pct"/>
                  <w:shd w:val="clear" w:color="auto" w:fill="auto"/>
                  <w:vAlign w:val="center"/>
                </w:tcPr>
                <w:p w14:paraId="76DC7B20">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0.002</w:t>
                  </w:r>
                </w:p>
              </w:tc>
              <w:tc>
                <w:tcPr>
                  <w:tcW w:w="648" w:type="pct"/>
                  <w:shd w:val="clear" w:color="auto" w:fill="auto"/>
                  <w:vAlign w:val="center"/>
                </w:tcPr>
                <w:p w14:paraId="036C6268">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7007D2EC">
                  <w:pPr>
                    <w:widowControl/>
                    <w:jc w:val="center"/>
                    <w:textAlignment w:val="center"/>
                    <w:rPr>
                      <w:rFonts w:ascii="Times New Roman" w:hAnsi="Times New Roman" w:eastAsia="宋体" w:cs="Times New Roman"/>
                      <w:kern w:val="0"/>
                      <w:sz w:val="18"/>
                      <w:szCs w:val="18"/>
                      <w:lang w:val="en-US" w:eastAsia="zh-CN" w:bidi="ar-SA"/>
                    </w:rPr>
                  </w:pPr>
                  <w:r>
                    <w:rPr>
                      <w:kern w:val="0"/>
                      <w:sz w:val="18"/>
                      <w:szCs w:val="18"/>
                      <w:lang w:bidi="ar"/>
                    </w:rPr>
                    <w:t>0.001</w:t>
                  </w:r>
                </w:p>
              </w:tc>
              <w:tc>
                <w:tcPr>
                  <w:tcW w:w="623" w:type="pct"/>
                  <w:shd w:val="clear" w:color="auto" w:fill="auto"/>
                  <w:vAlign w:val="center"/>
                </w:tcPr>
                <w:p w14:paraId="773388D7">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5</w:t>
                  </w:r>
                </w:p>
              </w:tc>
              <w:tc>
                <w:tcPr>
                  <w:tcW w:w="647" w:type="pct"/>
                  <w:shd w:val="clear" w:color="auto" w:fill="auto"/>
                  <w:vAlign w:val="center"/>
                </w:tcPr>
                <w:p w14:paraId="0F158988">
                  <w:pPr>
                    <w:widowControl/>
                    <w:jc w:val="center"/>
                    <w:textAlignment w:val="center"/>
                    <w:rPr>
                      <w:rFonts w:ascii="Times New Roman" w:hAnsi="Times New Roman" w:eastAsia="等线" w:cs="Times New Roman"/>
                      <w:kern w:val="2"/>
                      <w:sz w:val="18"/>
                      <w:szCs w:val="18"/>
                      <w:lang w:val="en-US" w:eastAsia="zh-CN" w:bidi="ar-SA"/>
                    </w:rPr>
                  </w:pPr>
                  <w:r>
                    <w:rPr>
                      <w:kern w:val="0"/>
                      <w:sz w:val="18"/>
                      <w:szCs w:val="18"/>
                      <w:lang w:bidi="ar"/>
                    </w:rPr>
                    <w:t>0.0002</w:t>
                  </w:r>
                </w:p>
              </w:tc>
              <w:tc>
                <w:tcPr>
                  <w:tcW w:w="735" w:type="pct"/>
                  <w:vMerge w:val="continue"/>
                  <w:vAlign w:val="center"/>
                </w:tcPr>
                <w:p w14:paraId="4849EFC3">
                  <w:pPr>
                    <w:adjustRightInd w:val="0"/>
                    <w:snapToGrid w:val="0"/>
                    <w:jc w:val="center"/>
                    <w:rPr>
                      <w:bCs/>
                      <w:sz w:val="18"/>
                      <w:szCs w:val="18"/>
                    </w:rPr>
                  </w:pPr>
                </w:p>
              </w:tc>
            </w:tr>
            <w:tr w14:paraId="3F80B4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5F9B4164">
                  <w:pPr>
                    <w:adjustRightInd w:val="0"/>
                    <w:snapToGrid w:val="0"/>
                    <w:jc w:val="center"/>
                    <w:rPr>
                      <w:sz w:val="18"/>
                      <w:szCs w:val="18"/>
                    </w:rPr>
                  </w:pPr>
                  <w:r>
                    <w:rPr>
                      <w:rFonts w:hint="eastAsia"/>
                      <w:sz w:val="18"/>
                      <w:szCs w:val="18"/>
                    </w:rPr>
                    <w:t>23</w:t>
                  </w:r>
                </w:p>
              </w:tc>
              <w:tc>
                <w:tcPr>
                  <w:tcW w:w="876" w:type="pct"/>
                  <w:shd w:val="clear" w:color="auto" w:fill="auto"/>
                  <w:vAlign w:val="center"/>
                </w:tcPr>
                <w:p w14:paraId="62288838">
                  <w:pPr>
                    <w:widowControl/>
                    <w:jc w:val="center"/>
                    <w:textAlignment w:val="center"/>
                    <w:rPr>
                      <w:rFonts w:ascii="Times New Roman" w:hAnsi="Times New Roman" w:eastAsia="宋体" w:cs="Times New Roman"/>
                      <w:kern w:val="2"/>
                      <w:sz w:val="18"/>
                      <w:szCs w:val="18"/>
                      <w:lang w:val="en-US" w:eastAsia="zh-CN" w:bidi="ar-SA"/>
                    </w:rPr>
                  </w:pPr>
                  <w:r>
                    <w:rPr>
                      <w:rFonts w:hint="eastAsia" w:ascii="宋体" w:hAnsi="宋体" w:cs="宋体"/>
                      <w:kern w:val="0"/>
                      <w:sz w:val="18"/>
                      <w:szCs w:val="18"/>
                      <w:lang w:bidi="ar"/>
                    </w:rPr>
                    <w:t>苯胺</w:t>
                  </w:r>
                </w:p>
              </w:tc>
              <w:tc>
                <w:tcPr>
                  <w:tcW w:w="655" w:type="pct"/>
                  <w:shd w:val="clear" w:color="auto" w:fill="auto"/>
                  <w:vAlign w:val="center"/>
                </w:tcPr>
                <w:p w14:paraId="47FEC5F4">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0.002</w:t>
                  </w:r>
                </w:p>
              </w:tc>
              <w:tc>
                <w:tcPr>
                  <w:tcW w:w="648" w:type="pct"/>
                  <w:shd w:val="clear" w:color="auto" w:fill="auto"/>
                  <w:vAlign w:val="center"/>
                </w:tcPr>
                <w:p w14:paraId="13FCF3EA">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6A261C6A">
                  <w:pPr>
                    <w:widowControl/>
                    <w:jc w:val="center"/>
                    <w:textAlignment w:val="center"/>
                    <w:rPr>
                      <w:rFonts w:ascii="Times New Roman" w:hAnsi="Times New Roman" w:eastAsia="宋体" w:cs="Times New Roman"/>
                      <w:kern w:val="0"/>
                      <w:sz w:val="18"/>
                      <w:szCs w:val="18"/>
                      <w:lang w:val="en-US" w:eastAsia="zh-CN" w:bidi="ar-SA"/>
                    </w:rPr>
                  </w:pPr>
                  <w:r>
                    <w:rPr>
                      <w:kern w:val="0"/>
                      <w:sz w:val="18"/>
                      <w:szCs w:val="18"/>
                      <w:lang w:bidi="ar"/>
                    </w:rPr>
                    <w:t>0.001</w:t>
                  </w:r>
                </w:p>
              </w:tc>
              <w:tc>
                <w:tcPr>
                  <w:tcW w:w="623" w:type="pct"/>
                  <w:shd w:val="clear" w:color="auto" w:fill="auto"/>
                  <w:vAlign w:val="center"/>
                </w:tcPr>
                <w:p w14:paraId="531D087D">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5</w:t>
                  </w:r>
                </w:p>
              </w:tc>
              <w:tc>
                <w:tcPr>
                  <w:tcW w:w="647" w:type="pct"/>
                  <w:shd w:val="clear" w:color="auto" w:fill="auto"/>
                  <w:vAlign w:val="center"/>
                </w:tcPr>
                <w:p w14:paraId="1BDB9887">
                  <w:pPr>
                    <w:widowControl/>
                    <w:jc w:val="center"/>
                    <w:textAlignment w:val="center"/>
                    <w:rPr>
                      <w:rFonts w:ascii="Times New Roman" w:hAnsi="Times New Roman" w:eastAsia="等线" w:cs="Times New Roman"/>
                      <w:kern w:val="2"/>
                      <w:sz w:val="18"/>
                      <w:szCs w:val="18"/>
                      <w:lang w:val="en-US" w:eastAsia="zh-CN" w:bidi="ar-SA"/>
                    </w:rPr>
                  </w:pPr>
                  <w:r>
                    <w:rPr>
                      <w:kern w:val="0"/>
                      <w:sz w:val="18"/>
                      <w:szCs w:val="18"/>
                      <w:lang w:bidi="ar"/>
                    </w:rPr>
                    <w:t>0.0002</w:t>
                  </w:r>
                </w:p>
              </w:tc>
              <w:tc>
                <w:tcPr>
                  <w:tcW w:w="735" w:type="pct"/>
                  <w:vMerge w:val="continue"/>
                  <w:vAlign w:val="center"/>
                </w:tcPr>
                <w:p w14:paraId="527722D9">
                  <w:pPr>
                    <w:adjustRightInd w:val="0"/>
                    <w:snapToGrid w:val="0"/>
                    <w:jc w:val="center"/>
                    <w:rPr>
                      <w:bCs/>
                      <w:sz w:val="18"/>
                      <w:szCs w:val="18"/>
                    </w:rPr>
                  </w:pPr>
                </w:p>
              </w:tc>
            </w:tr>
            <w:tr w14:paraId="287CB6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4792B7A8">
                  <w:pPr>
                    <w:adjustRightInd w:val="0"/>
                    <w:snapToGrid w:val="0"/>
                    <w:jc w:val="center"/>
                    <w:rPr>
                      <w:sz w:val="18"/>
                      <w:szCs w:val="18"/>
                    </w:rPr>
                  </w:pPr>
                  <w:r>
                    <w:rPr>
                      <w:rFonts w:hint="eastAsia"/>
                      <w:sz w:val="18"/>
                      <w:szCs w:val="18"/>
                    </w:rPr>
                    <w:t>24</w:t>
                  </w:r>
                </w:p>
              </w:tc>
              <w:tc>
                <w:tcPr>
                  <w:tcW w:w="876" w:type="pct"/>
                  <w:shd w:val="clear" w:color="auto" w:fill="auto"/>
                  <w:vAlign w:val="center"/>
                </w:tcPr>
                <w:p w14:paraId="629C8A43">
                  <w:pPr>
                    <w:widowControl/>
                    <w:jc w:val="center"/>
                    <w:textAlignment w:val="center"/>
                    <w:rPr>
                      <w:rFonts w:ascii="Times New Roman" w:hAnsi="Times New Roman" w:eastAsia="宋体" w:cs="Times New Roman"/>
                      <w:kern w:val="2"/>
                      <w:sz w:val="18"/>
                      <w:szCs w:val="18"/>
                      <w:lang w:val="en-US" w:eastAsia="zh-CN" w:bidi="ar-SA"/>
                    </w:rPr>
                  </w:pPr>
                  <w:r>
                    <w:rPr>
                      <w:rFonts w:hint="eastAsia" w:ascii="宋体" w:hAnsi="宋体" w:cs="宋体"/>
                      <w:kern w:val="0"/>
                      <w:sz w:val="18"/>
                      <w:szCs w:val="18"/>
                      <w:lang w:bidi="ar"/>
                    </w:rPr>
                    <w:t>铜</w:t>
                  </w:r>
                </w:p>
              </w:tc>
              <w:tc>
                <w:tcPr>
                  <w:tcW w:w="655" w:type="pct"/>
                  <w:shd w:val="clear" w:color="auto" w:fill="auto"/>
                  <w:vAlign w:val="center"/>
                </w:tcPr>
                <w:p w14:paraId="2A710B33">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0.0005</w:t>
                  </w:r>
                </w:p>
              </w:tc>
              <w:tc>
                <w:tcPr>
                  <w:tcW w:w="648" w:type="pct"/>
                  <w:shd w:val="clear" w:color="auto" w:fill="auto"/>
                  <w:vAlign w:val="center"/>
                </w:tcPr>
                <w:p w14:paraId="4DC77BB8">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78E213AA">
                  <w:pPr>
                    <w:widowControl/>
                    <w:jc w:val="center"/>
                    <w:textAlignment w:val="center"/>
                    <w:rPr>
                      <w:rFonts w:ascii="Times New Roman" w:hAnsi="Times New Roman" w:eastAsia="宋体" w:cs="Times New Roman"/>
                      <w:kern w:val="0"/>
                      <w:sz w:val="18"/>
                      <w:szCs w:val="18"/>
                      <w:lang w:val="en-US" w:eastAsia="zh-CN" w:bidi="ar-SA"/>
                    </w:rPr>
                  </w:pPr>
                  <w:r>
                    <w:rPr>
                      <w:kern w:val="0"/>
                      <w:sz w:val="18"/>
                      <w:szCs w:val="18"/>
                      <w:lang w:bidi="ar"/>
                    </w:rPr>
                    <w:t>0.0001</w:t>
                  </w:r>
                </w:p>
              </w:tc>
              <w:tc>
                <w:tcPr>
                  <w:tcW w:w="623" w:type="pct"/>
                  <w:shd w:val="clear" w:color="auto" w:fill="auto"/>
                  <w:vAlign w:val="center"/>
                </w:tcPr>
                <w:p w14:paraId="14194816">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0.25</w:t>
                  </w:r>
                </w:p>
              </w:tc>
              <w:tc>
                <w:tcPr>
                  <w:tcW w:w="647" w:type="pct"/>
                  <w:shd w:val="clear" w:color="auto" w:fill="auto"/>
                  <w:vAlign w:val="center"/>
                </w:tcPr>
                <w:p w14:paraId="28EF3A0D">
                  <w:pPr>
                    <w:widowControl/>
                    <w:jc w:val="center"/>
                    <w:textAlignment w:val="center"/>
                    <w:rPr>
                      <w:rFonts w:ascii="Times New Roman" w:hAnsi="Times New Roman" w:eastAsia="等线" w:cs="Times New Roman"/>
                      <w:kern w:val="2"/>
                      <w:sz w:val="18"/>
                      <w:szCs w:val="18"/>
                      <w:lang w:val="en-US" w:eastAsia="zh-CN" w:bidi="ar-SA"/>
                    </w:rPr>
                  </w:pPr>
                  <w:r>
                    <w:rPr>
                      <w:kern w:val="0"/>
                      <w:sz w:val="18"/>
                      <w:szCs w:val="18"/>
                      <w:lang w:bidi="ar"/>
                    </w:rPr>
                    <w:t>0.0004</w:t>
                  </w:r>
                </w:p>
              </w:tc>
              <w:tc>
                <w:tcPr>
                  <w:tcW w:w="735" w:type="pct"/>
                  <w:vMerge w:val="continue"/>
                  <w:vAlign w:val="center"/>
                </w:tcPr>
                <w:p w14:paraId="7C92D830">
                  <w:pPr>
                    <w:adjustRightInd w:val="0"/>
                    <w:snapToGrid w:val="0"/>
                    <w:jc w:val="center"/>
                    <w:rPr>
                      <w:bCs/>
                      <w:sz w:val="18"/>
                      <w:szCs w:val="18"/>
                    </w:rPr>
                  </w:pPr>
                </w:p>
              </w:tc>
            </w:tr>
            <w:tr w14:paraId="07F39C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5384734E">
                  <w:pPr>
                    <w:adjustRightInd w:val="0"/>
                    <w:snapToGrid w:val="0"/>
                    <w:jc w:val="center"/>
                    <w:rPr>
                      <w:sz w:val="18"/>
                      <w:szCs w:val="18"/>
                    </w:rPr>
                  </w:pPr>
                  <w:r>
                    <w:rPr>
                      <w:rFonts w:hint="eastAsia"/>
                      <w:sz w:val="18"/>
                      <w:szCs w:val="18"/>
                    </w:rPr>
                    <w:t>25</w:t>
                  </w:r>
                </w:p>
              </w:tc>
              <w:tc>
                <w:tcPr>
                  <w:tcW w:w="876" w:type="pct"/>
                  <w:shd w:val="clear" w:color="auto" w:fill="auto"/>
                  <w:vAlign w:val="center"/>
                </w:tcPr>
                <w:p w14:paraId="1B48530D">
                  <w:pPr>
                    <w:widowControl/>
                    <w:jc w:val="center"/>
                    <w:textAlignment w:val="center"/>
                    <w:rPr>
                      <w:rFonts w:ascii="Times New Roman" w:hAnsi="Times New Roman" w:eastAsia="宋体" w:cs="Times New Roman"/>
                      <w:kern w:val="2"/>
                      <w:sz w:val="18"/>
                      <w:szCs w:val="18"/>
                      <w:lang w:val="en-US" w:eastAsia="zh-CN" w:bidi="ar-SA"/>
                    </w:rPr>
                  </w:pPr>
                  <w:r>
                    <w:rPr>
                      <w:rFonts w:hint="eastAsia" w:ascii="宋体" w:hAnsi="宋体" w:cs="宋体"/>
                      <w:kern w:val="0"/>
                      <w:sz w:val="18"/>
                      <w:szCs w:val="18"/>
                      <w:lang w:bidi="ar"/>
                    </w:rPr>
                    <w:t>钴</w:t>
                  </w:r>
                </w:p>
              </w:tc>
              <w:tc>
                <w:tcPr>
                  <w:tcW w:w="655" w:type="pct"/>
                  <w:shd w:val="clear" w:color="auto" w:fill="auto"/>
                  <w:vAlign w:val="center"/>
                </w:tcPr>
                <w:p w14:paraId="40A6D9C9">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0.0005</w:t>
                  </w:r>
                </w:p>
              </w:tc>
              <w:tc>
                <w:tcPr>
                  <w:tcW w:w="648" w:type="pct"/>
                  <w:shd w:val="clear" w:color="auto" w:fill="auto"/>
                  <w:vAlign w:val="center"/>
                </w:tcPr>
                <w:p w14:paraId="5BFDD979">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348CCE8D">
                  <w:pPr>
                    <w:widowControl/>
                    <w:jc w:val="center"/>
                    <w:textAlignment w:val="center"/>
                    <w:rPr>
                      <w:rFonts w:ascii="Times New Roman" w:hAnsi="Times New Roman" w:eastAsia="宋体" w:cs="Times New Roman"/>
                      <w:kern w:val="0"/>
                      <w:sz w:val="18"/>
                      <w:szCs w:val="18"/>
                      <w:lang w:val="en-US" w:eastAsia="zh-CN" w:bidi="ar-SA"/>
                    </w:rPr>
                  </w:pPr>
                  <w:r>
                    <w:rPr>
                      <w:kern w:val="0"/>
                      <w:sz w:val="18"/>
                      <w:szCs w:val="18"/>
                      <w:lang w:bidi="ar"/>
                    </w:rPr>
                    <w:t>0.0001</w:t>
                  </w:r>
                </w:p>
              </w:tc>
              <w:tc>
                <w:tcPr>
                  <w:tcW w:w="623" w:type="pct"/>
                  <w:shd w:val="clear" w:color="auto" w:fill="auto"/>
                  <w:vAlign w:val="center"/>
                </w:tcPr>
                <w:p w14:paraId="18DCB7AA">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0.25</w:t>
                  </w:r>
                </w:p>
              </w:tc>
              <w:tc>
                <w:tcPr>
                  <w:tcW w:w="647" w:type="pct"/>
                  <w:shd w:val="clear" w:color="auto" w:fill="auto"/>
                  <w:vAlign w:val="center"/>
                </w:tcPr>
                <w:p w14:paraId="667EB053">
                  <w:pPr>
                    <w:widowControl/>
                    <w:jc w:val="center"/>
                    <w:textAlignment w:val="center"/>
                    <w:rPr>
                      <w:rFonts w:ascii="Times New Roman" w:hAnsi="Times New Roman" w:eastAsia="等线" w:cs="Times New Roman"/>
                      <w:kern w:val="2"/>
                      <w:sz w:val="18"/>
                      <w:szCs w:val="18"/>
                      <w:lang w:val="en-US" w:eastAsia="zh-CN" w:bidi="ar-SA"/>
                    </w:rPr>
                  </w:pPr>
                  <w:r>
                    <w:rPr>
                      <w:kern w:val="0"/>
                      <w:sz w:val="18"/>
                      <w:szCs w:val="18"/>
                      <w:lang w:bidi="ar"/>
                    </w:rPr>
                    <w:t>0.0004</w:t>
                  </w:r>
                </w:p>
              </w:tc>
              <w:tc>
                <w:tcPr>
                  <w:tcW w:w="735" w:type="pct"/>
                  <w:vMerge w:val="continue"/>
                  <w:vAlign w:val="center"/>
                </w:tcPr>
                <w:p w14:paraId="253F4981">
                  <w:pPr>
                    <w:adjustRightInd w:val="0"/>
                    <w:snapToGrid w:val="0"/>
                    <w:jc w:val="center"/>
                    <w:rPr>
                      <w:bCs/>
                      <w:sz w:val="18"/>
                      <w:szCs w:val="18"/>
                    </w:rPr>
                  </w:pPr>
                </w:p>
              </w:tc>
            </w:tr>
            <w:tr w14:paraId="5AF326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27BB3AAC">
                  <w:pPr>
                    <w:adjustRightInd w:val="0"/>
                    <w:snapToGrid w:val="0"/>
                    <w:jc w:val="center"/>
                    <w:rPr>
                      <w:sz w:val="18"/>
                      <w:szCs w:val="18"/>
                    </w:rPr>
                  </w:pPr>
                  <w:r>
                    <w:rPr>
                      <w:rFonts w:hint="eastAsia"/>
                      <w:sz w:val="18"/>
                      <w:szCs w:val="18"/>
                    </w:rPr>
                    <w:t>26</w:t>
                  </w:r>
                </w:p>
              </w:tc>
              <w:tc>
                <w:tcPr>
                  <w:tcW w:w="876" w:type="pct"/>
                  <w:shd w:val="clear" w:color="auto" w:fill="auto"/>
                  <w:vAlign w:val="center"/>
                </w:tcPr>
                <w:p w14:paraId="54C6A788">
                  <w:pPr>
                    <w:widowControl/>
                    <w:jc w:val="center"/>
                    <w:textAlignment w:val="center"/>
                    <w:rPr>
                      <w:rFonts w:ascii="Times New Roman" w:hAnsi="Times New Roman" w:eastAsia="宋体" w:cs="Times New Roman"/>
                      <w:kern w:val="2"/>
                      <w:sz w:val="18"/>
                      <w:szCs w:val="18"/>
                      <w:lang w:val="en-US" w:eastAsia="zh-CN" w:bidi="ar-SA"/>
                    </w:rPr>
                  </w:pPr>
                  <w:r>
                    <w:rPr>
                      <w:rFonts w:hint="eastAsia" w:ascii="宋体" w:hAnsi="宋体" w:cs="宋体"/>
                      <w:kern w:val="0"/>
                      <w:sz w:val="18"/>
                      <w:szCs w:val="18"/>
                      <w:lang w:bidi="ar"/>
                    </w:rPr>
                    <w:t>钼</w:t>
                  </w:r>
                </w:p>
              </w:tc>
              <w:tc>
                <w:tcPr>
                  <w:tcW w:w="655" w:type="pct"/>
                  <w:shd w:val="clear" w:color="auto" w:fill="auto"/>
                  <w:vAlign w:val="center"/>
                </w:tcPr>
                <w:p w14:paraId="6415FE72">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0.0005</w:t>
                  </w:r>
                </w:p>
              </w:tc>
              <w:tc>
                <w:tcPr>
                  <w:tcW w:w="648" w:type="pct"/>
                  <w:shd w:val="clear" w:color="auto" w:fill="auto"/>
                  <w:vAlign w:val="center"/>
                </w:tcPr>
                <w:p w14:paraId="3ACF46C9">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3CDB7206">
                  <w:pPr>
                    <w:widowControl/>
                    <w:jc w:val="center"/>
                    <w:textAlignment w:val="center"/>
                    <w:rPr>
                      <w:rFonts w:ascii="Times New Roman" w:hAnsi="Times New Roman" w:eastAsia="宋体" w:cs="Times New Roman"/>
                      <w:kern w:val="0"/>
                      <w:sz w:val="18"/>
                      <w:szCs w:val="18"/>
                      <w:lang w:val="en-US" w:eastAsia="zh-CN" w:bidi="ar-SA"/>
                    </w:rPr>
                  </w:pPr>
                  <w:r>
                    <w:rPr>
                      <w:kern w:val="0"/>
                      <w:sz w:val="18"/>
                      <w:szCs w:val="18"/>
                      <w:lang w:bidi="ar"/>
                    </w:rPr>
                    <w:t>0.0001</w:t>
                  </w:r>
                </w:p>
              </w:tc>
              <w:tc>
                <w:tcPr>
                  <w:tcW w:w="623" w:type="pct"/>
                  <w:shd w:val="clear" w:color="auto" w:fill="auto"/>
                  <w:vAlign w:val="center"/>
                </w:tcPr>
                <w:p w14:paraId="49B22453">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0.25</w:t>
                  </w:r>
                </w:p>
              </w:tc>
              <w:tc>
                <w:tcPr>
                  <w:tcW w:w="647" w:type="pct"/>
                  <w:shd w:val="clear" w:color="auto" w:fill="auto"/>
                  <w:vAlign w:val="center"/>
                </w:tcPr>
                <w:p w14:paraId="52285D51">
                  <w:pPr>
                    <w:widowControl/>
                    <w:jc w:val="center"/>
                    <w:textAlignment w:val="center"/>
                    <w:rPr>
                      <w:rFonts w:ascii="Times New Roman" w:hAnsi="Times New Roman" w:eastAsia="等线" w:cs="Times New Roman"/>
                      <w:kern w:val="2"/>
                      <w:sz w:val="18"/>
                      <w:szCs w:val="18"/>
                      <w:lang w:val="en-US" w:eastAsia="zh-CN" w:bidi="ar-SA"/>
                    </w:rPr>
                  </w:pPr>
                  <w:r>
                    <w:rPr>
                      <w:kern w:val="0"/>
                      <w:sz w:val="18"/>
                      <w:szCs w:val="18"/>
                      <w:lang w:bidi="ar"/>
                    </w:rPr>
                    <w:t>0.0004</w:t>
                  </w:r>
                </w:p>
              </w:tc>
              <w:tc>
                <w:tcPr>
                  <w:tcW w:w="735" w:type="pct"/>
                  <w:vMerge w:val="continue"/>
                  <w:vAlign w:val="center"/>
                </w:tcPr>
                <w:p w14:paraId="7190CC1B">
                  <w:pPr>
                    <w:adjustRightInd w:val="0"/>
                    <w:snapToGrid w:val="0"/>
                    <w:jc w:val="center"/>
                    <w:rPr>
                      <w:bCs/>
                      <w:sz w:val="18"/>
                      <w:szCs w:val="18"/>
                    </w:rPr>
                  </w:pPr>
                </w:p>
              </w:tc>
            </w:tr>
            <w:tr w14:paraId="233C47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3D10AFBD">
                  <w:pPr>
                    <w:adjustRightInd w:val="0"/>
                    <w:snapToGrid w:val="0"/>
                    <w:jc w:val="center"/>
                    <w:rPr>
                      <w:sz w:val="18"/>
                      <w:szCs w:val="18"/>
                    </w:rPr>
                  </w:pPr>
                  <w:r>
                    <w:rPr>
                      <w:rFonts w:hint="eastAsia"/>
                      <w:sz w:val="18"/>
                      <w:szCs w:val="18"/>
                    </w:rPr>
                    <w:t>27</w:t>
                  </w:r>
                </w:p>
              </w:tc>
              <w:tc>
                <w:tcPr>
                  <w:tcW w:w="876" w:type="pct"/>
                  <w:shd w:val="clear" w:color="auto" w:fill="auto"/>
                  <w:vAlign w:val="center"/>
                </w:tcPr>
                <w:p w14:paraId="4432AABE">
                  <w:pPr>
                    <w:widowControl/>
                    <w:jc w:val="center"/>
                    <w:textAlignment w:val="center"/>
                    <w:rPr>
                      <w:rFonts w:ascii="Times New Roman" w:hAnsi="Times New Roman" w:eastAsia="宋体" w:cs="Times New Roman"/>
                      <w:kern w:val="2"/>
                      <w:sz w:val="18"/>
                      <w:szCs w:val="18"/>
                      <w:lang w:val="en-US" w:eastAsia="zh-CN" w:bidi="ar-SA"/>
                    </w:rPr>
                  </w:pPr>
                  <w:r>
                    <w:rPr>
                      <w:rFonts w:hint="eastAsia" w:ascii="宋体" w:hAnsi="宋体" w:cs="宋体"/>
                      <w:kern w:val="0"/>
                      <w:sz w:val="18"/>
                      <w:szCs w:val="18"/>
                      <w:lang w:bidi="ar"/>
                    </w:rPr>
                    <w:t>银</w:t>
                  </w:r>
                </w:p>
              </w:tc>
              <w:tc>
                <w:tcPr>
                  <w:tcW w:w="655" w:type="pct"/>
                  <w:shd w:val="clear" w:color="auto" w:fill="auto"/>
                  <w:vAlign w:val="center"/>
                </w:tcPr>
                <w:p w14:paraId="66CD26FE">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0.0005</w:t>
                  </w:r>
                </w:p>
              </w:tc>
              <w:tc>
                <w:tcPr>
                  <w:tcW w:w="648" w:type="pct"/>
                  <w:shd w:val="clear" w:color="auto" w:fill="auto"/>
                  <w:vAlign w:val="center"/>
                </w:tcPr>
                <w:p w14:paraId="675DD4A8">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15B430F0">
                  <w:pPr>
                    <w:widowControl/>
                    <w:jc w:val="center"/>
                    <w:textAlignment w:val="center"/>
                    <w:rPr>
                      <w:rFonts w:ascii="Times New Roman" w:hAnsi="Times New Roman" w:eastAsia="宋体" w:cs="Times New Roman"/>
                      <w:kern w:val="0"/>
                      <w:sz w:val="18"/>
                      <w:szCs w:val="18"/>
                      <w:lang w:val="en-US" w:eastAsia="zh-CN" w:bidi="ar-SA"/>
                    </w:rPr>
                  </w:pPr>
                  <w:r>
                    <w:rPr>
                      <w:kern w:val="0"/>
                      <w:sz w:val="18"/>
                      <w:szCs w:val="18"/>
                      <w:lang w:bidi="ar"/>
                    </w:rPr>
                    <w:t>0.0001</w:t>
                  </w:r>
                </w:p>
              </w:tc>
              <w:tc>
                <w:tcPr>
                  <w:tcW w:w="623" w:type="pct"/>
                  <w:shd w:val="clear" w:color="auto" w:fill="auto"/>
                  <w:vAlign w:val="center"/>
                </w:tcPr>
                <w:p w14:paraId="3CC61CFD">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0.25</w:t>
                  </w:r>
                </w:p>
              </w:tc>
              <w:tc>
                <w:tcPr>
                  <w:tcW w:w="647" w:type="pct"/>
                  <w:shd w:val="clear" w:color="auto" w:fill="auto"/>
                  <w:vAlign w:val="center"/>
                </w:tcPr>
                <w:p w14:paraId="1752D96C">
                  <w:pPr>
                    <w:widowControl/>
                    <w:jc w:val="center"/>
                    <w:textAlignment w:val="center"/>
                    <w:rPr>
                      <w:rFonts w:ascii="Times New Roman" w:hAnsi="Times New Roman" w:eastAsia="等线" w:cs="Times New Roman"/>
                      <w:kern w:val="2"/>
                      <w:sz w:val="18"/>
                      <w:szCs w:val="18"/>
                      <w:lang w:val="en-US" w:eastAsia="zh-CN" w:bidi="ar-SA"/>
                    </w:rPr>
                  </w:pPr>
                  <w:r>
                    <w:rPr>
                      <w:kern w:val="0"/>
                      <w:sz w:val="18"/>
                      <w:szCs w:val="18"/>
                      <w:lang w:bidi="ar"/>
                    </w:rPr>
                    <w:t>0.0004</w:t>
                  </w:r>
                </w:p>
              </w:tc>
              <w:tc>
                <w:tcPr>
                  <w:tcW w:w="735" w:type="pct"/>
                  <w:vMerge w:val="continue"/>
                  <w:vAlign w:val="center"/>
                </w:tcPr>
                <w:p w14:paraId="606BD0F6">
                  <w:pPr>
                    <w:adjustRightInd w:val="0"/>
                    <w:snapToGrid w:val="0"/>
                    <w:jc w:val="center"/>
                    <w:rPr>
                      <w:bCs/>
                      <w:sz w:val="18"/>
                      <w:szCs w:val="18"/>
                    </w:rPr>
                  </w:pPr>
                </w:p>
              </w:tc>
            </w:tr>
            <w:tr w14:paraId="70DB91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5A848DED">
                  <w:pPr>
                    <w:adjustRightInd w:val="0"/>
                    <w:snapToGrid w:val="0"/>
                    <w:jc w:val="center"/>
                    <w:rPr>
                      <w:sz w:val="18"/>
                      <w:szCs w:val="18"/>
                    </w:rPr>
                  </w:pPr>
                  <w:r>
                    <w:rPr>
                      <w:rFonts w:hint="eastAsia"/>
                      <w:sz w:val="18"/>
                      <w:szCs w:val="18"/>
                    </w:rPr>
                    <w:t>28</w:t>
                  </w:r>
                </w:p>
              </w:tc>
              <w:tc>
                <w:tcPr>
                  <w:tcW w:w="876" w:type="pct"/>
                  <w:shd w:val="clear" w:color="auto" w:fill="auto"/>
                  <w:vAlign w:val="center"/>
                </w:tcPr>
                <w:p w14:paraId="2A45967D">
                  <w:pPr>
                    <w:widowControl/>
                    <w:jc w:val="center"/>
                    <w:textAlignment w:val="center"/>
                    <w:rPr>
                      <w:rFonts w:ascii="Times New Roman" w:hAnsi="Times New Roman" w:eastAsia="宋体" w:cs="Times New Roman"/>
                      <w:kern w:val="2"/>
                      <w:sz w:val="18"/>
                      <w:szCs w:val="18"/>
                      <w:lang w:val="en-US" w:eastAsia="zh-CN" w:bidi="ar-SA"/>
                    </w:rPr>
                  </w:pPr>
                  <w:r>
                    <w:rPr>
                      <w:rFonts w:hint="eastAsia" w:ascii="宋体" w:hAnsi="宋体" w:cs="宋体"/>
                      <w:kern w:val="0"/>
                      <w:sz w:val="18"/>
                      <w:szCs w:val="18"/>
                      <w:lang w:bidi="ar"/>
                    </w:rPr>
                    <w:t>锰</w:t>
                  </w:r>
                </w:p>
              </w:tc>
              <w:tc>
                <w:tcPr>
                  <w:tcW w:w="655" w:type="pct"/>
                  <w:shd w:val="clear" w:color="auto" w:fill="auto"/>
                  <w:vAlign w:val="center"/>
                </w:tcPr>
                <w:p w14:paraId="4AAB07A3">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0.0005</w:t>
                  </w:r>
                </w:p>
              </w:tc>
              <w:tc>
                <w:tcPr>
                  <w:tcW w:w="648" w:type="pct"/>
                  <w:shd w:val="clear" w:color="auto" w:fill="auto"/>
                  <w:vAlign w:val="center"/>
                </w:tcPr>
                <w:p w14:paraId="1E50C3F8">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1B7ACD13">
                  <w:pPr>
                    <w:widowControl/>
                    <w:jc w:val="center"/>
                    <w:textAlignment w:val="center"/>
                    <w:rPr>
                      <w:rFonts w:ascii="Times New Roman" w:hAnsi="Times New Roman" w:eastAsia="宋体" w:cs="Times New Roman"/>
                      <w:kern w:val="0"/>
                      <w:sz w:val="18"/>
                      <w:szCs w:val="18"/>
                      <w:lang w:val="en-US" w:eastAsia="zh-CN" w:bidi="ar-SA"/>
                    </w:rPr>
                  </w:pPr>
                  <w:r>
                    <w:rPr>
                      <w:kern w:val="0"/>
                      <w:sz w:val="18"/>
                      <w:szCs w:val="18"/>
                      <w:lang w:bidi="ar"/>
                    </w:rPr>
                    <w:t>0.0001</w:t>
                  </w:r>
                </w:p>
              </w:tc>
              <w:tc>
                <w:tcPr>
                  <w:tcW w:w="623" w:type="pct"/>
                  <w:shd w:val="clear" w:color="auto" w:fill="auto"/>
                  <w:vAlign w:val="center"/>
                </w:tcPr>
                <w:p w14:paraId="511A0C6C">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0.25</w:t>
                  </w:r>
                </w:p>
              </w:tc>
              <w:tc>
                <w:tcPr>
                  <w:tcW w:w="647" w:type="pct"/>
                  <w:shd w:val="clear" w:color="auto" w:fill="auto"/>
                  <w:vAlign w:val="center"/>
                </w:tcPr>
                <w:p w14:paraId="6F5B5FC0">
                  <w:pPr>
                    <w:widowControl/>
                    <w:jc w:val="center"/>
                    <w:textAlignment w:val="center"/>
                    <w:rPr>
                      <w:rFonts w:ascii="Times New Roman" w:hAnsi="Times New Roman" w:eastAsia="等线" w:cs="Times New Roman"/>
                      <w:kern w:val="2"/>
                      <w:sz w:val="18"/>
                      <w:szCs w:val="18"/>
                      <w:lang w:val="en-US" w:eastAsia="zh-CN" w:bidi="ar-SA"/>
                    </w:rPr>
                  </w:pPr>
                  <w:r>
                    <w:rPr>
                      <w:kern w:val="0"/>
                      <w:sz w:val="18"/>
                      <w:szCs w:val="18"/>
                      <w:lang w:bidi="ar"/>
                    </w:rPr>
                    <w:t>0.0004</w:t>
                  </w:r>
                </w:p>
              </w:tc>
              <w:tc>
                <w:tcPr>
                  <w:tcW w:w="735" w:type="pct"/>
                  <w:vMerge w:val="continue"/>
                  <w:vAlign w:val="center"/>
                </w:tcPr>
                <w:p w14:paraId="1F7544C2">
                  <w:pPr>
                    <w:adjustRightInd w:val="0"/>
                    <w:snapToGrid w:val="0"/>
                    <w:jc w:val="center"/>
                    <w:rPr>
                      <w:bCs/>
                      <w:sz w:val="18"/>
                      <w:szCs w:val="18"/>
                    </w:rPr>
                  </w:pPr>
                </w:p>
              </w:tc>
            </w:tr>
            <w:tr w14:paraId="7B9D80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326EAE72">
                  <w:pPr>
                    <w:adjustRightInd w:val="0"/>
                    <w:snapToGrid w:val="0"/>
                    <w:jc w:val="center"/>
                    <w:rPr>
                      <w:sz w:val="18"/>
                      <w:szCs w:val="18"/>
                    </w:rPr>
                  </w:pPr>
                  <w:r>
                    <w:rPr>
                      <w:rFonts w:hint="eastAsia"/>
                      <w:sz w:val="18"/>
                      <w:szCs w:val="18"/>
                    </w:rPr>
                    <w:t>29</w:t>
                  </w:r>
                </w:p>
              </w:tc>
              <w:tc>
                <w:tcPr>
                  <w:tcW w:w="876" w:type="pct"/>
                  <w:shd w:val="clear" w:color="auto" w:fill="auto"/>
                  <w:vAlign w:val="center"/>
                </w:tcPr>
                <w:p w14:paraId="5B27270D">
                  <w:pPr>
                    <w:widowControl/>
                    <w:jc w:val="center"/>
                    <w:textAlignment w:val="center"/>
                    <w:rPr>
                      <w:rFonts w:ascii="Times New Roman" w:hAnsi="Times New Roman" w:eastAsia="宋体" w:cs="Times New Roman"/>
                      <w:kern w:val="2"/>
                      <w:sz w:val="18"/>
                      <w:szCs w:val="18"/>
                      <w:lang w:val="en-US" w:eastAsia="zh-CN" w:bidi="ar-SA"/>
                    </w:rPr>
                  </w:pPr>
                  <w:r>
                    <w:rPr>
                      <w:rFonts w:hint="eastAsia" w:ascii="宋体" w:hAnsi="宋体" w:cs="宋体"/>
                      <w:kern w:val="0"/>
                      <w:sz w:val="18"/>
                      <w:szCs w:val="18"/>
                      <w:lang w:bidi="ar"/>
                    </w:rPr>
                    <w:t>铬</w:t>
                  </w:r>
                </w:p>
              </w:tc>
              <w:tc>
                <w:tcPr>
                  <w:tcW w:w="655" w:type="pct"/>
                  <w:shd w:val="clear" w:color="auto" w:fill="auto"/>
                  <w:vAlign w:val="center"/>
                </w:tcPr>
                <w:p w14:paraId="0811FD2F">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0.0005</w:t>
                  </w:r>
                </w:p>
              </w:tc>
              <w:tc>
                <w:tcPr>
                  <w:tcW w:w="648" w:type="pct"/>
                  <w:shd w:val="clear" w:color="auto" w:fill="auto"/>
                  <w:vAlign w:val="center"/>
                </w:tcPr>
                <w:p w14:paraId="352AB749">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42C642BC">
                  <w:pPr>
                    <w:widowControl/>
                    <w:jc w:val="center"/>
                    <w:textAlignment w:val="center"/>
                    <w:rPr>
                      <w:rFonts w:ascii="Times New Roman" w:hAnsi="Times New Roman" w:eastAsia="宋体" w:cs="Times New Roman"/>
                      <w:kern w:val="0"/>
                      <w:sz w:val="18"/>
                      <w:szCs w:val="18"/>
                      <w:lang w:val="en-US" w:eastAsia="zh-CN" w:bidi="ar-SA"/>
                    </w:rPr>
                  </w:pPr>
                  <w:r>
                    <w:rPr>
                      <w:kern w:val="0"/>
                      <w:sz w:val="18"/>
                      <w:szCs w:val="18"/>
                      <w:lang w:bidi="ar"/>
                    </w:rPr>
                    <w:t>0.0001</w:t>
                  </w:r>
                </w:p>
              </w:tc>
              <w:tc>
                <w:tcPr>
                  <w:tcW w:w="623" w:type="pct"/>
                  <w:shd w:val="clear" w:color="auto" w:fill="auto"/>
                  <w:vAlign w:val="center"/>
                </w:tcPr>
                <w:p w14:paraId="4AFB109F">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0.25</w:t>
                  </w:r>
                </w:p>
              </w:tc>
              <w:tc>
                <w:tcPr>
                  <w:tcW w:w="647" w:type="pct"/>
                  <w:shd w:val="clear" w:color="auto" w:fill="auto"/>
                  <w:vAlign w:val="center"/>
                </w:tcPr>
                <w:p w14:paraId="1CB973F0">
                  <w:pPr>
                    <w:widowControl/>
                    <w:jc w:val="center"/>
                    <w:textAlignment w:val="center"/>
                    <w:rPr>
                      <w:rFonts w:ascii="Times New Roman" w:hAnsi="Times New Roman" w:eastAsia="等线" w:cs="Times New Roman"/>
                      <w:kern w:val="2"/>
                      <w:sz w:val="18"/>
                      <w:szCs w:val="18"/>
                      <w:lang w:val="en-US" w:eastAsia="zh-CN" w:bidi="ar-SA"/>
                    </w:rPr>
                  </w:pPr>
                  <w:r>
                    <w:rPr>
                      <w:kern w:val="0"/>
                      <w:sz w:val="18"/>
                      <w:szCs w:val="18"/>
                      <w:lang w:bidi="ar"/>
                    </w:rPr>
                    <w:t>0.0004</w:t>
                  </w:r>
                </w:p>
              </w:tc>
              <w:tc>
                <w:tcPr>
                  <w:tcW w:w="735" w:type="pct"/>
                  <w:vMerge w:val="continue"/>
                  <w:vAlign w:val="center"/>
                </w:tcPr>
                <w:p w14:paraId="11A17F4E">
                  <w:pPr>
                    <w:adjustRightInd w:val="0"/>
                    <w:snapToGrid w:val="0"/>
                    <w:jc w:val="center"/>
                    <w:rPr>
                      <w:bCs/>
                      <w:sz w:val="18"/>
                      <w:szCs w:val="18"/>
                    </w:rPr>
                  </w:pPr>
                </w:p>
              </w:tc>
            </w:tr>
            <w:tr w14:paraId="03403B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64669573">
                  <w:pPr>
                    <w:adjustRightInd w:val="0"/>
                    <w:snapToGrid w:val="0"/>
                    <w:jc w:val="center"/>
                    <w:rPr>
                      <w:sz w:val="18"/>
                      <w:szCs w:val="18"/>
                    </w:rPr>
                  </w:pPr>
                  <w:r>
                    <w:rPr>
                      <w:rFonts w:hint="eastAsia"/>
                      <w:sz w:val="18"/>
                      <w:szCs w:val="18"/>
                    </w:rPr>
                    <w:t>30</w:t>
                  </w:r>
                </w:p>
              </w:tc>
              <w:tc>
                <w:tcPr>
                  <w:tcW w:w="876" w:type="pct"/>
                  <w:shd w:val="clear" w:color="auto" w:fill="auto"/>
                  <w:vAlign w:val="center"/>
                </w:tcPr>
                <w:p w14:paraId="4E8048E6">
                  <w:pPr>
                    <w:widowControl/>
                    <w:jc w:val="center"/>
                    <w:textAlignment w:val="center"/>
                    <w:rPr>
                      <w:rFonts w:ascii="Times New Roman" w:hAnsi="Times New Roman" w:eastAsia="宋体" w:cs="Times New Roman"/>
                      <w:kern w:val="2"/>
                      <w:sz w:val="18"/>
                      <w:szCs w:val="18"/>
                      <w:lang w:val="en-US" w:eastAsia="zh-CN" w:bidi="ar-SA"/>
                    </w:rPr>
                  </w:pPr>
                  <w:r>
                    <w:rPr>
                      <w:rFonts w:hint="eastAsia" w:ascii="宋体" w:hAnsi="宋体" w:cs="宋体"/>
                      <w:kern w:val="0"/>
                      <w:sz w:val="18"/>
                      <w:szCs w:val="18"/>
                      <w:lang w:bidi="ar"/>
                    </w:rPr>
                    <w:t>镍</w:t>
                  </w:r>
                </w:p>
              </w:tc>
              <w:tc>
                <w:tcPr>
                  <w:tcW w:w="655" w:type="pct"/>
                  <w:shd w:val="clear" w:color="auto" w:fill="auto"/>
                  <w:vAlign w:val="center"/>
                </w:tcPr>
                <w:p w14:paraId="2A797D84">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0.0005</w:t>
                  </w:r>
                </w:p>
              </w:tc>
              <w:tc>
                <w:tcPr>
                  <w:tcW w:w="648" w:type="pct"/>
                  <w:shd w:val="clear" w:color="auto" w:fill="auto"/>
                  <w:vAlign w:val="center"/>
                </w:tcPr>
                <w:p w14:paraId="11D10241">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1A502E2A">
                  <w:pPr>
                    <w:widowControl/>
                    <w:jc w:val="center"/>
                    <w:textAlignment w:val="center"/>
                    <w:rPr>
                      <w:rFonts w:ascii="Times New Roman" w:hAnsi="Times New Roman" w:eastAsia="宋体" w:cs="Times New Roman"/>
                      <w:kern w:val="0"/>
                      <w:sz w:val="18"/>
                      <w:szCs w:val="18"/>
                      <w:lang w:val="en-US" w:eastAsia="zh-CN" w:bidi="ar-SA"/>
                    </w:rPr>
                  </w:pPr>
                  <w:r>
                    <w:rPr>
                      <w:kern w:val="0"/>
                      <w:sz w:val="18"/>
                      <w:szCs w:val="18"/>
                      <w:lang w:bidi="ar"/>
                    </w:rPr>
                    <w:t>0.0001</w:t>
                  </w:r>
                </w:p>
              </w:tc>
              <w:tc>
                <w:tcPr>
                  <w:tcW w:w="623" w:type="pct"/>
                  <w:shd w:val="clear" w:color="auto" w:fill="auto"/>
                  <w:vAlign w:val="center"/>
                </w:tcPr>
                <w:p w14:paraId="1107BDBA">
                  <w:pPr>
                    <w:widowControl/>
                    <w:jc w:val="center"/>
                    <w:textAlignment w:val="center"/>
                    <w:rPr>
                      <w:rFonts w:ascii="Times New Roman" w:hAnsi="Times New Roman" w:eastAsia="宋体" w:cs="Times New Roman"/>
                      <w:kern w:val="2"/>
                      <w:sz w:val="18"/>
                      <w:szCs w:val="18"/>
                      <w:lang w:val="en-US" w:eastAsia="zh-CN" w:bidi="ar-SA"/>
                    </w:rPr>
                  </w:pPr>
                  <w:r>
                    <w:rPr>
                      <w:kern w:val="0"/>
                      <w:sz w:val="18"/>
                      <w:szCs w:val="18"/>
                      <w:lang w:bidi="ar"/>
                    </w:rPr>
                    <w:t>0.25</w:t>
                  </w:r>
                </w:p>
              </w:tc>
              <w:tc>
                <w:tcPr>
                  <w:tcW w:w="647" w:type="pct"/>
                  <w:shd w:val="clear" w:color="auto" w:fill="auto"/>
                  <w:vAlign w:val="center"/>
                </w:tcPr>
                <w:p w14:paraId="71065272">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0.0004</w:t>
                  </w:r>
                </w:p>
              </w:tc>
              <w:tc>
                <w:tcPr>
                  <w:tcW w:w="735" w:type="pct"/>
                  <w:vMerge w:val="continue"/>
                  <w:vAlign w:val="center"/>
                </w:tcPr>
                <w:p w14:paraId="1A95E35E">
                  <w:pPr>
                    <w:adjustRightInd w:val="0"/>
                    <w:snapToGrid w:val="0"/>
                    <w:jc w:val="center"/>
                    <w:rPr>
                      <w:bCs/>
                      <w:sz w:val="18"/>
                      <w:szCs w:val="18"/>
                    </w:rPr>
                  </w:pPr>
                </w:p>
              </w:tc>
            </w:tr>
            <w:tr w14:paraId="1978C9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523E5455">
                  <w:pPr>
                    <w:adjustRightInd w:val="0"/>
                    <w:snapToGrid w:val="0"/>
                    <w:jc w:val="center"/>
                    <w:rPr>
                      <w:sz w:val="18"/>
                      <w:szCs w:val="18"/>
                    </w:rPr>
                  </w:pPr>
                  <w:r>
                    <w:rPr>
                      <w:rFonts w:hint="eastAsia"/>
                      <w:sz w:val="18"/>
                      <w:szCs w:val="18"/>
                    </w:rPr>
                    <w:t>31</w:t>
                  </w:r>
                </w:p>
              </w:tc>
              <w:tc>
                <w:tcPr>
                  <w:tcW w:w="876" w:type="pct"/>
                  <w:shd w:val="clear" w:color="auto" w:fill="auto"/>
                  <w:vAlign w:val="center"/>
                </w:tcPr>
                <w:p w14:paraId="3C361DB8">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乙二胺四乙酸二钠</w:t>
                  </w:r>
                </w:p>
              </w:tc>
              <w:tc>
                <w:tcPr>
                  <w:tcW w:w="655" w:type="pct"/>
                  <w:shd w:val="clear" w:color="auto" w:fill="auto"/>
                  <w:vAlign w:val="center"/>
                </w:tcPr>
                <w:p w14:paraId="031EE859">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0.005</w:t>
                  </w:r>
                </w:p>
              </w:tc>
              <w:tc>
                <w:tcPr>
                  <w:tcW w:w="648" w:type="pct"/>
                  <w:shd w:val="clear" w:color="auto" w:fill="auto"/>
                  <w:vAlign w:val="center"/>
                </w:tcPr>
                <w:p w14:paraId="53C46344">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302105BE">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0.002</w:t>
                  </w:r>
                </w:p>
              </w:tc>
              <w:tc>
                <w:tcPr>
                  <w:tcW w:w="623" w:type="pct"/>
                  <w:shd w:val="clear" w:color="auto" w:fill="auto"/>
                  <w:vAlign w:val="center"/>
                </w:tcPr>
                <w:p w14:paraId="7DE612ED">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7E71042E">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0.00004</w:t>
                  </w:r>
                </w:p>
              </w:tc>
              <w:tc>
                <w:tcPr>
                  <w:tcW w:w="735" w:type="pct"/>
                  <w:vMerge w:val="continue"/>
                  <w:vAlign w:val="center"/>
                </w:tcPr>
                <w:p w14:paraId="50BA631A">
                  <w:pPr>
                    <w:adjustRightInd w:val="0"/>
                    <w:snapToGrid w:val="0"/>
                    <w:jc w:val="center"/>
                    <w:rPr>
                      <w:bCs/>
                      <w:sz w:val="18"/>
                      <w:szCs w:val="18"/>
                    </w:rPr>
                  </w:pPr>
                </w:p>
              </w:tc>
            </w:tr>
            <w:tr w14:paraId="638AF6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49CA3F9A">
                  <w:pPr>
                    <w:adjustRightInd w:val="0"/>
                    <w:snapToGrid w:val="0"/>
                    <w:jc w:val="center"/>
                    <w:rPr>
                      <w:sz w:val="18"/>
                      <w:szCs w:val="18"/>
                    </w:rPr>
                  </w:pPr>
                  <w:r>
                    <w:rPr>
                      <w:rFonts w:hint="eastAsia"/>
                      <w:sz w:val="18"/>
                      <w:szCs w:val="18"/>
                    </w:rPr>
                    <w:t>32</w:t>
                  </w:r>
                </w:p>
              </w:tc>
              <w:tc>
                <w:tcPr>
                  <w:tcW w:w="876" w:type="pct"/>
                  <w:shd w:val="clear" w:color="auto" w:fill="auto"/>
                  <w:vAlign w:val="center"/>
                </w:tcPr>
                <w:p w14:paraId="6EF6CDA3">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草酸</w:t>
                  </w:r>
                </w:p>
              </w:tc>
              <w:tc>
                <w:tcPr>
                  <w:tcW w:w="655" w:type="pct"/>
                  <w:shd w:val="clear" w:color="auto" w:fill="auto"/>
                  <w:vAlign w:val="center"/>
                </w:tcPr>
                <w:p w14:paraId="0D3BC620">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0.002</w:t>
                  </w:r>
                </w:p>
              </w:tc>
              <w:tc>
                <w:tcPr>
                  <w:tcW w:w="648" w:type="pct"/>
                  <w:shd w:val="clear" w:color="auto" w:fill="auto"/>
                  <w:vAlign w:val="center"/>
                </w:tcPr>
                <w:p w14:paraId="492C8048">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4B422F02">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45124C4C">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6A05E104">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7E963562">
                  <w:pPr>
                    <w:adjustRightInd w:val="0"/>
                    <w:snapToGrid w:val="0"/>
                    <w:jc w:val="center"/>
                    <w:rPr>
                      <w:bCs/>
                      <w:sz w:val="18"/>
                      <w:szCs w:val="18"/>
                    </w:rPr>
                  </w:pPr>
                </w:p>
              </w:tc>
            </w:tr>
            <w:tr w14:paraId="3F460A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6510F779">
                  <w:pPr>
                    <w:adjustRightInd w:val="0"/>
                    <w:snapToGrid w:val="0"/>
                    <w:jc w:val="center"/>
                    <w:rPr>
                      <w:sz w:val="18"/>
                      <w:szCs w:val="18"/>
                    </w:rPr>
                  </w:pPr>
                  <w:r>
                    <w:rPr>
                      <w:rFonts w:hint="eastAsia"/>
                      <w:sz w:val="18"/>
                      <w:szCs w:val="18"/>
                    </w:rPr>
                    <w:t>33</w:t>
                  </w:r>
                </w:p>
              </w:tc>
              <w:tc>
                <w:tcPr>
                  <w:tcW w:w="876" w:type="pct"/>
                  <w:shd w:val="clear" w:color="auto" w:fill="auto"/>
                  <w:vAlign w:val="center"/>
                </w:tcPr>
                <w:p w14:paraId="56F2D298">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草酸二钾</w:t>
                  </w:r>
                </w:p>
              </w:tc>
              <w:tc>
                <w:tcPr>
                  <w:tcW w:w="655" w:type="pct"/>
                  <w:shd w:val="clear" w:color="auto" w:fill="auto"/>
                  <w:vAlign w:val="center"/>
                </w:tcPr>
                <w:p w14:paraId="3C85F1CD">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0.002</w:t>
                  </w:r>
                </w:p>
              </w:tc>
              <w:tc>
                <w:tcPr>
                  <w:tcW w:w="648" w:type="pct"/>
                  <w:shd w:val="clear" w:color="auto" w:fill="auto"/>
                  <w:vAlign w:val="center"/>
                </w:tcPr>
                <w:p w14:paraId="799A247B">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297668D0">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3E9FBD38">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112AD607">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3361855D">
                  <w:pPr>
                    <w:adjustRightInd w:val="0"/>
                    <w:snapToGrid w:val="0"/>
                    <w:jc w:val="center"/>
                    <w:rPr>
                      <w:bCs/>
                      <w:sz w:val="18"/>
                      <w:szCs w:val="18"/>
                    </w:rPr>
                  </w:pPr>
                </w:p>
              </w:tc>
            </w:tr>
            <w:tr w14:paraId="58084C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7D19B915">
                  <w:pPr>
                    <w:adjustRightInd w:val="0"/>
                    <w:snapToGrid w:val="0"/>
                    <w:jc w:val="center"/>
                    <w:rPr>
                      <w:sz w:val="18"/>
                      <w:szCs w:val="18"/>
                    </w:rPr>
                  </w:pPr>
                  <w:r>
                    <w:rPr>
                      <w:rFonts w:hint="eastAsia"/>
                      <w:sz w:val="18"/>
                      <w:szCs w:val="18"/>
                    </w:rPr>
                    <w:t>34</w:t>
                  </w:r>
                </w:p>
              </w:tc>
              <w:tc>
                <w:tcPr>
                  <w:tcW w:w="876" w:type="pct"/>
                  <w:shd w:val="clear" w:color="auto" w:fill="auto"/>
                  <w:vAlign w:val="center"/>
                </w:tcPr>
                <w:p w14:paraId="5EDE4D91">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草酸钠</w:t>
                  </w:r>
                </w:p>
              </w:tc>
              <w:tc>
                <w:tcPr>
                  <w:tcW w:w="655" w:type="pct"/>
                  <w:shd w:val="clear" w:color="auto" w:fill="auto"/>
                  <w:vAlign w:val="center"/>
                </w:tcPr>
                <w:p w14:paraId="1152A618">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0.002</w:t>
                  </w:r>
                </w:p>
              </w:tc>
              <w:tc>
                <w:tcPr>
                  <w:tcW w:w="648" w:type="pct"/>
                  <w:shd w:val="clear" w:color="auto" w:fill="auto"/>
                  <w:vAlign w:val="center"/>
                </w:tcPr>
                <w:p w14:paraId="2ABAA835">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55D3C9A7">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23" w:type="pct"/>
                  <w:shd w:val="clear" w:color="auto" w:fill="auto"/>
                  <w:vAlign w:val="center"/>
                </w:tcPr>
                <w:p w14:paraId="38EBE1B0">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4C3DE47E">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0.00002</w:t>
                  </w:r>
                </w:p>
              </w:tc>
              <w:tc>
                <w:tcPr>
                  <w:tcW w:w="735" w:type="pct"/>
                  <w:vMerge w:val="continue"/>
                  <w:vAlign w:val="center"/>
                </w:tcPr>
                <w:p w14:paraId="7D73A184">
                  <w:pPr>
                    <w:adjustRightInd w:val="0"/>
                    <w:snapToGrid w:val="0"/>
                    <w:jc w:val="center"/>
                    <w:rPr>
                      <w:bCs/>
                      <w:sz w:val="18"/>
                      <w:szCs w:val="18"/>
                    </w:rPr>
                  </w:pPr>
                </w:p>
              </w:tc>
            </w:tr>
            <w:tr w14:paraId="2572F1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51771416">
                  <w:pPr>
                    <w:adjustRightInd w:val="0"/>
                    <w:snapToGrid w:val="0"/>
                    <w:jc w:val="center"/>
                    <w:rPr>
                      <w:sz w:val="18"/>
                      <w:szCs w:val="18"/>
                    </w:rPr>
                  </w:pPr>
                  <w:r>
                    <w:rPr>
                      <w:rFonts w:hint="eastAsia"/>
                      <w:sz w:val="18"/>
                      <w:szCs w:val="18"/>
                    </w:rPr>
                    <w:t>35</w:t>
                  </w:r>
                </w:p>
              </w:tc>
              <w:tc>
                <w:tcPr>
                  <w:tcW w:w="876" w:type="pct"/>
                  <w:shd w:val="clear" w:color="auto" w:fill="auto"/>
                  <w:vAlign w:val="center"/>
                </w:tcPr>
                <w:p w14:paraId="604A71FF">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醋酸钙</w:t>
                  </w:r>
                </w:p>
              </w:tc>
              <w:tc>
                <w:tcPr>
                  <w:tcW w:w="655" w:type="pct"/>
                  <w:shd w:val="clear" w:color="auto" w:fill="auto"/>
                  <w:vAlign w:val="center"/>
                </w:tcPr>
                <w:p w14:paraId="230433F5">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0.002</w:t>
                  </w:r>
                </w:p>
              </w:tc>
              <w:tc>
                <w:tcPr>
                  <w:tcW w:w="648" w:type="pct"/>
                  <w:shd w:val="clear" w:color="auto" w:fill="auto"/>
                  <w:vAlign w:val="center"/>
                </w:tcPr>
                <w:p w14:paraId="7349FC31">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785CDADC">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23" w:type="pct"/>
                  <w:shd w:val="clear" w:color="auto" w:fill="auto"/>
                  <w:vAlign w:val="center"/>
                </w:tcPr>
                <w:p w14:paraId="1D451BE4">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7F4BB7F1">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0.00002</w:t>
                  </w:r>
                </w:p>
              </w:tc>
              <w:tc>
                <w:tcPr>
                  <w:tcW w:w="735" w:type="pct"/>
                  <w:vMerge w:val="continue"/>
                  <w:vAlign w:val="center"/>
                </w:tcPr>
                <w:p w14:paraId="16DC88A5">
                  <w:pPr>
                    <w:adjustRightInd w:val="0"/>
                    <w:snapToGrid w:val="0"/>
                    <w:jc w:val="center"/>
                    <w:rPr>
                      <w:bCs/>
                      <w:sz w:val="18"/>
                      <w:szCs w:val="18"/>
                    </w:rPr>
                  </w:pPr>
                </w:p>
              </w:tc>
            </w:tr>
            <w:tr w14:paraId="4DDBCE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45AB0AEB">
                  <w:pPr>
                    <w:adjustRightInd w:val="0"/>
                    <w:snapToGrid w:val="0"/>
                    <w:jc w:val="center"/>
                    <w:rPr>
                      <w:sz w:val="18"/>
                      <w:szCs w:val="18"/>
                    </w:rPr>
                  </w:pPr>
                  <w:r>
                    <w:rPr>
                      <w:rFonts w:hint="eastAsia"/>
                      <w:sz w:val="18"/>
                      <w:szCs w:val="18"/>
                    </w:rPr>
                    <w:t>36</w:t>
                  </w:r>
                </w:p>
              </w:tc>
              <w:tc>
                <w:tcPr>
                  <w:tcW w:w="876" w:type="pct"/>
                  <w:shd w:val="clear" w:color="auto" w:fill="auto"/>
                  <w:vAlign w:val="center"/>
                </w:tcPr>
                <w:p w14:paraId="4DCEA3C6">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醋酸钠</w:t>
                  </w:r>
                </w:p>
              </w:tc>
              <w:tc>
                <w:tcPr>
                  <w:tcW w:w="655" w:type="pct"/>
                  <w:shd w:val="clear" w:color="auto" w:fill="auto"/>
                  <w:vAlign w:val="center"/>
                </w:tcPr>
                <w:p w14:paraId="0B6DCAEF">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0.004</w:t>
                  </w:r>
                </w:p>
              </w:tc>
              <w:tc>
                <w:tcPr>
                  <w:tcW w:w="648" w:type="pct"/>
                  <w:shd w:val="clear" w:color="auto" w:fill="auto"/>
                  <w:vAlign w:val="center"/>
                </w:tcPr>
                <w:p w14:paraId="0E0EEACD">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6D5261E2">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23" w:type="pct"/>
                  <w:shd w:val="clear" w:color="auto" w:fill="auto"/>
                  <w:vAlign w:val="center"/>
                </w:tcPr>
                <w:p w14:paraId="0C8209C6">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73BDAF58">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0.00002</w:t>
                  </w:r>
                </w:p>
              </w:tc>
              <w:tc>
                <w:tcPr>
                  <w:tcW w:w="735" w:type="pct"/>
                  <w:vMerge w:val="continue"/>
                  <w:vAlign w:val="center"/>
                </w:tcPr>
                <w:p w14:paraId="4EFCA892">
                  <w:pPr>
                    <w:adjustRightInd w:val="0"/>
                    <w:snapToGrid w:val="0"/>
                    <w:jc w:val="center"/>
                    <w:rPr>
                      <w:bCs/>
                      <w:sz w:val="18"/>
                      <w:szCs w:val="18"/>
                    </w:rPr>
                  </w:pPr>
                </w:p>
              </w:tc>
            </w:tr>
            <w:tr w14:paraId="297DAE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04906F3D">
                  <w:pPr>
                    <w:adjustRightInd w:val="0"/>
                    <w:snapToGrid w:val="0"/>
                    <w:jc w:val="center"/>
                    <w:rPr>
                      <w:sz w:val="18"/>
                      <w:szCs w:val="18"/>
                    </w:rPr>
                  </w:pPr>
                  <w:r>
                    <w:rPr>
                      <w:rFonts w:hint="eastAsia"/>
                      <w:sz w:val="18"/>
                      <w:szCs w:val="18"/>
                    </w:rPr>
                    <w:t>37</w:t>
                  </w:r>
                </w:p>
              </w:tc>
              <w:tc>
                <w:tcPr>
                  <w:tcW w:w="876" w:type="pct"/>
                  <w:shd w:val="clear" w:color="auto" w:fill="auto"/>
                  <w:vAlign w:val="center"/>
                </w:tcPr>
                <w:p w14:paraId="3408337A">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邻苯二甲酸氢钾</w:t>
                  </w:r>
                </w:p>
              </w:tc>
              <w:tc>
                <w:tcPr>
                  <w:tcW w:w="655" w:type="pct"/>
                  <w:shd w:val="clear" w:color="auto" w:fill="auto"/>
                  <w:vAlign w:val="center"/>
                </w:tcPr>
                <w:p w14:paraId="39ABB1A0">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0.002</w:t>
                  </w:r>
                </w:p>
              </w:tc>
              <w:tc>
                <w:tcPr>
                  <w:tcW w:w="648" w:type="pct"/>
                  <w:shd w:val="clear" w:color="auto" w:fill="auto"/>
                  <w:vAlign w:val="center"/>
                </w:tcPr>
                <w:p w14:paraId="0ACA2CF5">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092B60B7">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23" w:type="pct"/>
                  <w:shd w:val="clear" w:color="auto" w:fill="auto"/>
                  <w:vAlign w:val="center"/>
                </w:tcPr>
                <w:p w14:paraId="6029F850">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4527F8DE">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0.00002</w:t>
                  </w:r>
                </w:p>
              </w:tc>
              <w:tc>
                <w:tcPr>
                  <w:tcW w:w="735" w:type="pct"/>
                  <w:vMerge w:val="continue"/>
                  <w:vAlign w:val="center"/>
                </w:tcPr>
                <w:p w14:paraId="29833464">
                  <w:pPr>
                    <w:adjustRightInd w:val="0"/>
                    <w:snapToGrid w:val="0"/>
                    <w:jc w:val="center"/>
                    <w:rPr>
                      <w:bCs/>
                      <w:sz w:val="18"/>
                      <w:szCs w:val="18"/>
                    </w:rPr>
                  </w:pPr>
                </w:p>
              </w:tc>
            </w:tr>
            <w:tr w14:paraId="1A388B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55A40914">
                  <w:pPr>
                    <w:adjustRightInd w:val="0"/>
                    <w:snapToGrid w:val="0"/>
                    <w:jc w:val="center"/>
                    <w:rPr>
                      <w:sz w:val="18"/>
                      <w:szCs w:val="18"/>
                    </w:rPr>
                  </w:pPr>
                  <w:r>
                    <w:rPr>
                      <w:rFonts w:hint="eastAsia"/>
                      <w:sz w:val="18"/>
                      <w:szCs w:val="18"/>
                    </w:rPr>
                    <w:t>38</w:t>
                  </w:r>
                </w:p>
              </w:tc>
              <w:tc>
                <w:tcPr>
                  <w:tcW w:w="876" w:type="pct"/>
                  <w:shd w:val="clear" w:color="auto" w:fill="auto"/>
                  <w:vAlign w:val="center"/>
                </w:tcPr>
                <w:p w14:paraId="10FD2E5E">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重铬酸钾</w:t>
                  </w:r>
                </w:p>
              </w:tc>
              <w:tc>
                <w:tcPr>
                  <w:tcW w:w="655" w:type="pct"/>
                  <w:shd w:val="clear" w:color="auto" w:fill="auto"/>
                  <w:vAlign w:val="center"/>
                </w:tcPr>
                <w:p w14:paraId="5BE8876A">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0.003</w:t>
                  </w:r>
                </w:p>
              </w:tc>
              <w:tc>
                <w:tcPr>
                  <w:tcW w:w="648" w:type="pct"/>
                  <w:shd w:val="clear" w:color="auto" w:fill="auto"/>
                  <w:vAlign w:val="center"/>
                </w:tcPr>
                <w:p w14:paraId="029FE15A">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4A94E621">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23" w:type="pct"/>
                  <w:shd w:val="clear" w:color="auto" w:fill="auto"/>
                  <w:vAlign w:val="center"/>
                </w:tcPr>
                <w:p w14:paraId="4D4D4ED1">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0CEB4816">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0.00002</w:t>
                  </w:r>
                </w:p>
              </w:tc>
              <w:tc>
                <w:tcPr>
                  <w:tcW w:w="735" w:type="pct"/>
                  <w:vMerge w:val="continue"/>
                  <w:vAlign w:val="center"/>
                </w:tcPr>
                <w:p w14:paraId="7D1142B1">
                  <w:pPr>
                    <w:adjustRightInd w:val="0"/>
                    <w:snapToGrid w:val="0"/>
                    <w:jc w:val="center"/>
                    <w:rPr>
                      <w:bCs/>
                      <w:sz w:val="18"/>
                      <w:szCs w:val="18"/>
                    </w:rPr>
                  </w:pPr>
                </w:p>
              </w:tc>
            </w:tr>
            <w:tr w14:paraId="4AEF57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3CD39455">
                  <w:pPr>
                    <w:widowControl/>
                    <w:jc w:val="center"/>
                    <w:textAlignment w:val="center"/>
                    <w:rPr>
                      <w:sz w:val="18"/>
                      <w:szCs w:val="18"/>
                    </w:rPr>
                  </w:pPr>
                  <w:r>
                    <w:rPr>
                      <w:kern w:val="0"/>
                      <w:sz w:val="18"/>
                      <w:szCs w:val="18"/>
                      <w:lang w:bidi="ar"/>
                    </w:rPr>
                    <w:t>39</w:t>
                  </w:r>
                </w:p>
              </w:tc>
              <w:tc>
                <w:tcPr>
                  <w:tcW w:w="876" w:type="pct"/>
                  <w:shd w:val="clear" w:color="auto" w:fill="auto"/>
                  <w:vAlign w:val="center"/>
                </w:tcPr>
                <w:p w14:paraId="5DC90B64">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氧化锌</w:t>
                  </w:r>
                </w:p>
              </w:tc>
              <w:tc>
                <w:tcPr>
                  <w:tcW w:w="655" w:type="pct"/>
                  <w:shd w:val="clear" w:color="auto" w:fill="auto"/>
                  <w:vAlign w:val="center"/>
                </w:tcPr>
                <w:p w14:paraId="068E7134">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48" w:type="pct"/>
                  <w:shd w:val="clear" w:color="auto" w:fill="auto"/>
                  <w:vAlign w:val="center"/>
                </w:tcPr>
                <w:p w14:paraId="5A2D9622">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0F7C103E">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23" w:type="pct"/>
                  <w:shd w:val="clear" w:color="auto" w:fill="auto"/>
                  <w:vAlign w:val="center"/>
                </w:tcPr>
                <w:p w14:paraId="3288A072">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28146B1B">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0.00002</w:t>
                  </w:r>
                </w:p>
              </w:tc>
              <w:tc>
                <w:tcPr>
                  <w:tcW w:w="735" w:type="pct"/>
                  <w:vMerge w:val="continue"/>
                  <w:vAlign w:val="center"/>
                </w:tcPr>
                <w:p w14:paraId="4B598A71">
                  <w:pPr>
                    <w:adjustRightInd w:val="0"/>
                    <w:snapToGrid w:val="0"/>
                    <w:jc w:val="center"/>
                    <w:rPr>
                      <w:bCs/>
                      <w:sz w:val="18"/>
                      <w:szCs w:val="18"/>
                    </w:rPr>
                  </w:pPr>
                </w:p>
              </w:tc>
            </w:tr>
            <w:tr w14:paraId="4EEC21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63E6EFBA">
                  <w:pPr>
                    <w:widowControl/>
                    <w:jc w:val="center"/>
                    <w:textAlignment w:val="center"/>
                    <w:rPr>
                      <w:sz w:val="18"/>
                      <w:szCs w:val="18"/>
                    </w:rPr>
                  </w:pPr>
                  <w:r>
                    <w:rPr>
                      <w:kern w:val="0"/>
                      <w:sz w:val="18"/>
                      <w:szCs w:val="18"/>
                      <w:lang w:bidi="ar"/>
                    </w:rPr>
                    <w:t>40</w:t>
                  </w:r>
                </w:p>
              </w:tc>
              <w:tc>
                <w:tcPr>
                  <w:tcW w:w="876" w:type="pct"/>
                  <w:shd w:val="clear" w:color="auto" w:fill="auto"/>
                  <w:vAlign w:val="center"/>
                </w:tcPr>
                <w:p w14:paraId="2FBDB650">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碳酸钠</w:t>
                  </w:r>
                </w:p>
              </w:tc>
              <w:tc>
                <w:tcPr>
                  <w:tcW w:w="655" w:type="pct"/>
                  <w:shd w:val="clear" w:color="auto" w:fill="auto"/>
                  <w:vAlign w:val="center"/>
                </w:tcPr>
                <w:p w14:paraId="2F899074">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0.002</w:t>
                  </w:r>
                </w:p>
              </w:tc>
              <w:tc>
                <w:tcPr>
                  <w:tcW w:w="648" w:type="pct"/>
                  <w:shd w:val="clear" w:color="auto" w:fill="auto"/>
                  <w:vAlign w:val="center"/>
                </w:tcPr>
                <w:p w14:paraId="2A52FDA2">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7E69B661">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23" w:type="pct"/>
                  <w:shd w:val="clear" w:color="auto" w:fill="auto"/>
                  <w:vAlign w:val="center"/>
                </w:tcPr>
                <w:p w14:paraId="03C35169">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559BE101">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0.00002</w:t>
                  </w:r>
                </w:p>
              </w:tc>
              <w:tc>
                <w:tcPr>
                  <w:tcW w:w="735" w:type="pct"/>
                  <w:vMerge w:val="continue"/>
                  <w:vAlign w:val="center"/>
                </w:tcPr>
                <w:p w14:paraId="1292261F">
                  <w:pPr>
                    <w:adjustRightInd w:val="0"/>
                    <w:snapToGrid w:val="0"/>
                    <w:jc w:val="center"/>
                    <w:rPr>
                      <w:bCs/>
                      <w:sz w:val="18"/>
                      <w:szCs w:val="18"/>
                    </w:rPr>
                  </w:pPr>
                </w:p>
              </w:tc>
            </w:tr>
            <w:tr w14:paraId="6D57CE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2552C075">
                  <w:pPr>
                    <w:widowControl/>
                    <w:jc w:val="center"/>
                    <w:textAlignment w:val="center"/>
                    <w:rPr>
                      <w:sz w:val="18"/>
                      <w:szCs w:val="18"/>
                    </w:rPr>
                  </w:pPr>
                  <w:r>
                    <w:rPr>
                      <w:kern w:val="0"/>
                      <w:sz w:val="18"/>
                      <w:szCs w:val="18"/>
                      <w:lang w:bidi="ar"/>
                    </w:rPr>
                    <w:t>41</w:t>
                  </w:r>
                </w:p>
              </w:tc>
              <w:tc>
                <w:tcPr>
                  <w:tcW w:w="876" w:type="pct"/>
                  <w:shd w:val="clear" w:color="auto" w:fill="auto"/>
                  <w:vAlign w:val="center"/>
                </w:tcPr>
                <w:p w14:paraId="5681B389">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氯化钠</w:t>
                  </w:r>
                </w:p>
              </w:tc>
              <w:tc>
                <w:tcPr>
                  <w:tcW w:w="655" w:type="pct"/>
                  <w:shd w:val="clear" w:color="auto" w:fill="auto"/>
                  <w:vAlign w:val="center"/>
                </w:tcPr>
                <w:p w14:paraId="7A560F3A">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48" w:type="pct"/>
                  <w:shd w:val="clear" w:color="auto" w:fill="auto"/>
                  <w:vAlign w:val="center"/>
                </w:tcPr>
                <w:p w14:paraId="44119C56">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1C6F83E1">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23" w:type="pct"/>
                  <w:shd w:val="clear" w:color="auto" w:fill="auto"/>
                  <w:vAlign w:val="center"/>
                </w:tcPr>
                <w:p w14:paraId="42DCFFA0">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76D983D5">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0.00002</w:t>
                  </w:r>
                </w:p>
              </w:tc>
              <w:tc>
                <w:tcPr>
                  <w:tcW w:w="735" w:type="pct"/>
                  <w:vMerge w:val="continue"/>
                  <w:vAlign w:val="center"/>
                </w:tcPr>
                <w:p w14:paraId="159E38BB">
                  <w:pPr>
                    <w:adjustRightInd w:val="0"/>
                    <w:snapToGrid w:val="0"/>
                    <w:jc w:val="center"/>
                    <w:rPr>
                      <w:bCs/>
                      <w:sz w:val="18"/>
                      <w:szCs w:val="18"/>
                    </w:rPr>
                  </w:pPr>
                </w:p>
              </w:tc>
            </w:tr>
            <w:tr w14:paraId="2B9300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4EDB3E28">
                  <w:pPr>
                    <w:widowControl/>
                    <w:jc w:val="center"/>
                    <w:textAlignment w:val="center"/>
                    <w:rPr>
                      <w:sz w:val="18"/>
                      <w:szCs w:val="18"/>
                    </w:rPr>
                  </w:pPr>
                  <w:r>
                    <w:rPr>
                      <w:kern w:val="0"/>
                      <w:sz w:val="18"/>
                      <w:szCs w:val="18"/>
                      <w:lang w:bidi="ar"/>
                    </w:rPr>
                    <w:t>42</w:t>
                  </w:r>
                </w:p>
              </w:tc>
              <w:tc>
                <w:tcPr>
                  <w:tcW w:w="876" w:type="pct"/>
                  <w:shd w:val="clear" w:color="auto" w:fill="auto"/>
                  <w:vAlign w:val="center"/>
                </w:tcPr>
                <w:p w14:paraId="60867733">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硝酸银</w:t>
                  </w:r>
                </w:p>
              </w:tc>
              <w:tc>
                <w:tcPr>
                  <w:tcW w:w="655" w:type="pct"/>
                  <w:shd w:val="clear" w:color="auto" w:fill="auto"/>
                  <w:vAlign w:val="center"/>
                </w:tcPr>
                <w:p w14:paraId="2F9030FC">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0.0002</w:t>
                  </w:r>
                </w:p>
              </w:tc>
              <w:tc>
                <w:tcPr>
                  <w:tcW w:w="648" w:type="pct"/>
                  <w:shd w:val="clear" w:color="auto" w:fill="auto"/>
                  <w:vAlign w:val="center"/>
                </w:tcPr>
                <w:p w14:paraId="2B0D0972">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4F2C3B81">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0.0001</w:t>
                  </w:r>
                </w:p>
              </w:tc>
              <w:tc>
                <w:tcPr>
                  <w:tcW w:w="623" w:type="pct"/>
                  <w:shd w:val="clear" w:color="auto" w:fill="auto"/>
                  <w:vAlign w:val="center"/>
                </w:tcPr>
                <w:p w14:paraId="1CF4D6FB">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552B1E6C">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0.000002</w:t>
                  </w:r>
                </w:p>
              </w:tc>
              <w:tc>
                <w:tcPr>
                  <w:tcW w:w="735" w:type="pct"/>
                  <w:vMerge w:val="continue"/>
                  <w:vAlign w:val="center"/>
                </w:tcPr>
                <w:p w14:paraId="7BB293C1">
                  <w:pPr>
                    <w:adjustRightInd w:val="0"/>
                    <w:snapToGrid w:val="0"/>
                    <w:jc w:val="center"/>
                    <w:rPr>
                      <w:bCs/>
                      <w:sz w:val="18"/>
                      <w:szCs w:val="18"/>
                    </w:rPr>
                  </w:pPr>
                </w:p>
              </w:tc>
            </w:tr>
            <w:tr w14:paraId="512E54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4E0DE623">
                  <w:pPr>
                    <w:widowControl/>
                    <w:jc w:val="center"/>
                    <w:textAlignment w:val="center"/>
                    <w:rPr>
                      <w:sz w:val="18"/>
                      <w:szCs w:val="18"/>
                    </w:rPr>
                  </w:pPr>
                  <w:r>
                    <w:rPr>
                      <w:kern w:val="0"/>
                      <w:sz w:val="18"/>
                      <w:szCs w:val="18"/>
                      <w:lang w:bidi="ar"/>
                    </w:rPr>
                    <w:t>43</w:t>
                  </w:r>
                </w:p>
              </w:tc>
              <w:tc>
                <w:tcPr>
                  <w:tcW w:w="876" w:type="pct"/>
                  <w:shd w:val="clear" w:color="auto" w:fill="auto"/>
                  <w:vAlign w:val="center"/>
                </w:tcPr>
                <w:p w14:paraId="6F79AC35">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高锰酸钾</w:t>
                  </w:r>
                </w:p>
              </w:tc>
              <w:tc>
                <w:tcPr>
                  <w:tcW w:w="655" w:type="pct"/>
                  <w:shd w:val="clear" w:color="auto" w:fill="auto"/>
                  <w:vAlign w:val="center"/>
                </w:tcPr>
                <w:p w14:paraId="3EADB4EB">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0.002</w:t>
                  </w:r>
                </w:p>
              </w:tc>
              <w:tc>
                <w:tcPr>
                  <w:tcW w:w="648" w:type="pct"/>
                  <w:shd w:val="clear" w:color="auto" w:fill="auto"/>
                  <w:vAlign w:val="center"/>
                </w:tcPr>
                <w:p w14:paraId="2FEDDAD8">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7B845BD1">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23" w:type="pct"/>
                  <w:shd w:val="clear" w:color="auto" w:fill="auto"/>
                  <w:vAlign w:val="center"/>
                </w:tcPr>
                <w:p w14:paraId="318C2AFE">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21E0469F">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0.00002</w:t>
                  </w:r>
                </w:p>
              </w:tc>
              <w:tc>
                <w:tcPr>
                  <w:tcW w:w="735" w:type="pct"/>
                  <w:vMerge w:val="continue"/>
                  <w:vAlign w:val="center"/>
                </w:tcPr>
                <w:p w14:paraId="6325D05C">
                  <w:pPr>
                    <w:adjustRightInd w:val="0"/>
                    <w:snapToGrid w:val="0"/>
                    <w:jc w:val="center"/>
                    <w:rPr>
                      <w:bCs/>
                      <w:sz w:val="18"/>
                      <w:szCs w:val="18"/>
                    </w:rPr>
                  </w:pPr>
                </w:p>
              </w:tc>
            </w:tr>
            <w:tr w14:paraId="0916AA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4B86AAC1">
                  <w:pPr>
                    <w:widowControl/>
                    <w:jc w:val="center"/>
                    <w:textAlignment w:val="center"/>
                    <w:rPr>
                      <w:sz w:val="18"/>
                      <w:szCs w:val="18"/>
                    </w:rPr>
                  </w:pPr>
                  <w:r>
                    <w:rPr>
                      <w:kern w:val="0"/>
                      <w:sz w:val="18"/>
                      <w:szCs w:val="18"/>
                      <w:lang w:bidi="ar"/>
                    </w:rPr>
                    <w:t>44</w:t>
                  </w:r>
                </w:p>
              </w:tc>
              <w:tc>
                <w:tcPr>
                  <w:tcW w:w="876" w:type="pct"/>
                  <w:shd w:val="clear" w:color="auto" w:fill="auto"/>
                  <w:vAlign w:val="center"/>
                </w:tcPr>
                <w:p w14:paraId="1140804E">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硫代硫酸钠</w:t>
                  </w:r>
                </w:p>
              </w:tc>
              <w:tc>
                <w:tcPr>
                  <w:tcW w:w="655" w:type="pct"/>
                  <w:shd w:val="clear" w:color="auto" w:fill="auto"/>
                  <w:vAlign w:val="center"/>
                </w:tcPr>
                <w:p w14:paraId="0A7D53AD">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0.003</w:t>
                  </w:r>
                </w:p>
              </w:tc>
              <w:tc>
                <w:tcPr>
                  <w:tcW w:w="648" w:type="pct"/>
                  <w:shd w:val="clear" w:color="auto" w:fill="auto"/>
                  <w:vAlign w:val="center"/>
                </w:tcPr>
                <w:p w14:paraId="01949932">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428E4A35">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23" w:type="pct"/>
                  <w:shd w:val="clear" w:color="auto" w:fill="auto"/>
                  <w:vAlign w:val="center"/>
                </w:tcPr>
                <w:p w14:paraId="2C9536F1">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6C010718">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0.00002</w:t>
                  </w:r>
                </w:p>
              </w:tc>
              <w:tc>
                <w:tcPr>
                  <w:tcW w:w="735" w:type="pct"/>
                  <w:vMerge w:val="continue"/>
                  <w:vAlign w:val="center"/>
                </w:tcPr>
                <w:p w14:paraId="3057CC76">
                  <w:pPr>
                    <w:adjustRightInd w:val="0"/>
                    <w:snapToGrid w:val="0"/>
                    <w:jc w:val="center"/>
                    <w:rPr>
                      <w:bCs/>
                      <w:sz w:val="18"/>
                      <w:szCs w:val="18"/>
                    </w:rPr>
                  </w:pPr>
                </w:p>
              </w:tc>
            </w:tr>
            <w:tr w14:paraId="257A02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286A9272">
                  <w:pPr>
                    <w:widowControl/>
                    <w:jc w:val="center"/>
                    <w:textAlignment w:val="center"/>
                    <w:rPr>
                      <w:sz w:val="18"/>
                      <w:szCs w:val="18"/>
                    </w:rPr>
                  </w:pPr>
                  <w:r>
                    <w:rPr>
                      <w:kern w:val="0"/>
                      <w:sz w:val="18"/>
                      <w:szCs w:val="18"/>
                      <w:lang w:bidi="ar"/>
                    </w:rPr>
                    <w:t>45</w:t>
                  </w:r>
                </w:p>
              </w:tc>
              <w:tc>
                <w:tcPr>
                  <w:tcW w:w="876" w:type="pct"/>
                  <w:shd w:val="clear" w:color="auto" w:fill="auto"/>
                  <w:vAlign w:val="center"/>
                </w:tcPr>
                <w:p w14:paraId="6A26034A">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过硫酸铵</w:t>
                  </w:r>
                </w:p>
              </w:tc>
              <w:tc>
                <w:tcPr>
                  <w:tcW w:w="655" w:type="pct"/>
                  <w:shd w:val="clear" w:color="auto" w:fill="auto"/>
                  <w:vAlign w:val="center"/>
                </w:tcPr>
                <w:p w14:paraId="74EA3D48">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48" w:type="pct"/>
                  <w:shd w:val="clear" w:color="auto" w:fill="auto"/>
                  <w:vAlign w:val="center"/>
                </w:tcPr>
                <w:p w14:paraId="04F37CF8">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48D8986B">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153F6AC7">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7691CFBC">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52C24FBD">
                  <w:pPr>
                    <w:adjustRightInd w:val="0"/>
                    <w:snapToGrid w:val="0"/>
                    <w:jc w:val="center"/>
                    <w:rPr>
                      <w:bCs/>
                      <w:sz w:val="18"/>
                      <w:szCs w:val="18"/>
                    </w:rPr>
                  </w:pPr>
                </w:p>
              </w:tc>
            </w:tr>
            <w:tr w14:paraId="3D02AA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51ED7354">
                  <w:pPr>
                    <w:widowControl/>
                    <w:jc w:val="center"/>
                    <w:textAlignment w:val="center"/>
                    <w:rPr>
                      <w:sz w:val="18"/>
                      <w:szCs w:val="18"/>
                    </w:rPr>
                  </w:pPr>
                  <w:r>
                    <w:rPr>
                      <w:kern w:val="0"/>
                      <w:sz w:val="18"/>
                      <w:szCs w:val="18"/>
                      <w:lang w:bidi="ar"/>
                    </w:rPr>
                    <w:t>46</w:t>
                  </w:r>
                </w:p>
              </w:tc>
              <w:tc>
                <w:tcPr>
                  <w:tcW w:w="876" w:type="pct"/>
                  <w:shd w:val="clear" w:color="auto" w:fill="auto"/>
                  <w:vAlign w:val="center"/>
                </w:tcPr>
                <w:p w14:paraId="4DB5E868">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碘化钾</w:t>
                  </w:r>
                </w:p>
              </w:tc>
              <w:tc>
                <w:tcPr>
                  <w:tcW w:w="655" w:type="pct"/>
                  <w:shd w:val="clear" w:color="auto" w:fill="auto"/>
                  <w:vAlign w:val="center"/>
                </w:tcPr>
                <w:p w14:paraId="2994DBF9">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48" w:type="pct"/>
                  <w:shd w:val="clear" w:color="auto" w:fill="auto"/>
                  <w:vAlign w:val="center"/>
                </w:tcPr>
                <w:p w14:paraId="7CABD064">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466C19E1">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0EA14821">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335B2E93">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3D964B4A">
                  <w:pPr>
                    <w:adjustRightInd w:val="0"/>
                    <w:snapToGrid w:val="0"/>
                    <w:jc w:val="center"/>
                    <w:rPr>
                      <w:bCs/>
                      <w:sz w:val="18"/>
                      <w:szCs w:val="18"/>
                    </w:rPr>
                  </w:pPr>
                </w:p>
              </w:tc>
            </w:tr>
            <w:tr w14:paraId="24CC91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763BA3AE">
                  <w:pPr>
                    <w:widowControl/>
                    <w:jc w:val="center"/>
                    <w:textAlignment w:val="center"/>
                    <w:rPr>
                      <w:sz w:val="18"/>
                      <w:szCs w:val="18"/>
                    </w:rPr>
                  </w:pPr>
                  <w:r>
                    <w:rPr>
                      <w:kern w:val="0"/>
                      <w:sz w:val="18"/>
                      <w:szCs w:val="18"/>
                      <w:lang w:bidi="ar"/>
                    </w:rPr>
                    <w:t>47</w:t>
                  </w:r>
                </w:p>
              </w:tc>
              <w:tc>
                <w:tcPr>
                  <w:tcW w:w="876" w:type="pct"/>
                  <w:shd w:val="clear" w:color="auto" w:fill="auto"/>
                  <w:vAlign w:val="center"/>
                </w:tcPr>
                <w:p w14:paraId="10537312">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碘酸钾</w:t>
                  </w:r>
                </w:p>
              </w:tc>
              <w:tc>
                <w:tcPr>
                  <w:tcW w:w="655" w:type="pct"/>
                  <w:shd w:val="clear" w:color="auto" w:fill="auto"/>
                  <w:vAlign w:val="center"/>
                </w:tcPr>
                <w:p w14:paraId="753502F3">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48" w:type="pct"/>
                  <w:shd w:val="clear" w:color="auto" w:fill="auto"/>
                  <w:vAlign w:val="center"/>
                </w:tcPr>
                <w:p w14:paraId="44A1F968">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09E83969">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04448C55">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278D8366">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48EBD09F">
                  <w:pPr>
                    <w:adjustRightInd w:val="0"/>
                    <w:snapToGrid w:val="0"/>
                    <w:jc w:val="center"/>
                    <w:rPr>
                      <w:bCs/>
                      <w:sz w:val="18"/>
                      <w:szCs w:val="18"/>
                    </w:rPr>
                  </w:pPr>
                </w:p>
              </w:tc>
            </w:tr>
            <w:tr w14:paraId="33EA79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22C2AD42">
                  <w:pPr>
                    <w:widowControl/>
                    <w:jc w:val="center"/>
                    <w:textAlignment w:val="center"/>
                    <w:rPr>
                      <w:sz w:val="18"/>
                      <w:szCs w:val="18"/>
                    </w:rPr>
                  </w:pPr>
                  <w:r>
                    <w:rPr>
                      <w:kern w:val="0"/>
                      <w:sz w:val="18"/>
                      <w:szCs w:val="18"/>
                      <w:lang w:bidi="ar"/>
                    </w:rPr>
                    <w:t>48</w:t>
                  </w:r>
                </w:p>
              </w:tc>
              <w:tc>
                <w:tcPr>
                  <w:tcW w:w="876" w:type="pct"/>
                  <w:shd w:val="clear" w:color="auto" w:fill="auto"/>
                  <w:vAlign w:val="center"/>
                </w:tcPr>
                <w:p w14:paraId="3E8C9D08">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碘酸氢钾</w:t>
                  </w:r>
                </w:p>
              </w:tc>
              <w:tc>
                <w:tcPr>
                  <w:tcW w:w="655" w:type="pct"/>
                  <w:shd w:val="clear" w:color="auto" w:fill="auto"/>
                  <w:vAlign w:val="center"/>
                </w:tcPr>
                <w:p w14:paraId="0C4877C7">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48" w:type="pct"/>
                  <w:shd w:val="clear" w:color="auto" w:fill="auto"/>
                  <w:vAlign w:val="center"/>
                </w:tcPr>
                <w:p w14:paraId="5A731F43">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324C8293">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30811591">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05FE73DB">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467B8164">
                  <w:pPr>
                    <w:adjustRightInd w:val="0"/>
                    <w:snapToGrid w:val="0"/>
                    <w:jc w:val="center"/>
                    <w:rPr>
                      <w:bCs/>
                      <w:sz w:val="18"/>
                      <w:szCs w:val="18"/>
                    </w:rPr>
                  </w:pPr>
                </w:p>
              </w:tc>
            </w:tr>
            <w:tr w14:paraId="3DD783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3C93CDDF">
                  <w:pPr>
                    <w:widowControl/>
                    <w:jc w:val="center"/>
                    <w:textAlignment w:val="center"/>
                    <w:rPr>
                      <w:sz w:val="18"/>
                      <w:szCs w:val="18"/>
                    </w:rPr>
                  </w:pPr>
                  <w:r>
                    <w:rPr>
                      <w:kern w:val="0"/>
                      <w:sz w:val="18"/>
                      <w:szCs w:val="18"/>
                      <w:lang w:bidi="ar"/>
                    </w:rPr>
                    <w:t>49</w:t>
                  </w:r>
                </w:p>
              </w:tc>
              <w:tc>
                <w:tcPr>
                  <w:tcW w:w="876" w:type="pct"/>
                  <w:shd w:val="clear" w:color="auto" w:fill="auto"/>
                  <w:vAlign w:val="center"/>
                </w:tcPr>
                <w:p w14:paraId="6A792F58">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溴化钾</w:t>
                  </w:r>
                </w:p>
              </w:tc>
              <w:tc>
                <w:tcPr>
                  <w:tcW w:w="655" w:type="pct"/>
                  <w:shd w:val="clear" w:color="auto" w:fill="auto"/>
                  <w:vAlign w:val="center"/>
                </w:tcPr>
                <w:p w14:paraId="21CA87DF">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48" w:type="pct"/>
                  <w:shd w:val="clear" w:color="auto" w:fill="auto"/>
                  <w:vAlign w:val="center"/>
                </w:tcPr>
                <w:p w14:paraId="632C4861">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0A61DDFB">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57A79756">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23CA43E2">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14FB8276">
                  <w:pPr>
                    <w:adjustRightInd w:val="0"/>
                    <w:snapToGrid w:val="0"/>
                    <w:jc w:val="center"/>
                    <w:rPr>
                      <w:bCs/>
                      <w:sz w:val="18"/>
                      <w:szCs w:val="18"/>
                    </w:rPr>
                  </w:pPr>
                </w:p>
              </w:tc>
            </w:tr>
            <w:tr w14:paraId="598E79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7E72B7C3">
                  <w:pPr>
                    <w:widowControl/>
                    <w:jc w:val="center"/>
                    <w:textAlignment w:val="center"/>
                    <w:rPr>
                      <w:sz w:val="18"/>
                      <w:szCs w:val="18"/>
                    </w:rPr>
                  </w:pPr>
                  <w:r>
                    <w:rPr>
                      <w:kern w:val="0"/>
                      <w:sz w:val="18"/>
                      <w:szCs w:val="18"/>
                      <w:lang w:bidi="ar"/>
                    </w:rPr>
                    <w:t>50</w:t>
                  </w:r>
                </w:p>
              </w:tc>
              <w:tc>
                <w:tcPr>
                  <w:tcW w:w="876" w:type="pct"/>
                  <w:shd w:val="clear" w:color="auto" w:fill="auto"/>
                  <w:vAlign w:val="center"/>
                </w:tcPr>
                <w:p w14:paraId="2E9DC7B6">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二氧化锰</w:t>
                  </w:r>
                </w:p>
              </w:tc>
              <w:tc>
                <w:tcPr>
                  <w:tcW w:w="655" w:type="pct"/>
                  <w:shd w:val="clear" w:color="auto" w:fill="auto"/>
                  <w:vAlign w:val="center"/>
                </w:tcPr>
                <w:p w14:paraId="4E06DC8B">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48" w:type="pct"/>
                  <w:shd w:val="clear" w:color="auto" w:fill="auto"/>
                  <w:vAlign w:val="center"/>
                </w:tcPr>
                <w:p w14:paraId="53C5409F">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294104F6">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5D0094E9">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117762DD">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0F3F44AE">
                  <w:pPr>
                    <w:adjustRightInd w:val="0"/>
                    <w:snapToGrid w:val="0"/>
                    <w:jc w:val="center"/>
                    <w:rPr>
                      <w:bCs/>
                      <w:sz w:val="18"/>
                      <w:szCs w:val="18"/>
                    </w:rPr>
                  </w:pPr>
                </w:p>
              </w:tc>
            </w:tr>
            <w:tr w14:paraId="5EB41E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3D8068A6">
                  <w:pPr>
                    <w:widowControl/>
                    <w:jc w:val="center"/>
                    <w:textAlignment w:val="center"/>
                    <w:rPr>
                      <w:sz w:val="18"/>
                      <w:szCs w:val="18"/>
                    </w:rPr>
                  </w:pPr>
                  <w:r>
                    <w:rPr>
                      <w:kern w:val="0"/>
                      <w:sz w:val="18"/>
                      <w:szCs w:val="18"/>
                      <w:lang w:bidi="ar"/>
                    </w:rPr>
                    <w:t>51</w:t>
                  </w:r>
                </w:p>
              </w:tc>
              <w:tc>
                <w:tcPr>
                  <w:tcW w:w="876" w:type="pct"/>
                  <w:shd w:val="clear" w:color="auto" w:fill="auto"/>
                  <w:vAlign w:val="center"/>
                </w:tcPr>
                <w:p w14:paraId="2FA4CF01">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氯化钙</w:t>
                  </w:r>
                </w:p>
              </w:tc>
              <w:tc>
                <w:tcPr>
                  <w:tcW w:w="655" w:type="pct"/>
                  <w:shd w:val="clear" w:color="auto" w:fill="auto"/>
                  <w:vAlign w:val="center"/>
                </w:tcPr>
                <w:p w14:paraId="0E4F3381">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0.002</w:t>
                  </w:r>
                </w:p>
              </w:tc>
              <w:tc>
                <w:tcPr>
                  <w:tcW w:w="648" w:type="pct"/>
                  <w:shd w:val="clear" w:color="auto" w:fill="auto"/>
                  <w:vAlign w:val="center"/>
                </w:tcPr>
                <w:p w14:paraId="376A3746">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1D49E80F">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23" w:type="pct"/>
                  <w:shd w:val="clear" w:color="auto" w:fill="auto"/>
                  <w:vAlign w:val="center"/>
                </w:tcPr>
                <w:p w14:paraId="30DDD604">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5E97284D">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0.00002</w:t>
                  </w:r>
                </w:p>
              </w:tc>
              <w:tc>
                <w:tcPr>
                  <w:tcW w:w="735" w:type="pct"/>
                  <w:vMerge w:val="continue"/>
                  <w:vAlign w:val="center"/>
                </w:tcPr>
                <w:p w14:paraId="725A7057">
                  <w:pPr>
                    <w:adjustRightInd w:val="0"/>
                    <w:snapToGrid w:val="0"/>
                    <w:jc w:val="center"/>
                    <w:rPr>
                      <w:bCs/>
                      <w:sz w:val="18"/>
                      <w:szCs w:val="18"/>
                    </w:rPr>
                  </w:pPr>
                </w:p>
              </w:tc>
            </w:tr>
            <w:tr w14:paraId="4BC47E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6979A433">
                  <w:pPr>
                    <w:widowControl/>
                    <w:jc w:val="center"/>
                    <w:textAlignment w:val="center"/>
                    <w:rPr>
                      <w:sz w:val="18"/>
                      <w:szCs w:val="18"/>
                    </w:rPr>
                  </w:pPr>
                  <w:r>
                    <w:rPr>
                      <w:kern w:val="0"/>
                      <w:sz w:val="18"/>
                      <w:szCs w:val="18"/>
                      <w:lang w:bidi="ar"/>
                    </w:rPr>
                    <w:t>52</w:t>
                  </w:r>
                </w:p>
              </w:tc>
              <w:tc>
                <w:tcPr>
                  <w:tcW w:w="876" w:type="pct"/>
                  <w:shd w:val="clear" w:color="auto" w:fill="auto"/>
                  <w:vAlign w:val="center"/>
                </w:tcPr>
                <w:p w14:paraId="2356A1C5">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氯化钴</w:t>
                  </w:r>
                </w:p>
              </w:tc>
              <w:tc>
                <w:tcPr>
                  <w:tcW w:w="655" w:type="pct"/>
                  <w:shd w:val="clear" w:color="auto" w:fill="auto"/>
                  <w:vAlign w:val="center"/>
                </w:tcPr>
                <w:p w14:paraId="6FB2DFA1">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48" w:type="pct"/>
                  <w:shd w:val="clear" w:color="auto" w:fill="auto"/>
                  <w:vAlign w:val="center"/>
                </w:tcPr>
                <w:p w14:paraId="5F71C654">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062287D9">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08BD0941">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3625A6CE">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02022674">
                  <w:pPr>
                    <w:adjustRightInd w:val="0"/>
                    <w:snapToGrid w:val="0"/>
                    <w:jc w:val="center"/>
                    <w:rPr>
                      <w:bCs/>
                      <w:sz w:val="18"/>
                      <w:szCs w:val="18"/>
                    </w:rPr>
                  </w:pPr>
                </w:p>
              </w:tc>
            </w:tr>
            <w:tr w14:paraId="380FCD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6F619536">
                  <w:pPr>
                    <w:widowControl/>
                    <w:jc w:val="center"/>
                    <w:textAlignment w:val="center"/>
                    <w:rPr>
                      <w:sz w:val="18"/>
                      <w:szCs w:val="18"/>
                    </w:rPr>
                  </w:pPr>
                  <w:r>
                    <w:rPr>
                      <w:kern w:val="0"/>
                      <w:sz w:val="18"/>
                      <w:szCs w:val="18"/>
                      <w:lang w:bidi="ar"/>
                    </w:rPr>
                    <w:t>53</w:t>
                  </w:r>
                </w:p>
              </w:tc>
              <w:tc>
                <w:tcPr>
                  <w:tcW w:w="876" w:type="pct"/>
                  <w:shd w:val="clear" w:color="auto" w:fill="auto"/>
                  <w:vAlign w:val="center"/>
                </w:tcPr>
                <w:p w14:paraId="24736618">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氯化铁</w:t>
                  </w:r>
                </w:p>
              </w:tc>
              <w:tc>
                <w:tcPr>
                  <w:tcW w:w="655" w:type="pct"/>
                  <w:shd w:val="clear" w:color="auto" w:fill="auto"/>
                  <w:vAlign w:val="center"/>
                </w:tcPr>
                <w:p w14:paraId="36EEF7F2">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48" w:type="pct"/>
                  <w:shd w:val="clear" w:color="auto" w:fill="auto"/>
                  <w:vAlign w:val="center"/>
                </w:tcPr>
                <w:p w14:paraId="11DB30E1">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6FF34D8A">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22B060D7">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0BA34DD3">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363D8845">
                  <w:pPr>
                    <w:adjustRightInd w:val="0"/>
                    <w:snapToGrid w:val="0"/>
                    <w:jc w:val="center"/>
                    <w:rPr>
                      <w:bCs/>
                      <w:sz w:val="18"/>
                      <w:szCs w:val="18"/>
                    </w:rPr>
                  </w:pPr>
                </w:p>
              </w:tc>
            </w:tr>
            <w:tr w14:paraId="6F7BDF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1638B43D">
                  <w:pPr>
                    <w:widowControl/>
                    <w:jc w:val="center"/>
                    <w:textAlignment w:val="center"/>
                    <w:rPr>
                      <w:sz w:val="18"/>
                      <w:szCs w:val="18"/>
                    </w:rPr>
                  </w:pPr>
                  <w:r>
                    <w:rPr>
                      <w:kern w:val="0"/>
                      <w:sz w:val="18"/>
                      <w:szCs w:val="18"/>
                      <w:lang w:bidi="ar"/>
                    </w:rPr>
                    <w:t>54</w:t>
                  </w:r>
                </w:p>
              </w:tc>
              <w:tc>
                <w:tcPr>
                  <w:tcW w:w="876" w:type="pct"/>
                  <w:shd w:val="clear" w:color="auto" w:fill="auto"/>
                  <w:vAlign w:val="center"/>
                </w:tcPr>
                <w:p w14:paraId="499FEC4B">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氯化亚铁</w:t>
                  </w:r>
                </w:p>
              </w:tc>
              <w:tc>
                <w:tcPr>
                  <w:tcW w:w="655" w:type="pct"/>
                  <w:shd w:val="clear" w:color="auto" w:fill="auto"/>
                  <w:vAlign w:val="center"/>
                </w:tcPr>
                <w:p w14:paraId="6BC2D1D1">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48" w:type="pct"/>
                  <w:shd w:val="clear" w:color="auto" w:fill="auto"/>
                  <w:vAlign w:val="center"/>
                </w:tcPr>
                <w:p w14:paraId="7714DA15">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7E896F71">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7F0ED508">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5378A928">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0B4398F9">
                  <w:pPr>
                    <w:adjustRightInd w:val="0"/>
                    <w:snapToGrid w:val="0"/>
                    <w:jc w:val="center"/>
                    <w:rPr>
                      <w:bCs/>
                      <w:sz w:val="18"/>
                      <w:szCs w:val="18"/>
                    </w:rPr>
                  </w:pPr>
                </w:p>
              </w:tc>
            </w:tr>
            <w:tr w14:paraId="2A914B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4BB0CE4D">
                  <w:pPr>
                    <w:widowControl/>
                    <w:jc w:val="center"/>
                    <w:textAlignment w:val="center"/>
                    <w:rPr>
                      <w:sz w:val="18"/>
                      <w:szCs w:val="18"/>
                    </w:rPr>
                  </w:pPr>
                  <w:r>
                    <w:rPr>
                      <w:kern w:val="0"/>
                      <w:sz w:val="18"/>
                      <w:szCs w:val="18"/>
                      <w:lang w:bidi="ar"/>
                    </w:rPr>
                    <w:t>55</w:t>
                  </w:r>
                </w:p>
              </w:tc>
              <w:tc>
                <w:tcPr>
                  <w:tcW w:w="876" w:type="pct"/>
                  <w:shd w:val="clear" w:color="auto" w:fill="auto"/>
                  <w:vAlign w:val="center"/>
                </w:tcPr>
                <w:p w14:paraId="2EC35D4C">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氯化钾</w:t>
                  </w:r>
                </w:p>
              </w:tc>
              <w:tc>
                <w:tcPr>
                  <w:tcW w:w="655" w:type="pct"/>
                  <w:shd w:val="clear" w:color="auto" w:fill="auto"/>
                  <w:vAlign w:val="center"/>
                </w:tcPr>
                <w:p w14:paraId="673BF954">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0.002</w:t>
                  </w:r>
                </w:p>
              </w:tc>
              <w:tc>
                <w:tcPr>
                  <w:tcW w:w="648" w:type="pct"/>
                  <w:shd w:val="clear" w:color="auto" w:fill="auto"/>
                  <w:vAlign w:val="center"/>
                </w:tcPr>
                <w:p w14:paraId="4A3298A0">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7A6A294E">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4B4F5DD2">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31E73CE3">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7A231E05">
                  <w:pPr>
                    <w:adjustRightInd w:val="0"/>
                    <w:snapToGrid w:val="0"/>
                    <w:jc w:val="center"/>
                    <w:rPr>
                      <w:bCs/>
                      <w:sz w:val="18"/>
                      <w:szCs w:val="18"/>
                    </w:rPr>
                  </w:pPr>
                </w:p>
              </w:tc>
            </w:tr>
            <w:tr w14:paraId="39647B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3BFAE07B">
                  <w:pPr>
                    <w:widowControl/>
                    <w:jc w:val="center"/>
                    <w:textAlignment w:val="center"/>
                    <w:rPr>
                      <w:sz w:val="18"/>
                      <w:szCs w:val="18"/>
                    </w:rPr>
                  </w:pPr>
                  <w:r>
                    <w:rPr>
                      <w:kern w:val="0"/>
                      <w:sz w:val="18"/>
                      <w:szCs w:val="18"/>
                      <w:lang w:bidi="ar"/>
                    </w:rPr>
                    <w:t>56</w:t>
                  </w:r>
                </w:p>
              </w:tc>
              <w:tc>
                <w:tcPr>
                  <w:tcW w:w="876" w:type="pct"/>
                  <w:shd w:val="clear" w:color="auto" w:fill="auto"/>
                  <w:vAlign w:val="center"/>
                </w:tcPr>
                <w:p w14:paraId="4EB9ABE3">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氯化铵</w:t>
                  </w:r>
                </w:p>
              </w:tc>
              <w:tc>
                <w:tcPr>
                  <w:tcW w:w="655" w:type="pct"/>
                  <w:shd w:val="clear" w:color="auto" w:fill="auto"/>
                  <w:vAlign w:val="center"/>
                </w:tcPr>
                <w:p w14:paraId="4F8CD5B8">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0.002</w:t>
                  </w:r>
                </w:p>
              </w:tc>
              <w:tc>
                <w:tcPr>
                  <w:tcW w:w="648" w:type="pct"/>
                  <w:shd w:val="clear" w:color="auto" w:fill="auto"/>
                  <w:vAlign w:val="center"/>
                </w:tcPr>
                <w:p w14:paraId="114BE4A3">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46080799">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23" w:type="pct"/>
                  <w:shd w:val="clear" w:color="auto" w:fill="auto"/>
                  <w:vAlign w:val="center"/>
                </w:tcPr>
                <w:p w14:paraId="6B599D9A">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59231C3C">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0.00002</w:t>
                  </w:r>
                </w:p>
              </w:tc>
              <w:tc>
                <w:tcPr>
                  <w:tcW w:w="735" w:type="pct"/>
                  <w:vMerge w:val="continue"/>
                  <w:vAlign w:val="center"/>
                </w:tcPr>
                <w:p w14:paraId="7C1611C1">
                  <w:pPr>
                    <w:adjustRightInd w:val="0"/>
                    <w:snapToGrid w:val="0"/>
                    <w:jc w:val="center"/>
                    <w:rPr>
                      <w:bCs/>
                      <w:sz w:val="18"/>
                      <w:szCs w:val="18"/>
                    </w:rPr>
                  </w:pPr>
                </w:p>
              </w:tc>
            </w:tr>
            <w:tr w14:paraId="37B7B5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54EC4D69">
                  <w:pPr>
                    <w:widowControl/>
                    <w:jc w:val="center"/>
                    <w:textAlignment w:val="center"/>
                    <w:rPr>
                      <w:sz w:val="18"/>
                      <w:szCs w:val="18"/>
                    </w:rPr>
                  </w:pPr>
                  <w:r>
                    <w:rPr>
                      <w:kern w:val="0"/>
                      <w:sz w:val="18"/>
                      <w:szCs w:val="18"/>
                      <w:lang w:bidi="ar"/>
                    </w:rPr>
                    <w:t>57</w:t>
                  </w:r>
                </w:p>
              </w:tc>
              <w:tc>
                <w:tcPr>
                  <w:tcW w:w="876" w:type="pct"/>
                  <w:shd w:val="clear" w:color="auto" w:fill="auto"/>
                  <w:vAlign w:val="center"/>
                </w:tcPr>
                <w:p w14:paraId="1949E2D7">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氯化镁</w:t>
                  </w:r>
                </w:p>
              </w:tc>
              <w:tc>
                <w:tcPr>
                  <w:tcW w:w="655" w:type="pct"/>
                  <w:shd w:val="clear" w:color="auto" w:fill="auto"/>
                  <w:vAlign w:val="center"/>
                </w:tcPr>
                <w:p w14:paraId="674360EE">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0.002</w:t>
                  </w:r>
                </w:p>
              </w:tc>
              <w:tc>
                <w:tcPr>
                  <w:tcW w:w="648" w:type="pct"/>
                  <w:shd w:val="clear" w:color="auto" w:fill="auto"/>
                  <w:vAlign w:val="center"/>
                </w:tcPr>
                <w:p w14:paraId="17BAF551">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1D109864">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23" w:type="pct"/>
                  <w:shd w:val="clear" w:color="auto" w:fill="auto"/>
                  <w:vAlign w:val="center"/>
                </w:tcPr>
                <w:p w14:paraId="7358261D">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5D1CEB59">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0.00002</w:t>
                  </w:r>
                </w:p>
              </w:tc>
              <w:tc>
                <w:tcPr>
                  <w:tcW w:w="735" w:type="pct"/>
                  <w:vMerge w:val="continue"/>
                  <w:vAlign w:val="center"/>
                </w:tcPr>
                <w:p w14:paraId="0F63F1C3">
                  <w:pPr>
                    <w:adjustRightInd w:val="0"/>
                    <w:snapToGrid w:val="0"/>
                    <w:jc w:val="center"/>
                    <w:rPr>
                      <w:bCs/>
                      <w:sz w:val="18"/>
                      <w:szCs w:val="18"/>
                    </w:rPr>
                  </w:pPr>
                </w:p>
              </w:tc>
            </w:tr>
            <w:tr w14:paraId="12CB26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3F64A551">
                  <w:pPr>
                    <w:widowControl/>
                    <w:jc w:val="center"/>
                    <w:textAlignment w:val="center"/>
                    <w:rPr>
                      <w:sz w:val="18"/>
                      <w:szCs w:val="18"/>
                    </w:rPr>
                  </w:pPr>
                  <w:r>
                    <w:rPr>
                      <w:kern w:val="0"/>
                      <w:sz w:val="18"/>
                      <w:szCs w:val="18"/>
                      <w:lang w:bidi="ar"/>
                    </w:rPr>
                    <w:t>58</w:t>
                  </w:r>
                </w:p>
              </w:tc>
              <w:tc>
                <w:tcPr>
                  <w:tcW w:w="876" w:type="pct"/>
                  <w:shd w:val="clear" w:color="auto" w:fill="auto"/>
                  <w:vAlign w:val="center"/>
                </w:tcPr>
                <w:p w14:paraId="0E07BD69">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氯化亚锡</w:t>
                  </w:r>
                </w:p>
              </w:tc>
              <w:tc>
                <w:tcPr>
                  <w:tcW w:w="655" w:type="pct"/>
                  <w:shd w:val="clear" w:color="auto" w:fill="auto"/>
                  <w:vAlign w:val="center"/>
                </w:tcPr>
                <w:p w14:paraId="63A35F55">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48" w:type="pct"/>
                  <w:shd w:val="clear" w:color="auto" w:fill="auto"/>
                  <w:vAlign w:val="center"/>
                </w:tcPr>
                <w:p w14:paraId="1E6193E6">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0D49654F">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518FDD6B">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3B14E15B">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3FE20393">
                  <w:pPr>
                    <w:adjustRightInd w:val="0"/>
                    <w:snapToGrid w:val="0"/>
                    <w:jc w:val="center"/>
                    <w:rPr>
                      <w:bCs/>
                      <w:sz w:val="18"/>
                      <w:szCs w:val="18"/>
                    </w:rPr>
                  </w:pPr>
                </w:p>
              </w:tc>
            </w:tr>
            <w:tr w14:paraId="2D730B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15106416">
                  <w:pPr>
                    <w:widowControl/>
                    <w:jc w:val="center"/>
                    <w:textAlignment w:val="center"/>
                    <w:rPr>
                      <w:sz w:val="18"/>
                      <w:szCs w:val="18"/>
                    </w:rPr>
                  </w:pPr>
                  <w:r>
                    <w:rPr>
                      <w:kern w:val="0"/>
                      <w:sz w:val="18"/>
                      <w:szCs w:val="18"/>
                      <w:lang w:bidi="ar"/>
                    </w:rPr>
                    <w:t>59</w:t>
                  </w:r>
                </w:p>
              </w:tc>
              <w:tc>
                <w:tcPr>
                  <w:tcW w:w="876" w:type="pct"/>
                  <w:shd w:val="clear" w:color="auto" w:fill="auto"/>
                  <w:vAlign w:val="center"/>
                </w:tcPr>
                <w:p w14:paraId="48D30262">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氯化铜</w:t>
                  </w:r>
                </w:p>
              </w:tc>
              <w:tc>
                <w:tcPr>
                  <w:tcW w:w="655" w:type="pct"/>
                  <w:shd w:val="clear" w:color="auto" w:fill="auto"/>
                  <w:vAlign w:val="center"/>
                </w:tcPr>
                <w:p w14:paraId="62C188F7">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0.002</w:t>
                  </w:r>
                </w:p>
              </w:tc>
              <w:tc>
                <w:tcPr>
                  <w:tcW w:w="648" w:type="pct"/>
                  <w:shd w:val="clear" w:color="auto" w:fill="auto"/>
                  <w:vAlign w:val="center"/>
                </w:tcPr>
                <w:p w14:paraId="0F1A88AE">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6E0B40BE">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23" w:type="pct"/>
                  <w:shd w:val="clear" w:color="auto" w:fill="auto"/>
                  <w:vAlign w:val="center"/>
                </w:tcPr>
                <w:p w14:paraId="2FCD0EFD">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25A55A1D">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0.00002</w:t>
                  </w:r>
                </w:p>
              </w:tc>
              <w:tc>
                <w:tcPr>
                  <w:tcW w:w="735" w:type="pct"/>
                  <w:vMerge w:val="continue"/>
                  <w:vAlign w:val="center"/>
                </w:tcPr>
                <w:p w14:paraId="0BBA4A62">
                  <w:pPr>
                    <w:adjustRightInd w:val="0"/>
                    <w:snapToGrid w:val="0"/>
                    <w:jc w:val="center"/>
                    <w:rPr>
                      <w:bCs/>
                      <w:sz w:val="18"/>
                      <w:szCs w:val="18"/>
                    </w:rPr>
                  </w:pPr>
                </w:p>
              </w:tc>
            </w:tr>
            <w:tr w14:paraId="327480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7C51A439">
                  <w:pPr>
                    <w:widowControl/>
                    <w:jc w:val="center"/>
                    <w:textAlignment w:val="center"/>
                    <w:rPr>
                      <w:sz w:val="18"/>
                      <w:szCs w:val="18"/>
                    </w:rPr>
                  </w:pPr>
                  <w:r>
                    <w:rPr>
                      <w:kern w:val="0"/>
                      <w:sz w:val="18"/>
                      <w:szCs w:val="18"/>
                      <w:lang w:bidi="ar"/>
                    </w:rPr>
                    <w:t>60</w:t>
                  </w:r>
                </w:p>
              </w:tc>
              <w:tc>
                <w:tcPr>
                  <w:tcW w:w="876" w:type="pct"/>
                  <w:shd w:val="clear" w:color="auto" w:fill="auto"/>
                  <w:vAlign w:val="center"/>
                </w:tcPr>
                <w:p w14:paraId="27E8E4D5">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氯化锌</w:t>
                  </w:r>
                </w:p>
              </w:tc>
              <w:tc>
                <w:tcPr>
                  <w:tcW w:w="655" w:type="pct"/>
                  <w:shd w:val="clear" w:color="auto" w:fill="auto"/>
                  <w:vAlign w:val="center"/>
                </w:tcPr>
                <w:p w14:paraId="75BC8316">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48" w:type="pct"/>
                  <w:shd w:val="clear" w:color="auto" w:fill="auto"/>
                  <w:vAlign w:val="center"/>
                </w:tcPr>
                <w:p w14:paraId="728767B0">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7F4402D8">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42597341">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3861AC9A">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4831C4B1">
                  <w:pPr>
                    <w:adjustRightInd w:val="0"/>
                    <w:snapToGrid w:val="0"/>
                    <w:jc w:val="center"/>
                    <w:rPr>
                      <w:bCs/>
                      <w:sz w:val="18"/>
                      <w:szCs w:val="18"/>
                    </w:rPr>
                  </w:pPr>
                </w:p>
              </w:tc>
            </w:tr>
            <w:tr w14:paraId="75E648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69D9D43D">
                  <w:pPr>
                    <w:widowControl/>
                    <w:jc w:val="center"/>
                    <w:textAlignment w:val="center"/>
                    <w:rPr>
                      <w:sz w:val="18"/>
                      <w:szCs w:val="18"/>
                    </w:rPr>
                  </w:pPr>
                  <w:r>
                    <w:rPr>
                      <w:kern w:val="0"/>
                      <w:sz w:val="18"/>
                      <w:szCs w:val="18"/>
                      <w:lang w:bidi="ar"/>
                    </w:rPr>
                    <w:t>61</w:t>
                  </w:r>
                </w:p>
              </w:tc>
              <w:tc>
                <w:tcPr>
                  <w:tcW w:w="876" w:type="pct"/>
                  <w:shd w:val="clear" w:color="auto" w:fill="auto"/>
                  <w:vAlign w:val="center"/>
                </w:tcPr>
                <w:p w14:paraId="6986FC8B">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硫酸铅</w:t>
                  </w:r>
                </w:p>
              </w:tc>
              <w:tc>
                <w:tcPr>
                  <w:tcW w:w="655" w:type="pct"/>
                  <w:shd w:val="clear" w:color="auto" w:fill="auto"/>
                  <w:vAlign w:val="center"/>
                </w:tcPr>
                <w:p w14:paraId="7F2064C2">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48" w:type="pct"/>
                  <w:shd w:val="clear" w:color="auto" w:fill="auto"/>
                  <w:vAlign w:val="center"/>
                </w:tcPr>
                <w:p w14:paraId="22E3BD7F">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08CADC8A">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27A966E0">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1A162E96">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4EFACB19">
                  <w:pPr>
                    <w:adjustRightInd w:val="0"/>
                    <w:snapToGrid w:val="0"/>
                    <w:jc w:val="center"/>
                    <w:rPr>
                      <w:bCs/>
                      <w:sz w:val="18"/>
                      <w:szCs w:val="18"/>
                    </w:rPr>
                  </w:pPr>
                </w:p>
              </w:tc>
            </w:tr>
            <w:tr w14:paraId="5D757F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30E28825">
                  <w:pPr>
                    <w:widowControl/>
                    <w:jc w:val="center"/>
                    <w:textAlignment w:val="center"/>
                    <w:rPr>
                      <w:sz w:val="18"/>
                      <w:szCs w:val="18"/>
                    </w:rPr>
                  </w:pPr>
                  <w:r>
                    <w:rPr>
                      <w:kern w:val="0"/>
                      <w:sz w:val="18"/>
                      <w:szCs w:val="18"/>
                      <w:lang w:bidi="ar"/>
                    </w:rPr>
                    <w:t>62</w:t>
                  </w:r>
                </w:p>
              </w:tc>
              <w:tc>
                <w:tcPr>
                  <w:tcW w:w="876" w:type="pct"/>
                  <w:shd w:val="clear" w:color="auto" w:fill="auto"/>
                  <w:vAlign w:val="center"/>
                </w:tcPr>
                <w:p w14:paraId="47765EDD">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硫酸锰</w:t>
                  </w:r>
                </w:p>
              </w:tc>
              <w:tc>
                <w:tcPr>
                  <w:tcW w:w="655" w:type="pct"/>
                  <w:shd w:val="clear" w:color="auto" w:fill="auto"/>
                  <w:vAlign w:val="center"/>
                </w:tcPr>
                <w:p w14:paraId="0C1B82C6">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48" w:type="pct"/>
                  <w:shd w:val="clear" w:color="auto" w:fill="auto"/>
                  <w:vAlign w:val="center"/>
                </w:tcPr>
                <w:p w14:paraId="644857FB">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642272AD">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3E5A9A06">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6F6A7B93">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3B2F0D8C">
                  <w:pPr>
                    <w:adjustRightInd w:val="0"/>
                    <w:snapToGrid w:val="0"/>
                    <w:jc w:val="center"/>
                    <w:rPr>
                      <w:bCs/>
                      <w:sz w:val="18"/>
                      <w:szCs w:val="18"/>
                    </w:rPr>
                  </w:pPr>
                </w:p>
              </w:tc>
            </w:tr>
            <w:tr w14:paraId="5F4579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2FC4DE5E">
                  <w:pPr>
                    <w:widowControl/>
                    <w:jc w:val="center"/>
                    <w:textAlignment w:val="center"/>
                    <w:rPr>
                      <w:sz w:val="18"/>
                      <w:szCs w:val="18"/>
                    </w:rPr>
                  </w:pPr>
                  <w:r>
                    <w:rPr>
                      <w:kern w:val="0"/>
                      <w:sz w:val="18"/>
                      <w:szCs w:val="18"/>
                      <w:lang w:bidi="ar"/>
                    </w:rPr>
                    <w:t>63</w:t>
                  </w:r>
                </w:p>
              </w:tc>
              <w:tc>
                <w:tcPr>
                  <w:tcW w:w="876" w:type="pct"/>
                  <w:shd w:val="clear" w:color="auto" w:fill="auto"/>
                  <w:vAlign w:val="center"/>
                </w:tcPr>
                <w:p w14:paraId="5A850414">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硫酸镁</w:t>
                  </w:r>
                </w:p>
              </w:tc>
              <w:tc>
                <w:tcPr>
                  <w:tcW w:w="655" w:type="pct"/>
                  <w:shd w:val="clear" w:color="auto" w:fill="auto"/>
                  <w:vAlign w:val="center"/>
                </w:tcPr>
                <w:p w14:paraId="631245DA">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0.002</w:t>
                  </w:r>
                </w:p>
              </w:tc>
              <w:tc>
                <w:tcPr>
                  <w:tcW w:w="648" w:type="pct"/>
                  <w:shd w:val="clear" w:color="auto" w:fill="auto"/>
                  <w:vAlign w:val="center"/>
                </w:tcPr>
                <w:p w14:paraId="64DC15E8">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20B91CF3">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23" w:type="pct"/>
                  <w:shd w:val="clear" w:color="auto" w:fill="auto"/>
                  <w:vAlign w:val="center"/>
                </w:tcPr>
                <w:p w14:paraId="24CC0CF4">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73C3F753">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0.00002</w:t>
                  </w:r>
                </w:p>
              </w:tc>
              <w:tc>
                <w:tcPr>
                  <w:tcW w:w="735" w:type="pct"/>
                  <w:vMerge w:val="continue"/>
                  <w:vAlign w:val="center"/>
                </w:tcPr>
                <w:p w14:paraId="26D6A243">
                  <w:pPr>
                    <w:adjustRightInd w:val="0"/>
                    <w:snapToGrid w:val="0"/>
                    <w:jc w:val="center"/>
                    <w:rPr>
                      <w:bCs/>
                      <w:sz w:val="18"/>
                      <w:szCs w:val="18"/>
                    </w:rPr>
                  </w:pPr>
                </w:p>
              </w:tc>
            </w:tr>
            <w:tr w14:paraId="36542E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3" w:type="pct"/>
                  <w:vAlign w:val="center"/>
                </w:tcPr>
                <w:p w14:paraId="6125649E">
                  <w:pPr>
                    <w:widowControl/>
                    <w:jc w:val="center"/>
                    <w:textAlignment w:val="center"/>
                    <w:rPr>
                      <w:sz w:val="18"/>
                      <w:szCs w:val="18"/>
                    </w:rPr>
                  </w:pPr>
                  <w:r>
                    <w:rPr>
                      <w:kern w:val="0"/>
                      <w:sz w:val="18"/>
                      <w:szCs w:val="18"/>
                      <w:lang w:bidi="ar"/>
                    </w:rPr>
                    <w:t>64</w:t>
                  </w:r>
                </w:p>
              </w:tc>
              <w:tc>
                <w:tcPr>
                  <w:tcW w:w="876" w:type="pct"/>
                  <w:shd w:val="clear" w:color="auto" w:fill="auto"/>
                  <w:vAlign w:val="center"/>
                </w:tcPr>
                <w:p w14:paraId="44DC18DB">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硫酸铈</w:t>
                  </w:r>
                </w:p>
              </w:tc>
              <w:tc>
                <w:tcPr>
                  <w:tcW w:w="655" w:type="pct"/>
                  <w:shd w:val="clear" w:color="auto" w:fill="auto"/>
                  <w:vAlign w:val="center"/>
                </w:tcPr>
                <w:p w14:paraId="467D7F06">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48" w:type="pct"/>
                  <w:shd w:val="clear" w:color="auto" w:fill="auto"/>
                  <w:vAlign w:val="center"/>
                </w:tcPr>
                <w:p w14:paraId="3BF2ACE9">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47BBB7AE">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15E4C93E">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5E586D27">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6BAC2980">
                  <w:pPr>
                    <w:adjustRightInd w:val="0"/>
                    <w:snapToGrid w:val="0"/>
                    <w:jc w:val="center"/>
                    <w:rPr>
                      <w:bCs/>
                      <w:sz w:val="18"/>
                      <w:szCs w:val="18"/>
                    </w:rPr>
                  </w:pPr>
                </w:p>
              </w:tc>
            </w:tr>
            <w:tr w14:paraId="5F1503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3101CDD0">
                  <w:pPr>
                    <w:widowControl/>
                    <w:jc w:val="center"/>
                    <w:textAlignment w:val="center"/>
                    <w:rPr>
                      <w:sz w:val="18"/>
                      <w:szCs w:val="18"/>
                    </w:rPr>
                  </w:pPr>
                  <w:r>
                    <w:rPr>
                      <w:kern w:val="0"/>
                      <w:sz w:val="18"/>
                      <w:szCs w:val="18"/>
                      <w:lang w:bidi="ar"/>
                    </w:rPr>
                    <w:t>65</w:t>
                  </w:r>
                </w:p>
              </w:tc>
              <w:tc>
                <w:tcPr>
                  <w:tcW w:w="876" w:type="pct"/>
                  <w:shd w:val="clear" w:color="auto" w:fill="auto"/>
                  <w:vAlign w:val="center"/>
                </w:tcPr>
                <w:p w14:paraId="0AA73447">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硝酸铬</w:t>
                  </w:r>
                </w:p>
              </w:tc>
              <w:tc>
                <w:tcPr>
                  <w:tcW w:w="655" w:type="pct"/>
                  <w:shd w:val="clear" w:color="auto" w:fill="auto"/>
                  <w:vAlign w:val="center"/>
                </w:tcPr>
                <w:p w14:paraId="12ED4103">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0.002</w:t>
                  </w:r>
                </w:p>
              </w:tc>
              <w:tc>
                <w:tcPr>
                  <w:tcW w:w="648" w:type="pct"/>
                  <w:shd w:val="clear" w:color="auto" w:fill="auto"/>
                  <w:vAlign w:val="center"/>
                </w:tcPr>
                <w:p w14:paraId="4D11AC20">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16FBCCAD">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23" w:type="pct"/>
                  <w:shd w:val="clear" w:color="auto" w:fill="auto"/>
                  <w:vAlign w:val="center"/>
                </w:tcPr>
                <w:p w14:paraId="1E539915">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5E6A6FB4">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0.00002</w:t>
                  </w:r>
                </w:p>
              </w:tc>
              <w:tc>
                <w:tcPr>
                  <w:tcW w:w="735" w:type="pct"/>
                  <w:vMerge w:val="continue"/>
                  <w:vAlign w:val="center"/>
                </w:tcPr>
                <w:p w14:paraId="1AE01BD0">
                  <w:pPr>
                    <w:adjustRightInd w:val="0"/>
                    <w:snapToGrid w:val="0"/>
                    <w:jc w:val="center"/>
                    <w:rPr>
                      <w:bCs/>
                      <w:sz w:val="18"/>
                      <w:szCs w:val="18"/>
                    </w:rPr>
                  </w:pPr>
                </w:p>
              </w:tc>
            </w:tr>
            <w:tr w14:paraId="434160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133545F2">
                  <w:pPr>
                    <w:widowControl/>
                    <w:jc w:val="center"/>
                    <w:textAlignment w:val="center"/>
                    <w:rPr>
                      <w:sz w:val="18"/>
                      <w:szCs w:val="18"/>
                    </w:rPr>
                  </w:pPr>
                  <w:r>
                    <w:rPr>
                      <w:kern w:val="0"/>
                      <w:sz w:val="18"/>
                      <w:szCs w:val="18"/>
                      <w:lang w:bidi="ar"/>
                    </w:rPr>
                    <w:t>66</w:t>
                  </w:r>
                </w:p>
              </w:tc>
              <w:tc>
                <w:tcPr>
                  <w:tcW w:w="876" w:type="pct"/>
                  <w:shd w:val="clear" w:color="auto" w:fill="auto"/>
                  <w:vAlign w:val="center"/>
                </w:tcPr>
                <w:p w14:paraId="6D910533">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硝酸钴</w:t>
                  </w:r>
                </w:p>
              </w:tc>
              <w:tc>
                <w:tcPr>
                  <w:tcW w:w="655" w:type="pct"/>
                  <w:shd w:val="clear" w:color="auto" w:fill="auto"/>
                  <w:vAlign w:val="center"/>
                </w:tcPr>
                <w:p w14:paraId="53BEE739">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0.002</w:t>
                  </w:r>
                </w:p>
              </w:tc>
              <w:tc>
                <w:tcPr>
                  <w:tcW w:w="648" w:type="pct"/>
                  <w:shd w:val="clear" w:color="auto" w:fill="auto"/>
                  <w:vAlign w:val="center"/>
                </w:tcPr>
                <w:p w14:paraId="43B1B1B2">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1C3A1C6B">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23" w:type="pct"/>
                  <w:shd w:val="clear" w:color="auto" w:fill="auto"/>
                  <w:vAlign w:val="center"/>
                </w:tcPr>
                <w:p w14:paraId="4E56708E">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6AC6B019">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0.00002</w:t>
                  </w:r>
                </w:p>
              </w:tc>
              <w:tc>
                <w:tcPr>
                  <w:tcW w:w="735" w:type="pct"/>
                  <w:vMerge w:val="continue"/>
                  <w:vAlign w:val="center"/>
                </w:tcPr>
                <w:p w14:paraId="1963CBE8">
                  <w:pPr>
                    <w:adjustRightInd w:val="0"/>
                    <w:snapToGrid w:val="0"/>
                    <w:jc w:val="center"/>
                    <w:rPr>
                      <w:bCs/>
                      <w:sz w:val="18"/>
                      <w:szCs w:val="18"/>
                    </w:rPr>
                  </w:pPr>
                </w:p>
              </w:tc>
            </w:tr>
            <w:tr w14:paraId="5F665E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1FF29709">
                  <w:pPr>
                    <w:widowControl/>
                    <w:jc w:val="center"/>
                    <w:textAlignment w:val="center"/>
                    <w:rPr>
                      <w:sz w:val="18"/>
                      <w:szCs w:val="18"/>
                    </w:rPr>
                  </w:pPr>
                  <w:r>
                    <w:rPr>
                      <w:kern w:val="0"/>
                      <w:sz w:val="18"/>
                      <w:szCs w:val="18"/>
                      <w:lang w:bidi="ar"/>
                    </w:rPr>
                    <w:t>67</w:t>
                  </w:r>
                </w:p>
              </w:tc>
              <w:tc>
                <w:tcPr>
                  <w:tcW w:w="876" w:type="pct"/>
                  <w:shd w:val="clear" w:color="auto" w:fill="auto"/>
                  <w:vAlign w:val="center"/>
                </w:tcPr>
                <w:p w14:paraId="4E38D486">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硝酸汞</w:t>
                  </w:r>
                </w:p>
              </w:tc>
              <w:tc>
                <w:tcPr>
                  <w:tcW w:w="655" w:type="pct"/>
                  <w:shd w:val="clear" w:color="auto" w:fill="auto"/>
                  <w:vAlign w:val="center"/>
                </w:tcPr>
                <w:p w14:paraId="7592F403">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48" w:type="pct"/>
                  <w:shd w:val="clear" w:color="auto" w:fill="auto"/>
                  <w:vAlign w:val="center"/>
                </w:tcPr>
                <w:p w14:paraId="221E417F">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2EAA170A">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72C61700">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476DE365">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7939C294">
                  <w:pPr>
                    <w:adjustRightInd w:val="0"/>
                    <w:snapToGrid w:val="0"/>
                    <w:jc w:val="center"/>
                    <w:rPr>
                      <w:bCs/>
                      <w:sz w:val="18"/>
                      <w:szCs w:val="18"/>
                    </w:rPr>
                  </w:pPr>
                </w:p>
              </w:tc>
            </w:tr>
            <w:tr w14:paraId="7CACD4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254ABA6F">
                  <w:pPr>
                    <w:widowControl/>
                    <w:jc w:val="center"/>
                    <w:textAlignment w:val="center"/>
                    <w:rPr>
                      <w:sz w:val="18"/>
                      <w:szCs w:val="18"/>
                    </w:rPr>
                  </w:pPr>
                  <w:r>
                    <w:rPr>
                      <w:kern w:val="0"/>
                      <w:sz w:val="18"/>
                      <w:szCs w:val="18"/>
                      <w:lang w:bidi="ar"/>
                    </w:rPr>
                    <w:t>68</w:t>
                  </w:r>
                </w:p>
              </w:tc>
              <w:tc>
                <w:tcPr>
                  <w:tcW w:w="876" w:type="pct"/>
                  <w:shd w:val="clear" w:color="auto" w:fill="auto"/>
                  <w:vAlign w:val="center"/>
                </w:tcPr>
                <w:p w14:paraId="7B6AB01A">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硝酸铅</w:t>
                  </w:r>
                </w:p>
              </w:tc>
              <w:tc>
                <w:tcPr>
                  <w:tcW w:w="655" w:type="pct"/>
                  <w:shd w:val="clear" w:color="auto" w:fill="auto"/>
                  <w:vAlign w:val="center"/>
                </w:tcPr>
                <w:p w14:paraId="08CE3E21">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48" w:type="pct"/>
                  <w:shd w:val="clear" w:color="auto" w:fill="auto"/>
                  <w:vAlign w:val="center"/>
                </w:tcPr>
                <w:p w14:paraId="0D6376E0">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553A7CBA">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365DC5C7">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46428D3F">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5DB2E6B5">
                  <w:pPr>
                    <w:adjustRightInd w:val="0"/>
                    <w:snapToGrid w:val="0"/>
                    <w:jc w:val="center"/>
                    <w:rPr>
                      <w:bCs/>
                      <w:sz w:val="18"/>
                      <w:szCs w:val="18"/>
                    </w:rPr>
                  </w:pPr>
                </w:p>
              </w:tc>
            </w:tr>
            <w:tr w14:paraId="2EB5A5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2FCAE779">
                  <w:pPr>
                    <w:widowControl/>
                    <w:jc w:val="center"/>
                    <w:textAlignment w:val="center"/>
                    <w:rPr>
                      <w:sz w:val="18"/>
                      <w:szCs w:val="18"/>
                    </w:rPr>
                  </w:pPr>
                  <w:r>
                    <w:rPr>
                      <w:kern w:val="0"/>
                      <w:sz w:val="18"/>
                      <w:szCs w:val="18"/>
                      <w:lang w:bidi="ar"/>
                    </w:rPr>
                    <w:t>69</w:t>
                  </w:r>
                </w:p>
              </w:tc>
              <w:tc>
                <w:tcPr>
                  <w:tcW w:w="876" w:type="pct"/>
                  <w:shd w:val="clear" w:color="auto" w:fill="auto"/>
                  <w:vAlign w:val="center"/>
                </w:tcPr>
                <w:p w14:paraId="0E92C37B">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醋酸铅</w:t>
                  </w:r>
                </w:p>
              </w:tc>
              <w:tc>
                <w:tcPr>
                  <w:tcW w:w="655" w:type="pct"/>
                  <w:shd w:val="clear" w:color="auto" w:fill="auto"/>
                  <w:vAlign w:val="center"/>
                </w:tcPr>
                <w:p w14:paraId="19E24D2A">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48" w:type="pct"/>
                  <w:shd w:val="clear" w:color="auto" w:fill="auto"/>
                  <w:vAlign w:val="center"/>
                </w:tcPr>
                <w:p w14:paraId="65B206AD">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37BEEAEC">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5E84FA22">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3971DB0A">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1B5E0601">
                  <w:pPr>
                    <w:adjustRightInd w:val="0"/>
                    <w:snapToGrid w:val="0"/>
                    <w:jc w:val="center"/>
                    <w:rPr>
                      <w:bCs/>
                      <w:sz w:val="18"/>
                      <w:szCs w:val="18"/>
                    </w:rPr>
                  </w:pPr>
                </w:p>
              </w:tc>
            </w:tr>
            <w:tr w14:paraId="34DE8F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187A0ACF">
                  <w:pPr>
                    <w:widowControl/>
                    <w:jc w:val="center"/>
                    <w:textAlignment w:val="center"/>
                    <w:rPr>
                      <w:sz w:val="18"/>
                      <w:szCs w:val="18"/>
                    </w:rPr>
                  </w:pPr>
                  <w:r>
                    <w:rPr>
                      <w:kern w:val="0"/>
                      <w:sz w:val="18"/>
                      <w:szCs w:val="18"/>
                      <w:lang w:bidi="ar"/>
                    </w:rPr>
                    <w:t>70</w:t>
                  </w:r>
                </w:p>
              </w:tc>
              <w:tc>
                <w:tcPr>
                  <w:tcW w:w="876" w:type="pct"/>
                  <w:shd w:val="clear" w:color="auto" w:fill="auto"/>
                  <w:vAlign w:val="center"/>
                </w:tcPr>
                <w:p w14:paraId="1935BFFC">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磷酸四丁铵</w:t>
                  </w:r>
                </w:p>
              </w:tc>
              <w:tc>
                <w:tcPr>
                  <w:tcW w:w="655" w:type="pct"/>
                  <w:shd w:val="clear" w:color="auto" w:fill="auto"/>
                  <w:vAlign w:val="center"/>
                </w:tcPr>
                <w:p w14:paraId="3A82D4F8">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48" w:type="pct"/>
                  <w:shd w:val="clear" w:color="auto" w:fill="auto"/>
                  <w:vAlign w:val="center"/>
                </w:tcPr>
                <w:p w14:paraId="2608BAF2">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05766E82">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516866D8">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0ABDEE13">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25631360">
                  <w:pPr>
                    <w:adjustRightInd w:val="0"/>
                    <w:snapToGrid w:val="0"/>
                    <w:jc w:val="center"/>
                    <w:rPr>
                      <w:bCs/>
                      <w:sz w:val="18"/>
                      <w:szCs w:val="18"/>
                    </w:rPr>
                  </w:pPr>
                </w:p>
              </w:tc>
            </w:tr>
            <w:tr w14:paraId="6717F7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0AFA94DE">
                  <w:pPr>
                    <w:widowControl/>
                    <w:jc w:val="center"/>
                    <w:textAlignment w:val="center"/>
                    <w:rPr>
                      <w:sz w:val="18"/>
                      <w:szCs w:val="18"/>
                    </w:rPr>
                  </w:pPr>
                  <w:r>
                    <w:rPr>
                      <w:kern w:val="0"/>
                      <w:sz w:val="18"/>
                      <w:szCs w:val="18"/>
                      <w:lang w:bidi="ar"/>
                    </w:rPr>
                    <w:t>71</w:t>
                  </w:r>
                </w:p>
              </w:tc>
              <w:tc>
                <w:tcPr>
                  <w:tcW w:w="876" w:type="pct"/>
                  <w:shd w:val="clear" w:color="auto" w:fill="auto"/>
                  <w:vAlign w:val="center"/>
                </w:tcPr>
                <w:p w14:paraId="4B227599">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硫氰酸钾</w:t>
                  </w:r>
                </w:p>
              </w:tc>
              <w:tc>
                <w:tcPr>
                  <w:tcW w:w="655" w:type="pct"/>
                  <w:shd w:val="clear" w:color="auto" w:fill="auto"/>
                  <w:vAlign w:val="center"/>
                </w:tcPr>
                <w:p w14:paraId="6A039003">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48" w:type="pct"/>
                  <w:shd w:val="clear" w:color="auto" w:fill="auto"/>
                  <w:vAlign w:val="center"/>
                </w:tcPr>
                <w:p w14:paraId="2EDC2BC8">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706AE739">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78EDC580">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35F42129">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7D165ED2">
                  <w:pPr>
                    <w:adjustRightInd w:val="0"/>
                    <w:snapToGrid w:val="0"/>
                    <w:jc w:val="center"/>
                    <w:rPr>
                      <w:bCs/>
                      <w:sz w:val="18"/>
                      <w:szCs w:val="18"/>
                    </w:rPr>
                  </w:pPr>
                </w:p>
              </w:tc>
            </w:tr>
            <w:tr w14:paraId="124673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4A83C5FC">
                  <w:pPr>
                    <w:widowControl/>
                    <w:jc w:val="center"/>
                    <w:textAlignment w:val="center"/>
                    <w:rPr>
                      <w:sz w:val="18"/>
                      <w:szCs w:val="18"/>
                    </w:rPr>
                  </w:pPr>
                  <w:r>
                    <w:rPr>
                      <w:kern w:val="0"/>
                      <w:sz w:val="18"/>
                      <w:szCs w:val="18"/>
                      <w:lang w:bidi="ar"/>
                    </w:rPr>
                    <w:t>72</w:t>
                  </w:r>
                </w:p>
              </w:tc>
              <w:tc>
                <w:tcPr>
                  <w:tcW w:w="876" w:type="pct"/>
                  <w:shd w:val="clear" w:color="auto" w:fill="auto"/>
                  <w:vAlign w:val="center"/>
                </w:tcPr>
                <w:p w14:paraId="6E23949A">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氢氧化钠</w:t>
                  </w:r>
                </w:p>
              </w:tc>
              <w:tc>
                <w:tcPr>
                  <w:tcW w:w="655" w:type="pct"/>
                  <w:shd w:val="clear" w:color="auto" w:fill="auto"/>
                  <w:vAlign w:val="center"/>
                </w:tcPr>
                <w:p w14:paraId="23AD566E">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0.006</w:t>
                  </w:r>
                </w:p>
              </w:tc>
              <w:tc>
                <w:tcPr>
                  <w:tcW w:w="648" w:type="pct"/>
                  <w:shd w:val="clear" w:color="auto" w:fill="auto"/>
                  <w:vAlign w:val="center"/>
                </w:tcPr>
                <w:p w14:paraId="2D8B64BD">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2302CEAF">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0.002</w:t>
                  </w:r>
                </w:p>
              </w:tc>
              <w:tc>
                <w:tcPr>
                  <w:tcW w:w="623" w:type="pct"/>
                  <w:shd w:val="clear" w:color="auto" w:fill="auto"/>
                  <w:vAlign w:val="center"/>
                </w:tcPr>
                <w:p w14:paraId="101996EE">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57FC0689">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0.00004</w:t>
                  </w:r>
                </w:p>
              </w:tc>
              <w:tc>
                <w:tcPr>
                  <w:tcW w:w="735" w:type="pct"/>
                  <w:vMerge w:val="continue"/>
                  <w:vAlign w:val="center"/>
                </w:tcPr>
                <w:p w14:paraId="57096281">
                  <w:pPr>
                    <w:adjustRightInd w:val="0"/>
                    <w:snapToGrid w:val="0"/>
                    <w:jc w:val="center"/>
                    <w:rPr>
                      <w:bCs/>
                      <w:sz w:val="18"/>
                      <w:szCs w:val="18"/>
                    </w:rPr>
                  </w:pPr>
                </w:p>
              </w:tc>
            </w:tr>
            <w:tr w14:paraId="75DE2D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0F69A3EF">
                  <w:pPr>
                    <w:widowControl/>
                    <w:jc w:val="center"/>
                    <w:textAlignment w:val="center"/>
                    <w:rPr>
                      <w:sz w:val="18"/>
                      <w:szCs w:val="18"/>
                    </w:rPr>
                  </w:pPr>
                  <w:r>
                    <w:rPr>
                      <w:kern w:val="0"/>
                      <w:sz w:val="18"/>
                      <w:szCs w:val="18"/>
                      <w:lang w:bidi="ar"/>
                    </w:rPr>
                    <w:t>73</w:t>
                  </w:r>
                </w:p>
              </w:tc>
              <w:tc>
                <w:tcPr>
                  <w:tcW w:w="876" w:type="pct"/>
                  <w:shd w:val="clear" w:color="auto" w:fill="auto"/>
                  <w:vAlign w:val="center"/>
                </w:tcPr>
                <w:p w14:paraId="65477FC8">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氢氧化钾</w:t>
                  </w:r>
                </w:p>
              </w:tc>
              <w:tc>
                <w:tcPr>
                  <w:tcW w:w="655" w:type="pct"/>
                  <w:shd w:val="clear" w:color="auto" w:fill="auto"/>
                  <w:vAlign w:val="center"/>
                </w:tcPr>
                <w:p w14:paraId="78849468">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0.002</w:t>
                  </w:r>
                </w:p>
              </w:tc>
              <w:tc>
                <w:tcPr>
                  <w:tcW w:w="648" w:type="pct"/>
                  <w:shd w:val="clear" w:color="auto" w:fill="auto"/>
                  <w:vAlign w:val="center"/>
                </w:tcPr>
                <w:p w14:paraId="186B6EB0">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1F94AA34">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23" w:type="pct"/>
                  <w:shd w:val="clear" w:color="auto" w:fill="auto"/>
                  <w:vAlign w:val="center"/>
                </w:tcPr>
                <w:p w14:paraId="5AEC33E7">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068AD920">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0.00002</w:t>
                  </w:r>
                </w:p>
              </w:tc>
              <w:tc>
                <w:tcPr>
                  <w:tcW w:w="735" w:type="pct"/>
                  <w:vMerge w:val="continue"/>
                  <w:vAlign w:val="center"/>
                </w:tcPr>
                <w:p w14:paraId="1B8E16A6">
                  <w:pPr>
                    <w:adjustRightInd w:val="0"/>
                    <w:snapToGrid w:val="0"/>
                    <w:jc w:val="center"/>
                    <w:rPr>
                      <w:bCs/>
                      <w:sz w:val="18"/>
                      <w:szCs w:val="18"/>
                    </w:rPr>
                  </w:pPr>
                </w:p>
              </w:tc>
            </w:tr>
            <w:tr w14:paraId="6551E0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1A063C1C">
                  <w:pPr>
                    <w:widowControl/>
                    <w:jc w:val="center"/>
                    <w:textAlignment w:val="center"/>
                    <w:rPr>
                      <w:sz w:val="18"/>
                      <w:szCs w:val="18"/>
                    </w:rPr>
                  </w:pPr>
                  <w:r>
                    <w:rPr>
                      <w:kern w:val="0"/>
                      <w:sz w:val="18"/>
                      <w:szCs w:val="18"/>
                      <w:lang w:bidi="ar"/>
                    </w:rPr>
                    <w:t>74</w:t>
                  </w:r>
                </w:p>
              </w:tc>
              <w:tc>
                <w:tcPr>
                  <w:tcW w:w="876" w:type="pct"/>
                  <w:shd w:val="clear" w:color="auto" w:fill="auto"/>
                  <w:vAlign w:val="center"/>
                </w:tcPr>
                <w:p w14:paraId="0F0BDD69">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碳酸氢钠</w:t>
                  </w:r>
                </w:p>
              </w:tc>
              <w:tc>
                <w:tcPr>
                  <w:tcW w:w="655" w:type="pct"/>
                  <w:shd w:val="clear" w:color="auto" w:fill="auto"/>
                  <w:vAlign w:val="center"/>
                </w:tcPr>
                <w:p w14:paraId="2B3D5605">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0.008</w:t>
                  </w:r>
                </w:p>
              </w:tc>
              <w:tc>
                <w:tcPr>
                  <w:tcW w:w="648" w:type="pct"/>
                  <w:shd w:val="clear" w:color="auto" w:fill="auto"/>
                  <w:vAlign w:val="center"/>
                </w:tcPr>
                <w:p w14:paraId="7437CF6D">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7179E683">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0.002</w:t>
                  </w:r>
                </w:p>
              </w:tc>
              <w:tc>
                <w:tcPr>
                  <w:tcW w:w="623" w:type="pct"/>
                  <w:shd w:val="clear" w:color="auto" w:fill="auto"/>
                  <w:vAlign w:val="center"/>
                </w:tcPr>
                <w:p w14:paraId="5AD1BEBF">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660E7B1A">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0.00004</w:t>
                  </w:r>
                </w:p>
              </w:tc>
              <w:tc>
                <w:tcPr>
                  <w:tcW w:w="735" w:type="pct"/>
                  <w:vMerge w:val="continue"/>
                  <w:vAlign w:val="center"/>
                </w:tcPr>
                <w:p w14:paraId="4178414B">
                  <w:pPr>
                    <w:adjustRightInd w:val="0"/>
                    <w:snapToGrid w:val="0"/>
                    <w:jc w:val="center"/>
                    <w:rPr>
                      <w:bCs/>
                      <w:sz w:val="18"/>
                      <w:szCs w:val="18"/>
                    </w:rPr>
                  </w:pPr>
                </w:p>
              </w:tc>
            </w:tr>
            <w:tr w14:paraId="5B7D23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71CDC7C4">
                  <w:pPr>
                    <w:widowControl/>
                    <w:jc w:val="center"/>
                    <w:textAlignment w:val="center"/>
                    <w:rPr>
                      <w:sz w:val="18"/>
                      <w:szCs w:val="18"/>
                    </w:rPr>
                  </w:pPr>
                  <w:r>
                    <w:rPr>
                      <w:kern w:val="0"/>
                      <w:sz w:val="18"/>
                      <w:szCs w:val="18"/>
                      <w:lang w:bidi="ar"/>
                    </w:rPr>
                    <w:t>75</w:t>
                  </w:r>
                </w:p>
              </w:tc>
              <w:tc>
                <w:tcPr>
                  <w:tcW w:w="876" w:type="pct"/>
                  <w:shd w:val="clear" w:color="auto" w:fill="auto"/>
                  <w:vAlign w:val="center"/>
                </w:tcPr>
                <w:p w14:paraId="6A7C3F50">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碳酸钠</w:t>
                  </w:r>
                </w:p>
              </w:tc>
              <w:tc>
                <w:tcPr>
                  <w:tcW w:w="655" w:type="pct"/>
                  <w:shd w:val="clear" w:color="auto" w:fill="auto"/>
                  <w:vAlign w:val="center"/>
                </w:tcPr>
                <w:p w14:paraId="11F714D5">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0.01</w:t>
                  </w:r>
                </w:p>
              </w:tc>
              <w:tc>
                <w:tcPr>
                  <w:tcW w:w="648" w:type="pct"/>
                  <w:shd w:val="clear" w:color="auto" w:fill="auto"/>
                  <w:vAlign w:val="center"/>
                </w:tcPr>
                <w:p w14:paraId="48D5C085">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5AB69127">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23" w:type="pct"/>
                  <w:shd w:val="clear" w:color="auto" w:fill="auto"/>
                  <w:vAlign w:val="center"/>
                </w:tcPr>
                <w:p w14:paraId="3BA1F5B1">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32818F6C">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0.00002</w:t>
                  </w:r>
                </w:p>
              </w:tc>
              <w:tc>
                <w:tcPr>
                  <w:tcW w:w="735" w:type="pct"/>
                  <w:vMerge w:val="continue"/>
                  <w:vAlign w:val="center"/>
                </w:tcPr>
                <w:p w14:paraId="58B19AD4">
                  <w:pPr>
                    <w:adjustRightInd w:val="0"/>
                    <w:snapToGrid w:val="0"/>
                    <w:jc w:val="center"/>
                    <w:rPr>
                      <w:bCs/>
                      <w:sz w:val="18"/>
                      <w:szCs w:val="18"/>
                    </w:rPr>
                  </w:pPr>
                </w:p>
              </w:tc>
            </w:tr>
            <w:tr w14:paraId="608784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61AA45CB">
                  <w:pPr>
                    <w:widowControl/>
                    <w:jc w:val="center"/>
                    <w:textAlignment w:val="center"/>
                    <w:rPr>
                      <w:sz w:val="18"/>
                      <w:szCs w:val="18"/>
                    </w:rPr>
                  </w:pPr>
                  <w:r>
                    <w:rPr>
                      <w:kern w:val="0"/>
                      <w:sz w:val="18"/>
                      <w:szCs w:val="18"/>
                      <w:lang w:bidi="ar"/>
                    </w:rPr>
                    <w:t>76</w:t>
                  </w:r>
                </w:p>
              </w:tc>
              <w:tc>
                <w:tcPr>
                  <w:tcW w:w="876" w:type="pct"/>
                  <w:shd w:val="clear" w:color="auto" w:fill="auto"/>
                  <w:vAlign w:val="center"/>
                </w:tcPr>
                <w:p w14:paraId="6C028CBE">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磷酸二氢钾</w:t>
                  </w:r>
                </w:p>
              </w:tc>
              <w:tc>
                <w:tcPr>
                  <w:tcW w:w="655" w:type="pct"/>
                  <w:shd w:val="clear" w:color="auto" w:fill="auto"/>
                  <w:vAlign w:val="center"/>
                </w:tcPr>
                <w:p w14:paraId="2A2D5030">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0.01</w:t>
                  </w:r>
                </w:p>
              </w:tc>
              <w:tc>
                <w:tcPr>
                  <w:tcW w:w="648" w:type="pct"/>
                  <w:shd w:val="clear" w:color="auto" w:fill="auto"/>
                  <w:vAlign w:val="center"/>
                </w:tcPr>
                <w:p w14:paraId="571A97A4">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31191D85">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23" w:type="pct"/>
                  <w:shd w:val="clear" w:color="auto" w:fill="auto"/>
                  <w:vAlign w:val="center"/>
                </w:tcPr>
                <w:p w14:paraId="3E9BC898">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31407CD9">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0.00002</w:t>
                  </w:r>
                </w:p>
              </w:tc>
              <w:tc>
                <w:tcPr>
                  <w:tcW w:w="735" w:type="pct"/>
                  <w:vMerge w:val="continue"/>
                  <w:vAlign w:val="center"/>
                </w:tcPr>
                <w:p w14:paraId="44CD6688">
                  <w:pPr>
                    <w:adjustRightInd w:val="0"/>
                    <w:snapToGrid w:val="0"/>
                    <w:jc w:val="center"/>
                    <w:rPr>
                      <w:bCs/>
                      <w:sz w:val="18"/>
                      <w:szCs w:val="18"/>
                    </w:rPr>
                  </w:pPr>
                </w:p>
              </w:tc>
            </w:tr>
            <w:tr w14:paraId="7EF554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59194E6E">
                  <w:pPr>
                    <w:widowControl/>
                    <w:jc w:val="center"/>
                    <w:textAlignment w:val="center"/>
                    <w:rPr>
                      <w:sz w:val="18"/>
                      <w:szCs w:val="18"/>
                    </w:rPr>
                  </w:pPr>
                  <w:r>
                    <w:rPr>
                      <w:kern w:val="0"/>
                      <w:sz w:val="18"/>
                      <w:szCs w:val="18"/>
                      <w:lang w:bidi="ar"/>
                    </w:rPr>
                    <w:t>77</w:t>
                  </w:r>
                </w:p>
              </w:tc>
              <w:tc>
                <w:tcPr>
                  <w:tcW w:w="876" w:type="pct"/>
                  <w:shd w:val="clear" w:color="auto" w:fill="auto"/>
                  <w:vAlign w:val="center"/>
                </w:tcPr>
                <w:p w14:paraId="05F0322E">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磷酸二氢钠</w:t>
                  </w:r>
                </w:p>
              </w:tc>
              <w:tc>
                <w:tcPr>
                  <w:tcW w:w="655" w:type="pct"/>
                  <w:shd w:val="clear" w:color="auto" w:fill="auto"/>
                  <w:vAlign w:val="center"/>
                </w:tcPr>
                <w:p w14:paraId="32A56F78">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0.01</w:t>
                  </w:r>
                </w:p>
              </w:tc>
              <w:tc>
                <w:tcPr>
                  <w:tcW w:w="648" w:type="pct"/>
                  <w:shd w:val="clear" w:color="auto" w:fill="auto"/>
                  <w:vAlign w:val="center"/>
                </w:tcPr>
                <w:p w14:paraId="0118278F">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7CFE5C04">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23" w:type="pct"/>
                  <w:shd w:val="clear" w:color="auto" w:fill="auto"/>
                  <w:vAlign w:val="center"/>
                </w:tcPr>
                <w:p w14:paraId="77C4D38E">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7180545D">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0.00002</w:t>
                  </w:r>
                </w:p>
              </w:tc>
              <w:tc>
                <w:tcPr>
                  <w:tcW w:w="735" w:type="pct"/>
                  <w:vMerge w:val="continue"/>
                  <w:vAlign w:val="center"/>
                </w:tcPr>
                <w:p w14:paraId="25D9FA8C">
                  <w:pPr>
                    <w:adjustRightInd w:val="0"/>
                    <w:snapToGrid w:val="0"/>
                    <w:jc w:val="center"/>
                    <w:rPr>
                      <w:bCs/>
                      <w:sz w:val="18"/>
                      <w:szCs w:val="18"/>
                    </w:rPr>
                  </w:pPr>
                </w:p>
              </w:tc>
            </w:tr>
            <w:tr w14:paraId="52BD4B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6964BA06">
                  <w:pPr>
                    <w:widowControl/>
                    <w:jc w:val="center"/>
                    <w:textAlignment w:val="center"/>
                    <w:rPr>
                      <w:sz w:val="18"/>
                      <w:szCs w:val="18"/>
                    </w:rPr>
                  </w:pPr>
                  <w:r>
                    <w:rPr>
                      <w:kern w:val="0"/>
                      <w:sz w:val="18"/>
                      <w:szCs w:val="18"/>
                      <w:lang w:bidi="ar"/>
                    </w:rPr>
                    <w:t>78</w:t>
                  </w:r>
                </w:p>
              </w:tc>
              <w:tc>
                <w:tcPr>
                  <w:tcW w:w="876" w:type="pct"/>
                  <w:shd w:val="clear" w:color="auto" w:fill="auto"/>
                  <w:vAlign w:val="center"/>
                </w:tcPr>
                <w:p w14:paraId="5A7C1FB6">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磷酸氢钠</w:t>
                  </w:r>
                </w:p>
              </w:tc>
              <w:tc>
                <w:tcPr>
                  <w:tcW w:w="655" w:type="pct"/>
                  <w:shd w:val="clear" w:color="auto" w:fill="auto"/>
                  <w:vAlign w:val="center"/>
                </w:tcPr>
                <w:p w14:paraId="549CB82E">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0.01</w:t>
                  </w:r>
                </w:p>
              </w:tc>
              <w:tc>
                <w:tcPr>
                  <w:tcW w:w="648" w:type="pct"/>
                  <w:shd w:val="clear" w:color="auto" w:fill="auto"/>
                  <w:vAlign w:val="center"/>
                </w:tcPr>
                <w:p w14:paraId="5B894340">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5BFA0BAA">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23" w:type="pct"/>
                  <w:shd w:val="clear" w:color="auto" w:fill="auto"/>
                  <w:vAlign w:val="center"/>
                </w:tcPr>
                <w:p w14:paraId="0A3B3F46">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56E0839A">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0.00002</w:t>
                  </w:r>
                </w:p>
              </w:tc>
              <w:tc>
                <w:tcPr>
                  <w:tcW w:w="735" w:type="pct"/>
                  <w:vMerge w:val="continue"/>
                  <w:vAlign w:val="center"/>
                </w:tcPr>
                <w:p w14:paraId="0B48C3FA">
                  <w:pPr>
                    <w:adjustRightInd w:val="0"/>
                    <w:snapToGrid w:val="0"/>
                    <w:jc w:val="center"/>
                    <w:rPr>
                      <w:bCs/>
                      <w:sz w:val="18"/>
                      <w:szCs w:val="18"/>
                    </w:rPr>
                  </w:pPr>
                </w:p>
              </w:tc>
            </w:tr>
            <w:tr w14:paraId="5E059F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14E8E0CD">
                  <w:pPr>
                    <w:widowControl/>
                    <w:jc w:val="center"/>
                    <w:textAlignment w:val="center"/>
                    <w:rPr>
                      <w:sz w:val="18"/>
                      <w:szCs w:val="18"/>
                    </w:rPr>
                  </w:pPr>
                  <w:r>
                    <w:rPr>
                      <w:kern w:val="0"/>
                      <w:sz w:val="18"/>
                      <w:szCs w:val="18"/>
                      <w:lang w:bidi="ar"/>
                    </w:rPr>
                    <w:t>79</w:t>
                  </w:r>
                </w:p>
              </w:tc>
              <w:tc>
                <w:tcPr>
                  <w:tcW w:w="876" w:type="pct"/>
                  <w:shd w:val="clear" w:color="auto" w:fill="auto"/>
                  <w:vAlign w:val="center"/>
                </w:tcPr>
                <w:p w14:paraId="51C39C0A">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五水合硫代硫酸钠</w:t>
                  </w:r>
                </w:p>
              </w:tc>
              <w:tc>
                <w:tcPr>
                  <w:tcW w:w="655" w:type="pct"/>
                  <w:shd w:val="clear" w:color="auto" w:fill="auto"/>
                  <w:vAlign w:val="center"/>
                </w:tcPr>
                <w:p w14:paraId="208681EE">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0.002</w:t>
                  </w:r>
                </w:p>
              </w:tc>
              <w:tc>
                <w:tcPr>
                  <w:tcW w:w="648" w:type="pct"/>
                  <w:shd w:val="clear" w:color="auto" w:fill="auto"/>
                  <w:vAlign w:val="center"/>
                </w:tcPr>
                <w:p w14:paraId="11AFDDC1">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334087DF">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0.002</w:t>
                  </w:r>
                </w:p>
              </w:tc>
              <w:tc>
                <w:tcPr>
                  <w:tcW w:w="623" w:type="pct"/>
                  <w:shd w:val="clear" w:color="auto" w:fill="auto"/>
                  <w:vAlign w:val="center"/>
                </w:tcPr>
                <w:p w14:paraId="2511908A">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38CDE522">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0.00004</w:t>
                  </w:r>
                </w:p>
              </w:tc>
              <w:tc>
                <w:tcPr>
                  <w:tcW w:w="735" w:type="pct"/>
                  <w:vMerge w:val="continue"/>
                  <w:vAlign w:val="center"/>
                </w:tcPr>
                <w:p w14:paraId="4310644D">
                  <w:pPr>
                    <w:adjustRightInd w:val="0"/>
                    <w:snapToGrid w:val="0"/>
                    <w:jc w:val="center"/>
                    <w:rPr>
                      <w:bCs/>
                      <w:sz w:val="18"/>
                      <w:szCs w:val="18"/>
                    </w:rPr>
                  </w:pPr>
                </w:p>
              </w:tc>
            </w:tr>
            <w:tr w14:paraId="05FF53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7F5D723E">
                  <w:pPr>
                    <w:widowControl/>
                    <w:jc w:val="center"/>
                    <w:textAlignment w:val="center"/>
                    <w:rPr>
                      <w:sz w:val="18"/>
                      <w:szCs w:val="18"/>
                    </w:rPr>
                  </w:pPr>
                  <w:r>
                    <w:rPr>
                      <w:kern w:val="0"/>
                      <w:sz w:val="18"/>
                      <w:szCs w:val="18"/>
                      <w:lang w:bidi="ar"/>
                    </w:rPr>
                    <w:t>80</w:t>
                  </w:r>
                </w:p>
              </w:tc>
              <w:tc>
                <w:tcPr>
                  <w:tcW w:w="876" w:type="pct"/>
                  <w:shd w:val="clear" w:color="auto" w:fill="auto"/>
                  <w:vAlign w:val="center"/>
                </w:tcPr>
                <w:p w14:paraId="3395960A">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五水合硫酸铜</w:t>
                  </w:r>
                </w:p>
              </w:tc>
              <w:tc>
                <w:tcPr>
                  <w:tcW w:w="655" w:type="pct"/>
                  <w:shd w:val="clear" w:color="auto" w:fill="auto"/>
                  <w:vAlign w:val="center"/>
                </w:tcPr>
                <w:p w14:paraId="700C5B89">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0.002</w:t>
                  </w:r>
                </w:p>
              </w:tc>
              <w:tc>
                <w:tcPr>
                  <w:tcW w:w="648" w:type="pct"/>
                  <w:shd w:val="clear" w:color="auto" w:fill="auto"/>
                  <w:vAlign w:val="center"/>
                </w:tcPr>
                <w:p w14:paraId="4320E282">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70C9FEFE">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0.002</w:t>
                  </w:r>
                </w:p>
              </w:tc>
              <w:tc>
                <w:tcPr>
                  <w:tcW w:w="623" w:type="pct"/>
                  <w:shd w:val="clear" w:color="auto" w:fill="auto"/>
                  <w:vAlign w:val="center"/>
                </w:tcPr>
                <w:p w14:paraId="52BB23B7">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62E504C2">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0.00004</w:t>
                  </w:r>
                </w:p>
              </w:tc>
              <w:tc>
                <w:tcPr>
                  <w:tcW w:w="735" w:type="pct"/>
                  <w:vMerge w:val="continue"/>
                  <w:vAlign w:val="center"/>
                </w:tcPr>
                <w:p w14:paraId="1D37BF45">
                  <w:pPr>
                    <w:adjustRightInd w:val="0"/>
                    <w:snapToGrid w:val="0"/>
                    <w:jc w:val="center"/>
                    <w:rPr>
                      <w:bCs/>
                      <w:sz w:val="18"/>
                      <w:szCs w:val="18"/>
                    </w:rPr>
                  </w:pPr>
                </w:p>
              </w:tc>
            </w:tr>
            <w:tr w14:paraId="45D56E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7249EF16">
                  <w:pPr>
                    <w:widowControl/>
                    <w:jc w:val="center"/>
                    <w:textAlignment w:val="center"/>
                    <w:rPr>
                      <w:sz w:val="18"/>
                      <w:szCs w:val="18"/>
                    </w:rPr>
                  </w:pPr>
                  <w:r>
                    <w:rPr>
                      <w:kern w:val="0"/>
                      <w:sz w:val="18"/>
                      <w:szCs w:val="18"/>
                      <w:lang w:bidi="ar"/>
                    </w:rPr>
                    <w:t>81</w:t>
                  </w:r>
                </w:p>
              </w:tc>
              <w:tc>
                <w:tcPr>
                  <w:tcW w:w="876" w:type="pct"/>
                  <w:shd w:val="clear" w:color="auto" w:fill="auto"/>
                  <w:vAlign w:val="center"/>
                </w:tcPr>
                <w:p w14:paraId="4B746D3D">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碳酸氢铵</w:t>
                  </w:r>
                </w:p>
              </w:tc>
              <w:tc>
                <w:tcPr>
                  <w:tcW w:w="655" w:type="pct"/>
                  <w:shd w:val="clear" w:color="auto" w:fill="auto"/>
                  <w:vAlign w:val="center"/>
                </w:tcPr>
                <w:p w14:paraId="047492D4">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0.002</w:t>
                  </w:r>
                </w:p>
              </w:tc>
              <w:tc>
                <w:tcPr>
                  <w:tcW w:w="648" w:type="pct"/>
                  <w:shd w:val="clear" w:color="auto" w:fill="auto"/>
                  <w:vAlign w:val="center"/>
                </w:tcPr>
                <w:p w14:paraId="1CD3E766">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2002F2BB">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0.002</w:t>
                  </w:r>
                </w:p>
              </w:tc>
              <w:tc>
                <w:tcPr>
                  <w:tcW w:w="623" w:type="pct"/>
                  <w:shd w:val="clear" w:color="auto" w:fill="auto"/>
                  <w:vAlign w:val="center"/>
                </w:tcPr>
                <w:p w14:paraId="56E4DD0E">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2F9C5166">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0.00004</w:t>
                  </w:r>
                </w:p>
              </w:tc>
              <w:tc>
                <w:tcPr>
                  <w:tcW w:w="735" w:type="pct"/>
                  <w:vMerge w:val="continue"/>
                  <w:vAlign w:val="center"/>
                </w:tcPr>
                <w:p w14:paraId="095A8DAE">
                  <w:pPr>
                    <w:adjustRightInd w:val="0"/>
                    <w:snapToGrid w:val="0"/>
                    <w:jc w:val="center"/>
                    <w:rPr>
                      <w:bCs/>
                      <w:sz w:val="18"/>
                      <w:szCs w:val="18"/>
                    </w:rPr>
                  </w:pPr>
                </w:p>
              </w:tc>
            </w:tr>
            <w:tr w14:paraId="6C2FB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01C8C824">
                  <w:pPr>
                    <w:widowControl/>
                    <w:jc w:val="center"/>
                    <w:textAlignment w:val="center"/>
                    <w:rPr>
                      <w:sz w:val="18"/>
                      <w:szCs w:val="18"/>
                    </w:rPr>
                  </w:pPr>
                  <w:r>
                    <w:rPr>
                      <w:kern w:val="0"/>
                      <w:sz w:val="18"/>
                      <w:szCs w:val="18"/>
                      <w:lang w:bidi="ar"/>
                    </w:rPr>
                    <w:t>82</w:t>
                  </w:r>
                </w:p>
              </w:tc>
              <w:tc>
                <w:tcPr>
                  <w:tcW w:w="876" w:type="pct"/>
                  <w:shd w:val="clear" w:color="auto" w:fill="auto"/>
                  <w:vAlign w:val="center"/>
                </w:tcPr>
                <w:p w14:paraId="55855B3C">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亚硝酸钠</w:t>
                  </w:r>
                </w:p>
              </w:tc>
              <w:tc>
                <w:tcPr>
                  <w:tcW w:w="655" w:type="pct"/>
                  <w:shd w:val="clear" w:color="auto" w:fill="auto"/>
                  <w:vAlign w:val="center"/>
                </w:tcPr>
                <w:p w14:paraId="2CD7F6B0">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48" w:type="pct"/>
                  <w:shd w:val="clear" w:color="auto" w:fill="auto"/>
                  <w:vAlign w:val="center"/>
                </w:tcPr>
                <w:p w14:paraId="1B9E1AB9">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3F4F40AC">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5B6668FC">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590E98A1">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39F9BA23">
                  <w:pPr>
                    <w:adjustRightInd w:val="0"/>
                    <w:snapToGrid w:val="0"/>
                    <w:jc w:val="center"/>
                    <w:rPr>
                      <w:bCs/>
                      <w:sz w:val="18"/>
                      <w:szCs w:val="18"/>
                    </w:rPr>
                  </w:pPr>
                </w:p>
              </w:tc>
            </w:tr>
            <w:tr w14:paraId="1C57BE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0EF14C67">
                  <w:pPr>
                    <w:widowControl/>
                    <w:jc w:val="center"/>
                    <w:textAlignment w:val="center"/>
                    <w:rPr>
                      <w:sz w:val="18"/>
                      <w:szCs w:val="18"/>
                    </w:rPr>
                  </w:pPr>
                  <w:r>
                    <w:rPr>
                      <w:kern w:val="0"/>
                      <w:sz w:val="18"/>
                      <w:szCs w:val="18"/>
                      <w:lang w:bidi="ar"/>
                    </w:rPr>
                    <w:t>83</w:t>
                  </w:r>
                </w:p>
              </w:tc>
              <w:tc>
                <w:tcPr>
                  <w:tcW w:w="876" w:type="pct"/>
                  <w:shd w:val="clear" w:color="auto" w:fill="auto"/>
                  <w:vAlign w:val="center"/>
                </w:tcPr>
                <w:p w14:paraId="1FCD34C4">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硫化钠</w:t>
                  </w:r>
                </w:p>
              </w:tc>
              <w:tc>
                <w:tcPr>
                  <w:tcW w:w="655" w:type="pct"/>
                  <w:shd w:val="clear" w:color="auto" w:fill="auto"/>
                  <w:vAlign w:val="center"/>
                </w:tcPr>
                <w:p w14:paraId="12EE4819">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0.002</w:t>
                  </w:r>
                </w:p>
              </w:tc>
              <w:tc>
                <w:tcPr>
                  <w:tcW w:w="648" w:type="pct"/>
                  <w:shd w:val="clear" w:color="auto" w:fill="auto"/>
                  <w:vAlign w:val="center"/>
                </w:tcPr>
                <w:p w14:paraId="4E8E6CB1">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2109991A">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23" w:type="pct"/>
                  <w:shd w:val="clear" w:color="auto" w:fill="auto"/>
                  <w:vAlign w:val="center"/>
                </w:tcPr>
                <w:p w14:paraId="0A0DCA9D">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4E8A2DC9">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0.00002</w:t>
                  </w:r>
                </w:p>
              </w:tc>
              <w:tc>
                <w:tcPr>
                  <w:tcW w:w="735" w:type="pct"/>
                  <w:vMerge w:val="continue"/>
                  <w:vAlign w:val="center"/>
                </w:tcPr>
                <w:p w14:paraId="27EB5F3B">
                  <w:pPr>
                    <w:adjustRightInd w:val="0"/>
                    <w:snapToGrid w:val="0"/>
                    <w:jc w:val="center"/>
                    <w:rPr>
                      <w:bCs/>
                      <w:sz w:val="18"/>
                      <w:szCs w:val="18"/>
                    </w:rPr>
                  </w:pPr>
                </w:p>
              </w:tc>
            </w:tr>
            <w:tr w14:paraId="5270CC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1EA21984">
                  <w:pPr>
                    <w:widowControl/>
                    <w:jc w:val="center"/>
                    <w:textAlignment w:val="center"/>
                    <w:rPr>
                      <w:sz w:val="18"/>
                      <w:szCs w:val="18"/>
                    </w:rPr>
                  </w:pPr>
                  <w:r>
                    <w:rPr>
                      <w:kern w:val="0"/>
                      <w:sz w:val="18"/>
                      <w:szCs w:val="18"/>
                      <w:lang w:bidi="ar"/>
                    </w:rPr>
                    <w:t>84</w:t>
                  </w:r>
                </w:p>
              </w:tc>
              <w:tc>
                <w:tcPr>
                  <w:tcW w:w="876" w:type="pct"/>
                  <w:shd w:val="clear" w:color="auto" w:fill="auto"/>
                  <w:vAlign w:val="center"/>
                </w:tcPr>
                <w:p w14:paraId="3796FAE2">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钨酸钠</w:t>
                  </w:r>
                </w:p>
              </w:tc>
              <w:tc>
                <w:tcPr>
                  <w:tcW w:w="655" w:type="pct"/>
                  <w:shd w:val="clear" w:color="auto" w:fill="auto"/>
                  <w:vAlign w:val="center"/>
                </w:tcPr>
                <w:p w14:paraId="7C022790">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48" w:type="pct"/>
                  <w:shd w:val="clear" w:color="auto" w:fill="auto"/>
                  <w:vAlign w:val="center"/>
                </w:tcPr>
                <w:p w14:paraId="2188BAA4">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2B16F259">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6F6BEF38">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7122B8C8">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4F3F5879">
                  <w:pPr>
                    <w:adjustRightInd w:val="0"/>
                    <w:snapToGrid w:val="0"/>
                    <w:jc w:val="center"/>
                    <w:rPr>
                      <w:bCs/>
                      <w:sz w:val="18"/>
                      <w:szCs w:val="18"/>
                    </w:rPr>
                  </w:pPr>
                </w:p>
              </w:tc>
            </w:tr>
            <w:tr w14:paraId="212750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4CEC024B">
                  <w:pPr>
                    <w:widowControl/>
                    <w:jc w:val="center"/>
                    <w:textAlignment w:val="center"/>
                    <w:rPr>
                      <w:sz w:val="18"/>
                      <w:szCs w:val="18"/>
                    </w:rPr>
                  </w:pPr>
                  <w:r>
                    <w:rPr>
                      <w:kern w:val="0"/>
                      <w:sz w:val="18"/>
                      <w:szCs w:val="18"/>
                      <w:lang w:bidi="ar"/>
                    </w:rPr>
                    <w:t>85</w:t>
                  </w:r>
                </w:p>
              </w:tc>
              <w:tc>
                <w:tcPr>
                  <w:tcW w:w="876" w:type="pct"/>
                  <w:shd w:val="clear" w:color="auto" w:fill="auto"/>
                  <w:vAlign w:val="center"/>
                </w:tcPr>
                <w:p w14:paraId="5F731E47">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钼酸铵</w:t>
                  </w:r>
                </w:p>
              </w:tc>
              <w:tc>
                <w:tcPr>
                  <w:tcW w:w="655" w:type="pct"/>
                  <w:shd w:val="clear" w:color="auto" w:fill="auto"/>
                  <w:vAlign w:val="center"/>
                </w:tcPr>
                <w:p w14:paraId="196F185F">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48" w:type="pct"/>
                  <w:shd w:val="clear" w:color="auto" w:fill="auto"/>
                  <w:vAlign w:val="center"/>
                </w:tcPr>
                <w:p w14:paraId="0807017A">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2D4B96C0">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615AEB1A">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62F193FC">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43EB2C88">
                  <w:pPr>
                    <w:adjustRightInd w:val="0"/>
                    <w:snapToGrid w:val="0"/>
                    <w:jc w:val="center"/>
                    <w:rPr>
                      <w:bCs/>
                      <w:sz w:val="18"/>
                      <w:szCs w:val="18"/>
                    </w:rPr>
                  </w:pPr>
                </w:p>
              </w:tc>
            </w:tr>
            <w:tr w14:paraId="37481C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3915BA3D">
                  <w:pPr>
                    <w:widowControl/>
                    <w:jc w:val="center"/>
                    <w:textAlignment w:val="center"/>
                    <w:rPr>
                      <w:sz w:val="18"/>
                      <w:szCs w:val="18"/>
                    </w:rPr>
                  </w:pPr>
                  <w:r>
                    <w:rPr>
                      <w:kern w:val="0"/>
                      <w:sz w:val="18"/>
                      <w:szCs w:val="18"/>
                      <w:lang w:bidi="ar"/>
                    </w:rPr>
                    <w:t>86</w:t>
                  </w:r>
                </w:p>
              </w:tc>
              <w:tc>
                <w:tcPr>
                  <w:tcW w:w="876" w:type="pct"/>
                  <w:shd w:val="clear" w:color="auto" w:fill="auto"/>
                  <w:vAlign w:val="center"/>
                </w:tcPr>
                <w:p w14:paraId="74E5AD4A">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三氯化钛</w:t>
                  </w:r>
                </w:p>
              </w:tc>
              <w:tc>
                <w:tcPr>
                  <w:tcW w:w="655" w:type="pct"/>
                  <w:shd w:val="clear" w:color="auto" w:fill="auto"/>
                  <w:vAlign w:val="center"/>
                </w:tcPr>
                <w:p w14:paraId="14979806">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48" w:type="pct"/>
                  <w:shd w:val="clear" w:color="auto" w:fill="auto"/>
                  <w:vAlign w:val="center"/>
                </w:tcPr>
                <w:p w14:paraId="6E823434">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6F85D6FB">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43BC9E15">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2EF27216">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5E09E869">
                  <w:pPr>
                    <w:adjustRightInd w:val="0"/>
                    <w:snapToGrid w:val="0"/>
                    <w:jc w:val="center"/>
                    <w:rPr>
                      <w:bCs/>
                      <w:sz w:val="18"/>
                      <w:szCs w:val="18"/>
                    </w:rPr>
                  </w:pPr>
                </w:p>
              </w:tc>
            </w:tr>
            <w:tr w14:paraId="13AF07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2BFABFF9">
                  <w:pPr>
                    <w:widowControl/>
                    <w:jc w:val="center"/>
                    <w:textAlignment w:val="center"/>
                    <w:rPr>
                      <w:sz w:val="18"/>
                      <w:szCs w:val="18"/>
                    </w:rPr>
                  </w:pPr>
                  <w:r>
                    <w:rPr>
                      <w:kern w:val="0"/>
                      <w:sz w:val="18"/>
                      <w:szCs w:val="18"/>
                      <w:lang w:bidi="ar"/>
                    </w:rPr>
                    <w:t>87</w:t>
                  </w:r>
                </w:p>
              </w:tc>
              <w:tc>
                <w:tcPr>
                  <w:tcW w:w="876" w:type="pct"/>
                  <w:shd w:val="clear" w:color="auto" w:fill="auto"/>
                  <w:vAlign w:val="center"/>
                </w:tcPr>
                <w:p w14:paraId="27AD8979">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六次甲基四胺</w:t>
                  </w:r>
                </w:p>
              </w:tc>
              <w:tc>
                <w:tcPr>
                  <w:tcW w:w="655" w:type="pct"/>
                  <w:shd w:val="clear" w:color="auto" w:fill="auto"/>
                  <w:vAlign w:val="center"/>
                </w:tcPr>
                <w:p w14:paraId="7E4AB5B5">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48" w:type="pct"/>
                  <w:shd w:val="clear" w:color="auto" w:fill="auto"/>
                  <w:vAlign w:val="center"/>
                </w:tcPr>
                <w:p w14:paraId="4190D831">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3BD7B2CB">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6BBC0BE5">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70D5588D">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03054DD0">
                  <w:pPr>
                    <w:adjustRightInd w:val="0"/>
                    <w:snapToGrid w:val="0"/>
                    <w:jc w:val="center"/>
                    <w:rPr>
                      <w:bCs/>
                      <w:sz w:val="18"/>
                      <w:szCs w:val="18"/>
                    </w:rPr>
                  </w:pPr>
                </w:p>
              </w:tc>
            </w:tr>
            <w:tr w14:paraId="6784C5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03E74B1E">
                  <w:pPr>
                    <w:widowControl/>
                    <w:jc w:val="center"/>
                    <w:textAlignment w:val="center"/>
                    <w:rPr>
                      <w:sz w:val="18"/>
                      <w:szCs w:val="18"/>
                    </w:rPr>
                  </w:pPr>
                  <w:r>
                    <w:rPr>
                      <w:kern w:val="0"/>
                      <w:sz w:val="18"/>
                      <w:szCs w:val="18"/>
                      <w:lang w:bidi="ar"/>
                    </w:rPr>
                    <w:t>88</w:t>
                  </w:r>
                </w:p>
              </w:tc>
              <w:tc>
                <w:tcPr>
                  <w:tcW w:w="876" w:type="pct"/>
                  <w:shd w:val="clear" w:color="auto" w:fill="auto"/>
                  <w:vAlign w:val="center"/>
                </w:tcPr>
                <w:p w14:paraId="6175099D">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三乙醇胺</w:t>
                  </w:r>
                </w:p>
              </w:tc>
              <w:tc>
                <w:tcPr>
                  <w:tcW w:w="655" w:type="pct"/>
                  <w:shd w:val="clear" w:color="auto" w:fill="auto"/>
                  <w:vAlign w:val="center"/>
                </w:tcPr>
                <w:p w14:paraId="4D6BBF8D">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0.002</w:t>
                  </w:r>
                </w:p>
              </w:tc>
              <w:tc>
                <w:tcPr>
                  <w:tcW w:w="648" w:type="pct"/>
                  <w:shd w:val="clear" w:color="auto" w:fill="auto"/>
                  <w:vAlign w:val="center"/>
                </w:tcPr>
                <w:p w14:paraId="111E3CEA">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61415BB2">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23" w:type="pct"/>
                  <w:shd w:val="clear" w:color="auto" w:fill="auto"/>
                  <w:vAlign w:val="center"/>
                </w:tcPr>
                <w:p w14:paraId="400C5F76">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79284F81">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0.00002</w:t>
                  </w:r>
                </w:p>
              </w:tc>
              <w:tc>
                <w:tcPr>
                  <w:tcW w:w="735" w:type="pct"/>
                  <w:vMerge w:val="continue"/>
                  <w:vAlign w:val="center"/>
                </w:tcPr>
                <w:p w14:paraId="17CB6BC8">
                  <w:pPr>
                    <w:adjustRightInd w:val="0"/>
                    <w:snapToGrid w:val="0"/>
                    <w:jc w:val="center"/>
                    <w:rPr>
                      <w:bCs/>
                      <w:sz w:val="18"/>
                      <w:szCs w:val="18"/>
                    </w:rPr>
                  </w:pPr>
                </w:p>
              </w:tc>
            </w:tr>
            <w:tr w14:paraId="41022B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50E9BE9A">
                  <w:pPr>
                    <w:widowControl/>
                    <w:jc w:val="center"/>
                    <w:textAlignment w:val="center"/>
                    <w:rPr>
                      <w:sz w:val="18"/>
                      <w:szCs w:val="18"/>
                    </w:rPr>
                  </w:pPr>
                  <w:r>
                    <w:rPr>
                      <w:kern w:val="0"/>
                      <w:sz w:val="18"/>
                      <w:szCs w:val="18"/>
                      <w:lang w:bidi="ar"/>
                    </w:rPr>
                    <w:t>89</w:t>
                  </w:r>
                </w:p>
              </w:tc>
              <w:tc>
                <w:tcPr>
                  <w:tcW w:w="876" w:type="pct"/>
                  <w:shd w:val="clear" w:color="auto" w:fill="auto"/>
                  <w:vAlign w:val="center"/>
                </w:tcPr>
                <w:p w14:paraId="1B435F23">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二苯胺磺酸钠</w:t>
                  </w:r>
                </w:p>
              </w:tc>
              <w:tc>
                <w:tcPr>
                  <w:tcW w:w="655" w:type="pct"/>
                  <w:shd w:val="clear" w:color="auto" w:fill="auto"/>
                  <w:vAlign w:val="center"/>
                </w:tcPr>
                <w:p w14:paraId="34D04F21">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0.002</w:t>
                  </w:r>
                </w:p>
              </w:tc>
              <w:tc>
                <w:tcPr>
                  <w:tcW w:w="648" w:type="pct"/>
                  <w:shd w:val="clear" w:color="auto" w:fill="auto"/>
                  <w:vAlign w:val="center"/>
                </w:tcPr>
                <w:p w14:paraId="60AAC0BA">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5C6CE792">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23" w:type="pct"/>
                  <w:shd w:val="clear" w:color="auto" w:fill="auto"/>
                  <w:vAlign w:val="center"/>
                </w:tcPr>
                <w:p w14:paraId="2A623464">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45527F5F">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0.00002</w:t>
                  </w:r>
                </w:p>
              </w:tc>
              <w:tc>
                <w:tcPr>
                  <w:tcW w:w="735" w:type="pct"/>
                  <w:vMerge w:val="continue"/>
                  <w:vAlign w:val="center"/>
                </w:tcPr>
                <w:p w14:paraId="0C49CDD4">
                  <w:pPr>
                    <w:adjustRightInd w:val="0"/>
                    <w:snapToGrid w:val="0"/>
                    <w:jc w:val="center"/>
                    <w:rPr>
                      <w:bCs/>
                      <w:sz w:val="18"/>
                      <w:szCs w:val="18"/>
                    </w:rPr>
                  </w:pPr>
                </w:p>
              </w:tc>
            </w:tr>
            <w:tr w14:paraId="045239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479E6A1B">
                  <w:pPr>
                    <w:widowControl/>
                    <w:jc w:val="center"/>
                    <w:textAlignment w:val="center"/>
                    <w:rPr>
                      <w:sz w:val="18"/>
                      <w:szCs w:val="18"/>
                    </w:rPr>
                  </w:pPr>
                  <w:r>
                    <w:rPr>
                      <w:kern w:val="0"/>
                      <w:sz w:val="18"/>
                      <w:szCs w:val="18"/>
                      <w:lang w:bidi="ar"/>
                    </w:rPr>
                    <w:t>90</w:t>
                  </w:r>
                </w:p>
              </w:tc>
              <w:tc>
                <w:tcPr>
                  <w:tcW w:w="876" w:type="pct"/>
                  <w:shd w:val="clear" w:color="auto" w:fill="auto"/>
                  <w:vAlign w:val="center"/>
                </w:tcPr>
                <w:p w14:paraId="55EED92E">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磺基水杨酸</w:t>
                  </w:r>
                </w:p>
              </w:tc>
              <w:tc>
                <w:tcPr>
                  <w:tcW w:w="655" w:type="pct"/>
                  <w:shd w:val="clear" w:color="auto" w:fill="auto"/>
                  <w:vAlign w:val="center"/>
                </w:tcPr>
                <w:p w14:paraId="0B858B13">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48" w:type="pct"/>
                  <w:shd w:val="clear" w:color="auto" w:fill="auto"/>
                  <w:vAlign w:val="center"/>
                </w:tcPr>
                <w:p w14:paraId="28562AA8">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4A2EA54D">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61491AC2">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78720E46">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3F65D4A5">
                  <w:pPr>
                    <w:adjustRightInd w:val="0"/>
                    <w:snapToGrid w:val="0"/>
                    <w:jc w:val="center"/>
                    <w:rPr>
                      <w:bCs/>
                      <w:sz w:val="18"/>
                      <w:szCs w:val="18"/>
                    </w:rPr>
                  </w:pPr>
                </w:p>
              </w:tc>
            </w:tr>
            <w:tr w14:paraId="4F6004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2134F9F6">
                  <w:pPr>
                    <w:widowControl/>
                    <w:jc w:val="center"/>
                    <w:textAlignment w:val="center"/>
                    <w:rPr>
                      <w:sz w:val="18"/>
                      <w:szCs w:val="18"/>
                    </w:rPr>
                  </w:pPr>
                  <w:r>
                    <w:rPr>
                      <w:kern w:val="0"/>
                      <w:sz w:val="18"/>
                      <w:szCs w:val="18"/>
                      <w:lang w:bidi="ar"/>
                    </w:rPr>
                    <w:t>91</w:t>
                  </w:r>
                </w:p>
              </w:tc>
              <w:tc>
                <w:tcPr>
                  <w:tcW w:w="876" w:type="pct"/>
                  <w:shd w:val="clear" w:color="auto" w:fill="auto"/>
                  <w:vAlign w:val="center"/>
                </w:tcPr>
                <w:p w14:paraId="488AACE2">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水杨酸</w:t>
                  </w:r>
                </w:p>
              </w:tc>
              <w:tc>
                <w:tcPr>
                  <w:tcW w:w="655" w:type="pct"/>
                  <w:shd w:val="clear" w:color="auto" w:fill="auto"/>
                  <w:vAlign w:val="center"/>
                </w:tcPr>
                <w:p w14:paraId="6A9052A7">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48" w:type="pct"/>
                  <w:shd w:val="clear" w:color="auto" w:fill="auto"/>
                  <w:vAlign w:val="center"/>
                </w:tcPr>
                <w:p w14:paraId="3C6F1F9C">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0765A477">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41E0D990">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05371302">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72675B41">
                  <w:pPr>
                    <w:adjustRightInd w:val="0"/>
                    <w:snapToGrid w:val="0"/>
                    <w:jc w:val="center"/>
                    <w:rPr>
                      <w:bCs/>
                      <w:sz w:val="18"/>
                      <w:szCs w:val="18"/>
                    </w:rPr>
                  </w:pPr>
                </w:p>
              </w:tc>
            </w:tr>
            <w:tr w14:paraId="4BDAAB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3CECDA9C">
                  <w:pPr>
                    <w:widowControl/>
                    <w:jc w:val="center"/>
                    <w:textAlignment w:val="center"/>
                    <w:rPr>
                      <w:sz w:val="18"/>
                      <w:szCs w:val="18"/>
                    </w:rPr>
                  </w:pPr>
                  <w:r>
                    <w:rPr>
                      <w:kern w:val="0"/>
                      <w:sz w:val="18"/>
                      <w:szCs w:val="18"/>
                      <w:lang w:bidi="ar"/>
                    </w:rPr>
                    <w:t>92</w:t>
                  </w:r>
                </w:p>
              </w:tc>
              <w:tc>
                <w:tcPr>
                  <w:tcW w:w="876" w:type="pct"/>
                  <w:shd w:val="clear" w:color="auto" w:fill="auto"/>
                  <w:vAlign w:val="center"/>
                </w:tcPr>
                <w:p w14:paraId="638B51D5">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邻菲罗啉</w:t>
                  </w:r>
                </w:p>
              </w:tc>
              <w:tc>
                <w:tcPr>
                  <w:tcW w:w="655" w:type="pct"/>
                  <w:shd w:val="clear" w:color="auto" w:fill="auto"/>
                  <w:vAlign w:val="center"/>
                </w:tcPr>
                <w:p w14:paraId="5E792597">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0.0002</w:t>
                  </w:r>
                </w:p>
              </w:tc>
              <w:tc>
                <w:tcPr>
                  <w:tcW w:w="648" w:type="pct"/>
                  <w:shd w:val="clear" w:color="auto" w:fill="auto"/>
                  <w:vAlign w:val="center"/>
                </w:tcPr>
                <w:p w14:paraId="37AF6BDD">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2E0AAF74">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0.0001</w:t>
                  </w:r>
                </w:p>
              </w:tc>
              <w:tc>
                <w:tcPr>
                  <w:tcW w:w="623" w:type="pct"/>
                  <w:shd w:val="clear" w:color="auto" w:fill="auto"/>
                  <w:vAlign w:val="center"/>
                </w:tcPr>
                <w:p w14:paraId="5C4883E3">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07BDD565">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0.000002</w:t>
                  </w:r>
                </w:p>
              </w:tc>
              <w:tc>
                <w:tcPr>
                  <w:tcW w:w="735" w:type="pct"/>
                  <w:vMerge w:val="continue"/>
                  <w:vAlign w:val="center"/>
                </w:tcPr>
                <w:p w14:paraId="666116E1">
                  <w:pPr>
                    <w:adjustRightInd w:val="0"/>
                    <w:snapToGrid w:val="0"/>
                    <w:jc w:val="center"/>
                    <w:rPr>
                      <w:bCs/>
                      <w:sz w:val="18"/>
                      <w:szCs w:val="18"/>
                    </w:rPr>
                  </w:pPr>
                </w:p>
              </w:tc>
            </w:tr>
            <w:tr w14:paraId="21CC85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3B12337D">
                  <w:pPr>
                    <w:widowControl/>
                    <w:jc w:val="center"/>
                    <w:textAlignment w:val="center"/>
                    <w:rPr>
                      <w:sz w:val="18"/>
                      <w:szCs w:val="18"/>
                    </w:rPr>
                  </w:pPr>
                  <w:r>
                    <w:rPr>
                      <w:kern w:val="0"/>
                      <w:sz w:val="18"/>
                      <w:szCs w:val="18"/>
                      <w:lang w:bidi="ar"/>
                    </w:rPr>
                    <w:t>93</w:t>
                  </w:r>
                </w:p>
              </w:tc>
              <w:tc>
                <w:tcPr>
                  <w:tcW w:w="876" w:type="pct"/>
                  <w:shd w:val="clear" w:color="auto" w:fill="auto"/>
                  <w:vAlign w:val="center"/>
                </w:tcPr>
                <w:p w14:paraId="13EDF3A3">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正丁醇</w:t>
                  </w:r>
                </w:p>
              </w:tc>
              <w:tc>
                <w:tcPr>
                  <w:tcW w:w="655" w:type="pct"/>
                  <w:shd w:val="clear" w:color="auto" w:fill="auto"/>
                  <w:vAlign w:val="center"/>
                </w:tcPr>
                <w:p w14:paraId="7C842247">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0.002</w:t>
                  </w:r>
                </w:p>
              </w:tc>
              <w:tc>
                <w:tcPr>
                  <w:tcW w:w="648" w:type="pct"/>
                  <w:shd w:val="clear" w:color="auto" w:fill="auto"/>
                  <w:vAlign w:val="center"/>
                </w:tcPr>
                <w:p w14:paraId="64FF7A7E">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1A2428A8">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23" w:type="pct"/>
                  <w:shd w:val="clear" w:color="auto" w:fill="auto"/>
                  <w:vAlign w:val="center"/>
                </w:tcPr>
                <w:p w14:paraId="68167FA3">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2A7DC0E0">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0.00002</w:t>
                  </w:r>
                </w:p>
              </w:tc>
              <w:tc>
                <w:tcPr>
                  <w:tcW w:w="735" w:type="pct"/>
                  <w:vMerge w:val="continue"/>
                  <w:vAlign w:val="center"/>
                </w:tcPr>
                <w:p w14:paraId="19307627">
                  <w:pPr>
                    <w:adjustRightInd w:val="0"/>
                    <w:snapToGrid w:val="0"/>
                    <w:jc w:val="center"/>
                    <w:rPr>
                      <w:bCs/>
                      <w:sz w:val="18"/>
                      <w:szCs w:val="18"/>
                    </w:rPr>
                  </w:pPr>
                </w:p>
              </w:tc>
            </w:tr>
            <w:tr w14:paraId="1C91DD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4B81E386">
                  <w:pPr>
                    <w:widowControl/>
                    <w:jc w:val="center"/>
                    <w:textAlignment w:val="center"/>
                    <w:rPr>
                      <w:sz w:val="18"/>
                      <w:szCs w:val="18"/>
                    </w:rPr>
                  </w:pPr>
                  <w:r>
                    <w:rPr>
                      <w:kern w:val="0"/>
                      <w:sz w:val="18"/>
                      <w:szCs w:val="18"/>
                      <w:lang w:bidi="ar"/>
                    </w:rPr>
                    <w:t>94</w:t>
                  </w:r>
                </w:p>
              </w:tc>
              <w:tc>
                <w:tcPr>
                  <w:tcW w:w="876" w:type="pct"/>
                  <w:shd w:val="clear" w:color="auto" w:fill="auto"/>
                  <w:vAlign w:val="center"/>
                </w:tcPr>
                <w:p w14:paraId="469BF6BD">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异戊二烯</w:t>
                  </w:r>
                </w:p>
              </w:tc>
              <w:tc>
                <w:tcPr>
                  <w:tcW w:w="655" w:type="pct"/>
                  <w:shd w:val="clear" w:color="auto" w:fill="auto"/>
                  <w:vAlign w:val="center"/>
                </w:tcPr>
                <w:p w14:paraId="289D88BF">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48" w:type="pct"/>
                  <w:shd w:val="clear" w:color="auto" w:fill="auto"/>
                  <w:vAlign w:val="center"/>
                </w:tcPr>
                <w:p w14:paraId="1C0C2519">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24E1EB6F">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6BDA8EB4">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255A691F">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6C7464AA">
                  <w:pPr>
                    <w:adjustRightInd w:val="0"/>
                    <w:snapToGrid w:val="0"/>
                    <w:jc w:val="center"/>
                    <w:rPr>
                      <w:bCs/>
                      <w:sz w:val="18"/>
                      <w:szCs w:val="18"/>
                    </w:rPr>
                  </w:pPr>
                </w:p>
              </w:tc>
            </w:tr>
            <w:tr w14:paraId="67A271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00312B77">
                  <w:pPr>
                    <w:widowControl/>
                    <w:jc w:val="center"/>
                    <w:textAlignment w:val="center"/>
                    <w:rPr>
                      <w:sz w:val="18"/>
                      <w:szCs w:val="18"/>
                    </w:rPr>
                  </w:pPr>
                  <w:r>
                    <w:rPr>
                      <w:kern w:val="0"/>
                      <w:sz w:val="18"/>
                      <w:szCs w:val="18"/>
                      <w:lang w:bidi="ar"/>
                    </w:rPr>
                    <w:t>95</w:t>
                  </w:r>
                </w:p>
              </w:tc>
              <w:tc>
                <w:tcPr>
                  <w:tcW w:w="876" w:type="pct"/>
                  <w:shd w:val="clear" w:color="auto" w:fill="auto"/>
                  <w:vAlign w:val="center"/>
                </w:tcPr>
                <w:p w14:paraId="640BD706">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柠檬酸</w:t>
                  </w:r>
                </w:p>
              </w:tc>
              <w:tc>
                <w:tcPr>
                  <w:tcW w:w="655" w:type="pct"/>
                  <w:shd w:val="clear" w:color="auto" w:fill="auto"/>
                  <w:vAlign w:val="center"/>
                </w:tcPr>
                <w:p w14:paraId="7BB72B89">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0.002</w:t>
                  </w:r>
                </w:p>
              </w:tc>
              <w:tc>
                <w:tcPr>
                  <w:tcW w:w="648" w:type="pct"/>
                  <w:shd w:val="clear" w:color="auto" w:fill="auto"/>
                  <w:vAlign w:val="center"/>
                </w:tcPr>
                <w:p w14:paraId="5E4A0E4A">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054E892D">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23" w:type="pct"/>
                  <w:shd w:val="clear" w:color="auto" w:fill="auto"/>
                  <w:vAlign w:val="center"/>
                </w:tcPr>
                <w:p w14:paraId="5B5CA04E">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1BC86141">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0.00002</w:t>
                  </w:r>
                </w:p>
              </w:tc>
              <w:tc>
                <w:tcPr>
                  <w:tcW w:w="735" w:type="pct"/>
                  <w:vMerge w:val="continue"/>
                  <w:vAlign w:val="center"/>
                </w:tcPr>
                <w:p w14:paraId="1EFE053A">
                  <w:pPr>
                    <w:adjustRightInd w:val="0"/>
                    <w:snapToGrid w:val="0"/>
                    <w:jc w:val="center"/>
                    <w:rPr>
                      <w:bCs/>
                      <w:sz w:val="18"/>
                      <w:szCs w:val="18"/>
                    </w:rPr>
                  </w:pPr>
                </w:p>
              </w:tc>
            </w:tr>
            <w:tr w14:paraId="199E0E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1C2498AF">
                  <w:pPr>
                    <w:widowControl/>
                    <w:jc w:val="center"/>
                    <w:textAlignment w:val="center"/>
                    <w:rPr>
                      <w:sz w:val="18"/>
                      <w:szCs w:val="18"/>
                    </w:rPr>
                  </w:pPr>
                  <w:r>
                    <w:rPr>
                      <w:kern w:val="0"/>
                      <w:sz w:val="18"/>
                      <w:szCs w:val="18"/>
                      <w:lang w:bidi="ar"/>
                    </w:rPr>
                    <w:t>96</w:t>
                  </w:r>
                </w:p>
              </w:tc>
              <w:tc>
                <w:tcPr>
                  <w:tcW w:w="876" w:type="pct"/>
                  <w:shd w:val="clear" w:color="auto" w:fill="auto"/>
                  <w:vAlign w:val="center"/>
                </w:tcPr>
                <w:p w14:paraId="6B0128E6">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丙三醇</w:t>
                  </w:r>
                </w:p>
              </w:tc>
              <w:tc>
                <w:tcPr>
                  <w:tcW w:w="655" w:type="pct"/>
                  <w:shd w:val="clear" w:color="auto" w:fill="auto"/>
                  <w:vAlign w:val="center"/>
                </w:tcPr>
                <w:p w14:paraId="0120AD0D">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0.002</w:t>
                  </w:r>
                </w:p>
              </w:tc>
              <w:tc>
                <w:tcPr>
                  <w:tcW w:w="648" w:type="pct"/>
                  <w:shd w:val="clear" w:color="auto" w:fill="auto"/>
                  <w:vAlign w:val="center"/>
                </w:tcPr>
                <w:p w14:paraId="744F1B3F">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37DAADC1">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23" w:type="pct"/>
                  <w:shd w:val="clear" w:color="auto" w:fill="auto"/>
                  <w:vAlign w:val="center"/>
                </w:tcPr>
                <w:p w14:paraId="55E5663B">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2844AC87">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0.00002</w:t>
                  </w:r>
                </w:p>
              </w:tc>
              <w:tc>
                <w:tcPr>
                  <w:tcW w:w="735" w:type="pct"/>
                  <w:vMerge w:val="continue"/>
                  <w:vAlign w:val="center"/>
                </w:tcPr>
                <w:p w14:paraId="582310D7">
                  <w:pPr>
                    <w:adjustRightInd w:val="0"/>
                    <w:snapToGrid w:val="0"/>
                    <w:jc w:val="center"/>
                    <w:rPr>
                      <w:bCs/>
                      <w:sz w:val="18"/>
                      <w:szCs w:val="18"/>
                    </w:rPr>
                  </w:pPr>
                </w:p>
              </w:tc>
            </w:tr>
            <w:tr w14:paraId="0AA4F4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6A1D3952">
                  <w:pPr>
                    <w:widowControl/>
                    <w:jc w:val="center"/>
                    <w:textAlignment w:val="center"/>
                    <w:rPr>
                      <w:sz w:val="18"/>
                      <w:szCs w:val="18"/>
                    </w:rPr>
                  </w:pPr>
                  <w:r>
                    <w:rPr>
                      <w:kern w:val="0"/>
                      <w:sz w:val="18"/>
                      <w:szCs w:val="18"/>
                      <w:lang w:bidi="ar"/>
                    </w:rPr>
                    <w:t>97</w:t>
                  </w:r>
                </w:p>
              </w:tc>
              <w:tc>
                <w:tcPr>
                  <w:tcW w:w="876" w:type="pct"/>
                  <w:shd w:val="clear" w:color="auto" w:fill="auto"/>
                  <w:vAlign w:val="center"/>
                </w:tcPr>
                <w:p w14:paraId="025DAF42">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苯乙酮</w:t>
                  </w:r>
                </w:p>
              </w:tc>
              <w:tc>
                <w:tcPr>
                  <w:tcW w:w="655" w:type="pct"/>
                  <w:shd w:val="clear" w:color="auto" w:fill="auto"/>
                  <w:vAlign w:val="center"/>
                </w:tcPr>
                <w:p w14:paraId="6768DB49">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48" w:type="pct"/>
                  <w:shd w:val="clear" w:color="auto" w:fill="auto"/>
                  <w:vAlign w:val="center"/>
                </w:tcPr>
                <w:p w14:paraId="53B1BFBD">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2235C97C">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51FF07FA">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5DADF231">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42782EE2">
                  <w:pPr>
                    <w:adjustRightInd w:val="0"/>
                    <w:snapToGrid w:val="0"/>
                    <w:jc w:val="center"/>
                    <w:rPr>
                      <w:bCs/>
                      <w:sz w:val="18"/>
                      <w:szCs w:val="18"/>
                    </w:rPr>
                  </w:pPr>
                </w:p>
              </w:tc>
            </w:tr>
            <w:tr w14:paraId="6A5602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72DF9B30">
                  <w:pPr>
                    <w:widowControl/>
                    <w:jc w:val="center"/>
                    <w:textAlignment w:val="center"/>
                    <w:rPr>
                      <w:sz w:val="18"/>
                      <w:szCs w:val="18"/>
                    </w:rPr>
                  </w:pPr>
                  <w:r>
                    <w:rPr>
                      <w:kern w:val="0"/>
                      <w:sz w:val="18"/>
                      <w:szCs w:val="18"/>
                      <w:lang w:bidi="ar"/>
                    </w:rPr>
                    <w:t>98</w:t>
                  </w:r>
                </w:p>
              </w:tc>
              <w:tc>
                <w:tcPr>
                  <w:tcW w:w="876" w:type="pct"/>
                  <w:shd w:val="clear" w:color="auto" w:fill="auto"/>
                  <w:vAlign w:val="center"/>
                </w:tcPr>
                <w:p w14:paraId="5C185FE0">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二苯胺</w:t>
                  </w:r>
                </w:p>
              </w:tc>
              <w:tc>
                <w:tcPr>
                  <w:tcW w:w="655" w:type="pct"/>
                  <w:shd w:val="clear" w:color="auto" w:fill="auto"/>
                  <w:vAlign w:val="center"/>
                </w:tcPr>
                <w:p w14:paraId="3BC98C61">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48" w:type="pct"/>
                  <w:shd w:val="clear" w:color="auto" w:fill="auto"/>
                  <w:vAlign w:val="center"/>
                </w:tcPr>
                <w:p w14:paraId="27B4D96C">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6006756F">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5B168FAE">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282F269C">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263BFA79">
                  <w:pPr>
                    <w:adjustRightInd w:val="0"/>
                    <w:snapToGrid w:val="0"/>
                    <w:jc w:val="center"/>
                    <w:rPr>
                      <w:bCs/>
                      <w:sz w:val="18"/>
                      <w:szCs w:val="18"/>
                    </w:rPr>
                  </w:pPr>
                </w:p>
              </w:tc>
            </w:tr>
            <w:tr w14:paraId="5D29BE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46A05702">
                  <w:pPr>
                    <w:widowControl/>
                    <w:jc w:val="center"/>
                    <w:textAlignment w:val="center"/>
                    <w:rPr>
                      <w:sz w:val="18"/>
                      <w:szCs w:val="18"/>
                    </w:rPr>
                  </w:pPr>
                  <w:r>
                    <w:rPr>
                      <w:kern w:val="0"/>
                      <w:sz w:val="18"/>
                      <w:szCs w:val="18"/>
                      <w:lang w:bidi="ar"/>
                    </w:rPr>
                    <w:t>99</w:t>
                  </w:r>
                </w:p>
              </w:tc>
              <w:tc>
                <w:tcPr>
                  <w:tcW w:w="876" w:type="pct"/>
                  <w:shd w:val="clear" w:color="auto" w:fill="auto"/>
                  <w:vAlign w:val="center"/>
                </w:tcPr>
                <w:p w14:paraId="695AA815">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三氟乙酸</w:t>
                  </w:r>
                </w:p>
              </w:tc>
              <w:tc>
                <w:tcPr>
                  <w:tcW w:w="655" w:type="pct"/>
                  <w:shd w:val="clear" w:color="auto" w:fill="auto"/>
                  <w:vAlign w:val="center"/>
                </w:tcPr>
                <w:p w14:paraId="5DC7FE13">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0.002</w:t>
                  </w:r>
                </w:p>
              </w:tc>
              <w:tc>
                <w:tcPr>
                  <w:tcW w:w="648" w:type="pct"/>
                  <w:shd w:val="clear" w:color="auto" w:fill="auto"/>
                  <w:vAlign w:val="center"/>
                </w:tcPr>
                <w:p w14:paraId="58AAA3AE">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5EB9DC9C">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23" w:type="pct"/>
                  <w:shd w:val="clear" w:color="auto" w:fill="auto"/>
                  <w:vAlign w:val="center"/>
                </w:tcPr>
                <w:p w14:paraId="5582DFE4">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416C7426">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0.00002</w:t>
                  </w:r>
                </w:p>
              </w:tc>
              <w:tc>
                <w:tcPr>
                  <w:tcW w:w="735" w:type="pct"/>
                  <w:vMerge w:val="continue"/>
                  <w:vAlign w:val="center"/>
                </w:tcPr>
                <w:p w14:paraId="23EBE824">
                  <w:pPr>
                    <w:adjustRightInd w:val="0"/>
                    <w:snapToGrid w:val="0"/>
                    <w:jc w:val="center"/>
                    <w:rPr>
                      <w:bCs/>
                      <w:sz w:val="18"/>
                      <w:szCs w:val="18"/>
                    </w:rPr>
                  </w:pPr>
                </w:p>
              </w:tc>
            </w:tr>
            <w:tr w14:paraId="0A576B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4C103F81">
                  <w:pPr>
                    <w:widowControl/>
                    <w:jc w:val="center"/>
                    <w:textAlignment w:val="center"/>
                    <w:rPr>
                      <w:sz w:val="18"/>
                      <w:szCs w:val="18"/>
                    </w:rPr>
                  </w:pPr>
                  <w:r>
                    <w:rPr>
                      <w:kern w:val="0"/>
                      <w:sz w:val="18"/>
                      <w:szCs w:val="18"/>
                      <w:lang w:bidi="ar"/>
                    </w:rPr>
                    <w:t>100</w:t>
                  </w:r>
                </w:p>
              </w:tc>
              <w:tc>
                <w:tcPr>
                  <w:tcW w:w="876" w:type="pct"/>
                  <w:shd w:val="clear" w:color="auto" w:fill="auto"/>
                  <w:vAlign w:val="center"/>
                </w:tcPr>
                <w:p w14:paraId="550F0FCF">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三乙胺</w:t>
                  </w:r>
                </w:p>
              </w:tc>
              <w:tc>
                <w:tcPr>
                  <w:tcW w:w="655" w:type="pct"/>
                  <w:shd w:val="clear" w:color="auto" w:fill="auto"/>
                  <w:vAlign w:val="center"/>
                </w:tcPr>
                <w:p w14:paraId="165D4EB1">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0.002</w:t>
                  </w:r>
                </w:p>
              </w:tc>
              <w:tc>
                <w:tcPr>
                  <w:tcW w:w="648" w:type="pct"/>
                  <w:shd w:val="clear" w:color="auto" w:fill="auto"/>
                  <w:vAlign w:val="center"/>
                </w:tcPr>
                <w:p w14:paraId="323B2A2B">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6F9D03FA">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23" w:type="pct"/>
                  <w:shd w:val="clear" w:color="auto" w:fill="auto"/>
                  <w:vAlign w:val="center"/>
                </w:tcPr>
                <w:p w14:paraId="478ABE3F">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19984129">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0.00002</w:t>
                  </w:r>
                </w:p>
              </w:tc>
              <w:tc>
                <w:tcPr>
                  <w:tcW w:w="735" w:type="pct"/>
                  <w:vMerge w:val="continue"/>
                  <w:vAlign w:val="center"/>
                </w:tcPr>
                <w:p w14:paraId="2CE85A62">
                  <w:pPr>
                    <w:adjustRightInd w:val="0"/>
                    <w:snapToGrid w:val="0"/>
                    <w:jc w:val="center"/>
                    <w:rPr>
                      <w:bCs/>
                      <w:sz w:val="18"/>
                      <w:szCs w:val="18"/>
                    </w:rPr>
                  </w:pPr>
                </w:p>
              </w:tc>
            </w:tr>
            <w:tr w14:paraId="4CBB08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3E2CA8A8">
                  <w:pPr>
                    <w:widowControl/>
                    <w:jc w:val="center"/>
                    <w:textAlignment w:val="center"/>
                    <w:rPr>
                      <w:sz w:val="18"/>
                      <w:szCs w:val="18"/>
                    </w:rPr>
                  </w:pPr>
                  <w:r>
                    <w:rPr>
                      <w:kern w:val="0"/>
                      <w:sz w:val="18"/>
                      <w:szCs w:val="18"/>
                      <w:lang w:bidi="ar"/>
                    </w:rPr>
                    <w:t>101</w:t>
                  </w:r>
                </w:p>
              </w:tc>
              <w:tc>
                <w:tcPr>
                  <w:tcW w:w="876" w:type="pct"/>
                  <w:shd w:val="clear" w:color="auto" w:fill="auto"/>
                  <w:vAlign w:val="center"/>
                </w:tcPr>
                <w:p w14:paraId="69B37245">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四苯硼钠</w:t>
                  </w:r>
                </w:p>
              </w:tc>
              <w:tc>
                <w:tcPr>
                  <w:tcW w:w="655" w:type="pct"/>
                  <w:shd w:val="clear" w:color="auto" w:fill="auto"/>
                  <w:vAlign w:val="center"/>
                </w:tcPr>
                <w:p w14:paraId="5572E92E">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0.01</w:t>
                  </w:r>
                </w:p>
              </w:tc>
              <w:tc>
                <w:tcPr>
                  <w:tcW w:w="648" w:type="pct"/>
                  <w:shd w:val="clear" w:color="auto" w:fill="auto"/>
                  <w:vAlign w:val="center"/>
                </w:tcPr>
                <w:p w14:paraId="23DEE342">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2EE9BA64">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0.002</w:t>
                  </w:r>
                </w:p>
              </w:tc>
              <w:tc>
                <w:tcPr>
                  <w:tcW w:w="623" w:type="pct"/>
                  <w:shd w:val="clear" w:color="auto" w:fill="auto"/>
                  <w:vAlign w:val="center"/>
                </w:tcPr>
                <w:p w14:paraId="04F159DD">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2F35A0FA">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0.00004</w:t>
                  </w:r>
                </w:p>
              </w:tc>
              <w:tc>
                <w:tcPr>
                  <w:tcW w:w="735" w:type="pct"/>
                  <w:vMerge w:val="continue"/>
                  <w:vAlign w:val="center"/>
                </w:tcPr>
                <w:p w14:paraId="169AA892">
                  <w:pPr>
                    <w:adjustRightInd w:val="0"/>
                    <w:snapToGrid w:val="0"/>
                    <w:jc w:val="center"/>
                    <w:rPr>
                      <w:bCs/>
                      <w:sz w:val="18"/>
                      <w:szCs w:val="18"/>
                    </w:rPr>
                  </w:pPr>
                </w:p>
              </w:tc>
            </w:tr>
            <w:tr w14:paraId="58EB51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3121A2FD">
                  <w:pPr>
                    <w:widowControl/>
                    <w:jc w:val="center"/>
                    <w:textAlignment w:val="center"/>
                    <w:rPr>
                      <w:sz w:val="18"/>
                      <w:szCs w:val="18"/>
                    </w:rPr>
                  </w:pPr>
                  <w:r>
                    <w:rPr>
                      <w:kern w:val="0"/>
                      <w:sz w:val="18"/>
                      <w:szCs w:val="18"/>
                      <w:lang w:bidi="ar"/>
                    </w:rPr>
                    <w:t>102</w:t>
                  </w:r>
                </w:p>
              </w:tc>
              <w:tc>
                <w:tcPr>
                  <w:tcW w:w="876" w:type="pct"/>
                  <w:shd w:val="clear" w:color="auto" w:fill="auto"/>
                  <w:vAlign w:val="center"/>
                </w:tcPr>
                <w:p w14:paraId="4C4FC6B2">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吡啶</w:t>
                  </w:r>
                </w:p>
              </w:tc>
              <w:tc>
                <w:tcPr>
                  <w:tcW w:w="655" w:type="pct"/>
                  <w:shd w:val="clear" w:color="auto" w:fill="auto"/>
                  <w:vAlign w:val="center"/>
                </w:tcPr>
                <w:p w14:paraId="32A648FC">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0.002</w:t>
                  </w:r>
                </w:p>
              </w:tc>
              <w:tc>
                <w:tcPr>
                  <w:tcW w:w="648" w:type="pct"/>
                  <w:shd w:val="clear" w:color="auto" w:fill="auto"/>
                  <w:vAlign w:val="center"/>
                </w:tcPr>
                <w:p w14:paraId="0787BAB1">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01841528">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23" w:type="pct"/>
                  <w:shd w:val="clear" w:color="auto" w:fill="auto"/>
                  <w:vAlign w:val="center"/>
                </w:tcPr>
                <w:p w14:paraId="2F96E1C1">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764A906C">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0.00002</w:t>
                  </w:r>
                </w:p>
              </w:tc>
              <w:tc>
                <w:tcPr>
                  <w:tcW w:w="735" w:type="pct"/>
                  <w:vMerge w:val="continue"/>
                  <w:vAlign w:val="center"/>
                </w:tcPr>
                <w:p w14:paraId="2143C771">
                  <w:pPr>
                    <w:adjustRightInd w:val="0"/>
                    <w:snapToGrid w:val="0"/>
                    <w:jc w:val="center"/>
                    <w:rPr>
                      <w:bCs/>
                      <w:sz w:val="18"/>
                      <w:szCs w:val="18"/>
                    </w:rPr>
                  </w:pPr>
                </w:p>
              </w:tc>
            </w:tr>
            <w:tr w14:paraId="21B7FA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1A32A2C0">
                  <w:pPr>
                    <w:widowControl/>
                    <w:jc w:val="center"/>
                    <w:textAlignment w:val="center"/>
                    <w:rPr>
                      <w:sz w:val="18"/>
                      <w:szCs w:val="18"/>
                    </w:rPr>
                  </w:pPr>
                  <w:r>
                    <w:rPr>
                      <w:kern w:val="0"/>
                      <w:sz w:val="18"/>
                      <w:szCs w:val="18"/>
                      <w:lang w:bidi="ar"/>
                    </w:rPr>
                    <w:t>103</w:t>
                  </w:r>
                </w:p>
              </w:tc>
              <w:tc>
                <w:tcPr>
                  <w:tcW w:w="876" w:type="pct"/>
                  <w:shd w:val="clear" w:color="auto" w:fill="auto"/>
                  <w:vAlign w:val="center"/>
                </w:tcPr>
                <w:p w14:paraId="2670F0AF">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叔丁醇</w:t>
                  </w:r>
                </w:p>
              </w:tc>
              <w:tc>
                <w:tcPr>
                  <w:tcW w:w="655" w:type="pct"/>
                  <w:shd w:val="clear" w:color="auto" w:fill="auto"/>
                  <w:vAlign w:val="center"/>
                </w:tcPr>
                <w:p w14:paraId="16B890B4">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0.004</w:t>
                  </w:r>
                </w:p>
              </w:tc>
              <w:tc>
                <w:tcPr>
                  <w:tcW w:w="648" w:type="pct"/>
                  <w:shd w:val="clear" w:color="auto" w:fill="auto"/>
                  <w:vAlign w:val="center"/>
                </w:tcPr>
                <w:p w14:paraId="606A8F18">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207D25C2">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0.002</w:t>
                  </w:r>
                </w:p>
              </w:tc>
              <w:tc>
                <w:tcPr>
                  <w:tcW w:w="623" w:type="pct"/>
                  <w:shd w:val="clear" w:color="auto" w:fill="auto"/>
                  <w:vAlign w:val="center"/>
                </w:tcPr>
                <w:p w14:paraId="0B1707A3">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696C0666">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0.00004</w:t>
                  </w:r>
                </w:p>
              </w:tc>
              <w:tc>
                <w:tcPr>
                  <w:tcW w:w="735" w:type="pct"/>
                  <w:vMerge w:val="continue"/>
                  <w:vAlign w:val="center"/>
                </w:tcPr>
                <w:p w14:paraId="006B1F0B">
                  <w:pPr>
                    <w:adjustRightInd w:val="0"/>
                    <w:snapToGrid w:val="0"/>
                    <w:jc w:val="center"/>
                    <w:rPr>
                      <w:bCs/>
                      <w:sz w:val="18"/>
                      <w:szCs w:val="18"/>
                    </w:rPr>
                  </w:pPr>
                </w:p>
              </w:tc>
            </w:tr>
            <w:tr w14:paraId="7DC507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0C003CEE">
                  <w:pPr>
                    <w:widowControl/>
                    <w:jc w:val="center"/>
                    <w:textAlignment w:val="center"/>
                    <w:rPr>
                      <w:sz w:val="18"/>
                      <w:szCs w:val="18"/>
                    </w:rPr>
                  </w:pPr>
                  <w:r>
                    <w:rPr>
                      <w:kern w:val="0"/>
                      <w:sz w:val="18"/>
                      <w:szCs w:val="18"/>
                      <w:lang w:bidi="ar"/>
                    </w:rPr>
                    <w:t>104</w:t>
                  </w:r>
                </w:p>
              </w:tc>
              <w:tc>
                <w:tcPr>
                  <w:tcW w:w="876" w:type="pct"/>
                  <w:shd w:val="clear" w:color="auto" w:fill="auto"/>
                  <w:vAlign w:val="center"/>
                </w:tcPr>
                <w:p w14:paraId="5A8C81B3">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二甲基乙酰胺</w:t>
                  </w:r>
                </w:p>
              </w:tc>
              <w:tc>
                <w:tcPr>
                  <w:tcW w:w="655" w:type="pct"/>
                  <w:shd w:val="clear" w:color="auto" w:fill="auto"/>
                  <w:vAlign w:val="center"/>
                </w:tcPr>
                <w:p w14:paraId="3C6427A6">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0.004</w:t>
                  </w:r>
                </w:p>
              </w:tc>
              <w:tc>
                <w:tcPr>
                  <w:tcW w:w="648" w:type="pct"/>
                  <w:shd w:val="clear" w:color="auto" w:fill="auto"/>
                  <w:vAlign w:val="center"/>
                </w:tcPr>
                <w:p w14:paraId="73B8BAF0">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7D5D738C">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0.002</w:t>
                  </w:r>
                </w:p>
              </w:tc>
              <w:tc>
                <w:tcPr>
                  <w:tcW w:w="623" w:type="pct"/>
                  <w:shd w:val="clear" w:color="auto" w:fill="auto"/>
                  <w:vAlign w:val="center"/>
                </w:tcPr>
                <w:p w14:paraId="03AE302B">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61B71E4A">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0.00004</w:t>
                  </w:r>
                </w:p>
              </w:tc>
              <w:tc>
                <w:tcPr>
                  <w:tcW w:w="735" w:type="pct"/>
                  <w:vMerge w:val="continue"/>
                  <w:vAlign w:val="center"/>
                </w:tcPr>
                <w:p w14:paraId="733EF9AC">
                  <w:pPr>
                    <w:adjustRightInd w:val="0"/>
                    <w:snapToGrid w:val="0"/>
                    <w:jc w:val="center"/>
                    <w:rPr>
                      <w:bCs/>
                      <w:sz w:val="18"/>
                      <w:szCs w:val="18"/>
                    </w:rPr>
                  </w:pPr>
                </w:p>
              </w:tc>
            </w:tr>
            <w:tr w14:paraId="35260B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1247831F">
                  <w:pPr>
                    <w:widowControl/>
                    <w:jc w:val="center"/>
                    <w:textAlignment w:val="center"/>
                    <w:rPr>
                      <w:sz w:val="18"/>
                      <w:szCs w:val="18"/>
                    </w:rPr>
                  </w:pPr>
                  <w:r>
                    <w:rPr>
                      <w:kern w:val="0"/>
                      <w:sz w:val="18"/>
                      <w:szCs w:val="18"/>
                      <w:lang w:bidi="ar"/>
                    </w:rPr>
                    <w:t>105</w:t>
                  </w:r>
                </w:p>
              </w:tc>
              <w:tc>
                <w:tcPr>
                  <w:tcW w:w="876" w:type="pct"/>
                  <w:shd w:val="clear" w:color="auto" w:fill="auto"/>
                  <w:vAlign w:val="center"/>
                </w:tcPr>
                <w:p w14:paraId="11CCF3C3">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二氧六环</w:t>
                  </w:r>
                </w:p>
              </w:tc>
              <w:tc>
                <w:tcPr>
                  <w:tcW w:w="655" w:type="pct"/>
                  <w:shd w:val="clear" w:color="auto" w:fill="auto"/>
                  <w:vAlign w:val="center"/>
                </w:tcPr>
                <w:p w14:paraId="397E52F9">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0.003</w:t>
                  </w:r>
                </w:p>
              </w:tc>
              <w:tc>
                <w:tcPr>
                  <w:tcW w:w="648" w:type="pct"/>
                  <w:shd w:val="clear" w:color="auto" w:fill="auto"/>
                  <w:vAlign w:val="center"/>
                </w:tcPr>
                <w:p w14:paraId="3FFF4CC8">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136AE1D5">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0.002</w:t>
                  </w:r>
                </w:p>
              </w:tc>
              <w:tc>
                <w:tcPr>
                  <w:tcW w:w="623" w:type="pct"/>
                  <w:shd w:val="clear" w:color="auto" w:fill="auto"/>
                  <w:vAlign w:val="center"/>
                </w:tcPr>
                <w:p w14:paraId="4C93B9D7">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4E526521">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0.00004</w:t>
                  </w:r>
                </w:p>
              </w:tc>
              <w:tc>
                <w:tcPr>
                  <w:tcW w:w="735" w:type="pct"/>
                  <w:vMerge w:val="continue"/>
                  <w:vAlign w:val="center"/>
                </w:tcPr>
                <w:p w14:paraId="6CEB1482">
                  <w:pPr>
                    <w:adjustRightInd w:val="0"/>
                    <w:snapToGrid w:val="0"/>
                    <w:jc w:val="center"/>
                    <w:rPr>
                      <w:bCs/>
                      <w:sz w:val="18"/>
                      <w:szCs w:val="18"/>
                    </w:rPr>
                  </w:pPr>
                </w:p>
              </w:tc>
            </w:tr>
            <w:tr w14:paraId="5F98AA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3E161445">
                  <w:pPr>
                    <w:widowControl/>
                    <w:jc w:val="center"/>
                    <w:textAlignment w:val="center"/>
                    <w:rPr>
                      <w:sz w:val="18"/>
                      <w:szCs w:val="18"/>
                    </w:rPr>
                  </w:pPr>
                  <w:r>
                    <w:rPr>
                      <w:kern w:val="0"/>
                      <w:sz w:val="18"/>
                      <w:szCs w:val="18"/>
                      <w:lang w:bidi="ar"/>
                    </w:rPr>
                    <w:t>106</w:t>
                  </w:r>
                </w:p>
              </w:tc>
              <w:tc>
                <w:tcPr>
                  <w:tcW w:w="876" w:type="pct"/>
                  <w:shd w:val="clear" w:color="auto" w:fill="auto"/>
                  <w:vAlign w:val="center"/>
                </w:tcPr>
                <w:p w14:paraId="486BC09F">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乳酸</w:t>
                  </w:r>
                </w:p>
              </w:tc>
              <w:tc>
                <w:tcPr>
                  <w:tcW w:w="655" w:type="pct"/>
                  <w:shd w:val="clear" w:color="auto" w:fill="auto"/>
                  <w:vAlign w:val="center"/>
                </w:tcPr>
                <w:p w14:paraId="205D6031">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0.002</w:t>
                  </w:r>
                </w:p>
              </w:tc>
              <w:tc>
                <w:tcPr>
                  <w:tcW w:w="648" w:type="pct"/>
                  <w:shd w:val="clear" w:color="auto" w:fill="auto"/>
                  <w:vAlign w:val="center"/>
                </w:tcPr>
                <w:p w14:paraId="5E03BE5E">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439DE7A7">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23" w:type="pct"/>
                  <w:shd w:val="clear" w:color="auto" w:fill="auto"/>
                  <w:vAlign w:val="center"/>
                </w:tcPr>
                <w:p w14:paraId="1974394A">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48829A86">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0.00002</w:t>
                  </w:r>
                </w:p>
              </w:tc>
              <w:tc>
                <w:tcPr>
                  <w:tcW w:w="735" w:type="pct"/>
                  <w:vMerge w:val="continue"/>
                  <w:vAlign w:val="center"/>
                </w:tcPr>
                <w:p w14:paraId="6CC012D9">
                  <w:pPr>
                    <w:adjustRightInd w:val="0"/>
                    <w:snapToGrid w:val="0"/>
                    <w:jc w:val="center"/>
                    <w:rPr>
                      <w:bCs/>
                      <w:sz w:val="18"/>
                      <w:szCs w:val="18"/>
                    </w:rPr>
                  </w:pPr>
                </w:p>
              </w:tc>
            </w:tr>
            <w:tr w14:paraId="66DD09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4DCE72D5">
                  <w:pPr>
                    <w:widowControl/>
                    <w:jc w:val="center"/>
                    <w:textAlignment w:val="center"/>
                    <w:rPr>
                      <w:sz w:val="18"/>
                      <w:szCs w:val="18"/>
                    </w:rPr>
                  </w:pPr>
                  <w:r>
                    <w:rPr>
                      <w:kern w:val="0"/>
                      <w:sz w:val="18"/>
                      <w:szCs w:val="18"/>
                      <w:lang w:bidi="ar"/>
                    </w:rPr>
                    <w:t>107</w:t>
                  </w:r>
                </w:p>
              </w:tc>
              <w:tc>
                <w:tcPr>
                  <w:tcW w:w="876" w:type="pct"/>
                  <w:shd w:val="clear" w:color="auto" w:fill="auto"/>
                  <w:vAlign w:val="center"/>
                </w:tcPr>
                <w:p w14:paraId="35EA1D33">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异丙苯</w:t>
                  </w:r>
                </w:p>
              </w:tc>
              <w:tc>
                <w:tcPr>
                  <w:tcW w:w="655" w:type="pct"/>
                  <w:shd w:val="clear" w:color="auto" w:fill="auto"/>
                  <w:vAlign w:val="center"/>
                </w:tcPr>
                <w:p w14:paraId="3811013C">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0.002</w:t>
                  </w:r>
                </w:p>
              </w:tc>
              <w:tc>
                <w:tcPr>
                  <w:tcW w:w="648" w:type="pct"/>
                  <w:shd w:val="clear" w:color="auto" w:fill="auto"/>
                  <w:vAlign w:val="center"/>
                </w:tcPr>
                <w:p w14:paraId="1410E644">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32EB8B92">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23" w:type="pct"/>
                  <w:shd w:val="clear" w:color="auto" w:fill="auto"/>
                  <w:vAlign w:val="center"/>
                </w:tcPr>
                <w:p w14:paraId="05CB9025">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2406C32A">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0.00002</w:t>
                  </w:r>
                </w:p>
              </w:tc>
              <w:tc>
                <w:tcPr>
                  <w:tcW w:w="735" w:type="pct"/>
                  <w:vMerge w:val="continue"/>
                  <w:vAlign w:val="center"/>
                </w:tcPr>
                <w:p w14:paraId="45430E4F">
                  <w:pPr>
                    <w:adjustRightInd w:val="0"/>
                    <w:snapToGrid w:val="0"/>
                    <w:jc w:val="center"/>
                    <w:rPr>
                      <w:bCs/>
                      <w:sz w:val="18"/>
                      <w:szCs w:val="18"/>
                    </w:rPr>
                  </w:pPr>
                </w:p>
              </w:tc>
            </w:tr>
            <w:tr w14:paraId="2D1EA6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274005DE">
                  <w:pPr>
                    <w:widowControl/>
                    <w:jc w:val="center"/>
                    <w:textAlignment w:val="center"/>
                    <w:rPr>
                      <w:sz w:val="18"/>
                      <w:szCs w:val="18"/>
                    </w:rPr>
                  </w:pPr>
                  <w:r>
                    <w:rPr>
                      <w:kern w:val="0"/>
                      <w:sz w:val="18"/>
                      <w:szCs w:val="18"/>
                      <w:lang w:bidi="ar"/>
                    </w:rPr>
                    <w:t>108</w:t>
                  </w:r>
                </w:p>
              </w:tc>
              <w:tc>
                <w:tcPr>
                  <w:tcW w:w="876" w:type="pct"/>
                  <w:shd w:val="clear" w:color="auto" w:fill="auto"/>
                  <w:vAlign w:val="center"/>
                </w:tcPr>
                <w:p w14:paraId="15D2A499">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β-环柠檬醛</w:t>
                  </w:r>
                </w:p>
              </w:tc>
              <w:tc>
                <w:tcPr>
                  <w:tcW w:w="655" w:type="pct"/>
                  <w:shd w:val="clear" w:color="auto" w:fill="auto"/>
                  <w:vAlign w:val="center"/>
                </w:tcPr>
                <w:p w14:paraId="0893BEFD">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48" w:type="pct"/>
                  <w:shd w:val="clear" w:color="auto" w:fill="auto"/>
                  <w:vAlign w:val="center"/>
                </w:tcPr>
                <w:p w14:paraId="68B39B29">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540ED06A">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1212ACEA">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19F049FE">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62F56996">
                  <w:pPr>
                    <w:adjustRightInd w:val="0"/>
                    <w:snapToGrid w:val="0"/>
                    <w:jc w:val="center"/>
                    <w:rPr>
                      <w:bCs/>
                      <w:sz w:val="18"/>
                      <w:szCs w:val="18"/>
                    </w:rPr>
                  </w:pPr>
                </w:p>
              </w:tc>
            </w:tr>
            <w:tr w14:paraId="3D65D2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3D6D4F8F">
                  <w:pPr>
                    <w:widowControl/>
                    <w:jc w:val="center"/>
                    <w:textAlignment w:val="center"/>
                    <w:rPr>
                      <w:sz w:val="18"/>
                      <w:szCs w:val="18"/>
                    </w:rPr>
                  </w:pPr>
                  <w:r>
                    <w:rPr>
                      <w:kern w:val="0"/>
                      <w:sz w:val="18"/>
                      <w:szCs w:val="18"/>
                      <w:lang w:bidi="ar"/>
                    </w:rPr>
                    <w:t>109</w:t>
                  </w:r>
                </w:p>
              </w:tc>
              <w:tc>
                <w:tcPr>
                  <w:tcW w:w="876" w:type="pct"/>
                  <w:shd w:val="clear" w:color="auto" w:fill="auto"/>
                  <w:vAlign w:val="center"/>
                </w:tcPr>
                <w:p w14:paraId="7062A3E4">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2，4-二溴酚</w:t>
                  </w:r>
                </w:p>
              </w:tc>
              <w:tc>
                <w:tcPr>
                  <w:tcW w:w="655" w:type="pct"/>
                  <w:shd w:val="clear" w:color="auto" w:fill="auto"/>
                  <w:vAlign w:val="center"/>
                </w:tcPr>
                <w:p w14:paraId="58BEE136">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48" w:type="pct"/>
                  <w:shd w:val="clear" w:color="auto" w:fill="auto"/>
                  <w:vAlign w:val="center"/>
                </w:tcPr>
                <w:p w14:paraId="752035DF">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04C7C9F9">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45060A8C">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70C8C599">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297FC4FF">
                  <w:pPr>
                    <w:adjustRightInd w:val="0"/>
                    <w:snapToGrid w:val="0"/>
                    <w:jc w:val="center"/>
                    <w:rPr>
                      <w:bCs/>
                      <w:sz w:val="18"/>
                      <w:szCs w:val="18"/>
                    </w:rPr>
                  </w:pPr>
                </w:p>
              </w:tc>
            </w:tr>
            <w:tr w14:paraId="4EF29E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3AC66063">
                  <w:pPr>
                    <w:widowControl/>
                    <w:jc w:val="center"/>
                    <w:textAlignment w:val="center"/>
                    <w:rPr>
                      <w:sz w:val="18"/>
                      <w:szCs w:val="18"/>
                    </w:rPr>
                  </w:pPr>
                  <w:r>
                    <w:rPr>
                      <w:kern w:val="0"/>
                      <w:sz w:val="18"/>
                      <w:szCs w:val="18"/>
                      <w:lang w:bidi="ar"/>
                    </w:rPr>
                    <w:t>110</w:t>
                  </w:r>
                </w:p>
              </w:tc>
              <w:tc>
                <w:tcPr>
                  <w:tcW w:w="876" w:type="pct"/>
                  <w:shd w:val="clear" w:color="auto" w:fill="auto"/>
                  <w:vAlign w:val="center"/>
                </w:tcPr>
                <w:p w14:paraId="6049A351">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异氟尔酮</w:t>
                  </w:r>
                </w:p>
              </w:tc>
              <w:tc>
                <w:tcPr>
                  <w:tcW w:w="655" w:type="pct"/>
                  <w:shd w:val="clear" w:color="auto" w:fill="auto"/>
                  <w:vAlign w:val="center"/>
                </w:tcPr>
                <w:p w14:paraId="61A0212F">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48" w:type="pct"/>
                  <w:shd w:val="clear" w:color="auto" w:fill="auto"/>
                  <w:vAlign w:val="center"/>
                </w:tcPr>
                <w:p w14:paraId="0F22E616">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0B163607">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52791014">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0C7193A3">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106657BF">
                  <w:pPr>
                    <w:adjustRightInd w:val="0"/>
                    <w:snapToGrid w:val="0"/>
                    <w:jc w:val="center"/>
                    <w:rPr>
                      <w:bCs/>
                      <w:sz w:val="18"/>
                      <w:szCs w:val="18"/>
                    </w:rPr>
                  </w:pPr>
                </w:p>
              </w:tc>
            </w:tr>
            <w:tr w14:paraId="7E87EC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6A46AF26">
                  <w:pPr>
                    <w:widowControl/>
                    <w:jc w:val="center"/>
                    <w:textAlignment w:val="center"/>
                    <w:rPr>
                      <w:sz w:val="18"/>
                      <w:szCs w:val="18"/>
                    </w:rPr>
                  </w:pPr>
                  <w:r>
                    <w:rPr>
                      <w:kern w:val="0"/>
                      <w:sz w:val="18"/>
                      <w:szCs w:val="18"/>
                      <w:lang w:bidi="ar"/>
                    </w:rPr>
                    <w:t>111</w:t>
                  </w:r>
                </w:p>
              </w:tc>
              <w:tc>
                <w:tcPr>
                  <w:tcW w:w="876" w:type="pct"/>
                  <w:shd w:val="clear" w:color="auto" w:fill="auto"/>
                  <w:vAlign w:val="center"/>
                </w:tcPr>
                <w:p w14:paraId="404EE5C0">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1，2-二溴丙烷</w:t>
                  </w:r>
                </w:p>
              </w:tc>
              <w:tc>
                <w:tcPr>
                  <w:tcW w:w="655" w:type="pct"/>
                  <w:shd w:val="clear" w:color="auto" w:fill="auto"/>
                  <w:vAlign w:val="center"/>
                </w:tcPr>
                <w:p w14:paraId="6D8CD31A">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48" w:type="pct"/>
                  <w:shd w:val="clear" w:color="auto" w:fill="auto"/>
                  <w:vAlign w:val="center"/>
                </w:tcPr>
                <w:p w14:paraId="258175C8">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55E63FCF">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015C93D7">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091DE4CD">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4DDB82A7">
                  <w:pPr>
                    <w:adjustRightInd w:val="0"/>
                    <w:snapToGrid w:val="0"/>
                    <w:jc w:val="center"/>
                    <w:rPr>
                      <w:bCs/>
                      <w:sz w:val="18"/>
                      <w:szCs w:val="18"/>
                    </w:rPr>
                  </w:pPr>
                </w:p>
              </w:tc>
            </w:tr>
            <w:tr w14:paraId="2E0B8D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0F9C40A4">
                  <w:pPr>
                    <w:widowControl/>
                    <w:jc w:val="center"/>
                    <w:textAlignment w:val="center"/>
                    <w:rPr>
                      <w:sz w:val="18"/>
                      <w:szCs w:val="18"/>
                    </w:rPr>
                  </w:pPr>
                  <w:r>
                    <w:rPr>
                      <w:kern w:val="0"/>
                      <w:sz w:val="18"/>
                      <w:szCs w:val="18"/>
                      <w:lang w:bidi="ar"/>
                    </w:rPr>
                    <w:t>112</w:t>
                  </w:r>
                </w:p>
              </w:tc>
              <w:tc>
                <w:tcPr>
                  <w:tcW w:w="876" w:type="pct"/>
                  <w:shd w:val="clear" w:color="auto" w:fill="auto"/>
                  <w:vAlign w:val="center"/>
                </w:tcPr>
                <w:p w14:paraId="45878FCE">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4-溴氟苯</w:t>
                  </w:r>
                </w:p>
              </w:tc>
              <w:tc>
                <w:tcPr>
                  <w:tcW w:w="655" w:type="pct"/>
                  <w:shd w:val="clear" w:color="auto" w:fill="auto"/>
                  <w:vAlign w:val="center"/>
                </w:tcPr>
                <w:p w14:paraId="4FD9BA88">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48" w:type="pct"/>
                  <w:shd w:val="clear" w:color="auto" w:fill="auto"/>
                  <w:vAlign w:val="center"/>
                </w:tcPr>
                <w:p w14:paraId="1FC614B0">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61F14690">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6443CA19">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280EC905">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1DCCE9A2">
                  <w:pPr>
                    <w:adjustRightInd w:val="0"/>
                    <w:snapToGrid w:val="0"/>
                    <w:jc w:val="center"/>
                    <w:rPr>
                      <w:bCs/>
                      <w:sz w:val="18"/>
                      <w:szCs w:val="18"/>
                    </w:rPr>
                  </w:pPr>
                </w:p>
              </w:tc>
            </w:tr>
            <w:tr w14:paraId="177C44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11D70BA4">
                  <w:pPr>
                    <w:widowControl/>
                    <w:jc w:val="center"/>
                    <w:textAlignment w:val="center"/>
                    <w:rPr>
                      <w:sz w:val="18"/>
                      <w:szCs w:val="18"/>
                    </w:rPr>
                  </w:pPr>
                  <w:r>
                    <w:rPr>
                      <w:kern w:val="0"/>
                      <w:sz w:val="18"/>
                      <w:szCs w:val="18"/>
                      <w:lang w:bidi="ar"/>
                    </w:rPr>
                    <w:t>113</w:t>
                  </w:r>
                </w:p>
              </w:tc>
              <w:tc>
                <w:tcPr>
                  <w:tcW w:w="876" w:type="pct"/>
                  <w:shd w:val="clear" w:color="auto" w:fill="auto"/>
                  <w:vAlign w:val="center"/>
                </w:tcPr>
                <w:p w14:paraId="12AA233E">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2-异丁基-3-甲氧基吡嗪</w:t>
                  </w:r>
                </w:p>
              </w:tc>
              <w:tc>
                <w:tcPr>
                  <w:tcW w:w="655" w:type="pct"/>
                  <w:shd w:val="clear" w:color="auto" w:fill="auto"/>
                  <w:vAlign w:val="center"/>
                </w:tcPr>
                <w:p w14:paraId="241C5699">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48" w:type="pct"/>
                  <w:shd w:val="clear" w:color="auto" w:fill="auto"/>
                  <w:vAlign w:val="center"/>
                </w:tcPr>
                <w:p w14:paraId="7071BE5C">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137697BD">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5384D148">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36FB1827">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0EE29614">
                  <w:pPr>
                    <w:adjustRightInd w:val="0"/>
                    <w:snapToGrid w:val="0"/>
                    <w:jc w:val="center"/>
                    <w:rPr>
                      <w:bCs/>
                      <w:sz w:val="18"/>
                      <w:szCs w:val="18"/>
                    </w:rPr>
                  </w:pPr>
                </w:p>
              </w:tc>
            </w:tr>
            <w:tr w14:paraId="558092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2DE52B8D">
                  <w:pPr>
                    <w:widowControl/>
                    <w:jc w:val="center"/>
                    <w:textAlignment w:val="center"/>
                    <w:rPr>
                      <w:sz w:val="18"/>
                      <w:szCs w:val="18"/>
                    </w:rPr>
                  </w:pPr>
                  <w:r>
                    <w:rPr>
                      <w:kern w:val="0"/>
                      <w:sz w:val="18"/>
                      <w:szCs w:val="18"/>
                      <w:lang w:bidi="ar"/>
                    </w:rPr>
                    <w:t>114</w:t>
                  </w:r>
                </w:p>
              </w:tc>
              <w:tc>
                <w:tcPr>
                  <w:tcW w:w="876" w:type="pct"/>
                  <w:shd w:val="clear" w:color="auto" w:fill="auto"/>
                  <w:vAlign w:val="center"/>
                </w:tcPr>
                <w:p w14:paraId="4EF2A851">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2-异丙基-3-甲氧基吡嗪</w:t>
                  </w:r>
                </w:p>
              </w:tc>
              <w:tc>
                <w:tcPr>
                  <w:tcW w:w="655" w:type="pct"/>
                  <w:shd w:val="clear" w:color="auto" w:fill="auto"/>
                  <w:vAlign w:val="center"/>
                </w:tcPr>
                <w:p w14:paraId="79E40426">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48" w:type="pct"/>
                  <w:shd w:val="clear" w:color="auto" w:fill="auto"/>
                  <w:vAlign w:val="center"/>
                </w:tcPr>
                <w:p w14:paraId="0AB4DF3D">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42B7EF76">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04EBB629">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7DF1258C">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44BF94DE">
                  <w:pPr>
                    <w:adjustRightInd w:val="0"/>
                    <w:snapToGrid w:val="0"/>
                    <w:jc w:val="center"/>
                    <w:rPr>
                      <w:bCs/>
                      <w:sz w:val="18"/>
                      <w:szCs w:val="18"/>
                    </w:rPr>
                  </w:pPr>
                </w:p>
              </w:tc>
            </w:tr>
            <w:tr w14:paraId="5EC6EE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6FE54DB3">
                  <w:pPr>
                    <w:widowControl/>
                    <w:jc w:val="center"/>
                    <w:textAlignment w:val="center"/>
                    <w:rPr>
                      <w:sz w:val="18"/>
                      <w:szCs w:val="18"/>
                    </w:rPr>
                  </w:pPr>
                  <w:r>
                    <w:rPr>
                      <w:kern w:val="0"/>
                      <w:sz w:val="18"/>
                      <w:szCs w:val="18"/>
                      <w:lang w:bidi="ar"/>
                    </w:rPr>
                    <w:t>115</w:t>
                  </w:r>
                </w:p>
              </w:tc>
              <w:tc>
                <w:tcPr>
                  <w:tcW w:w="876" w:type="pct"/>
                  <w:shd w:val="clear" w:color="auto" w:fill="auto"/>
                  <w:vAlign w:val="center"/>
                </w:tcPr>
                <w:p w14:paraId="152FC31D">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β-紫罗兰酮</w:t>
                  </w:r>
                </w:p>
              </w:tc>
              <w:tc>
                <w:tcPr>
                  <w:tcW w:w="655" w:type="pct"/>
                  <w:shd w:val="clear" w:color="auto" w:fill="auto"/>
                  <w:vAlign w:val="center"/>
                </w:tcPr>
                <w:p w14:paraId="7393D7DC">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48" w:type="pct"/>
                  <w:shd w:val="clear" w:color="auto" w:fill="auto"/>
                  <w:vAlign w:val="center"/>
                </w:tcPr>
                <w:p w14:paraId="67742BC2">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12CD1A01">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6C7E7FD7">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05587DF9">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1BF6C8FE">
                  <w:pPr>
                    <w:adjustRightInd w:val="0"/>
                    <w:snapToGrid w:val="0"/>
                    <w:jc w:val="center"/>
                    <w:rPr>
                      <w:bCs/>
                      <w:sz w:val="18"/>
                      <w:szCs w:val="18"/>
                    </w:rPr>
                  </w:pPr>
                </w:p>
              </w:tc>
            </w:tr>
            <w:tr w14:paraId="5A83B6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4D2F6033">
                  <w:pPr>
                    <w:widowControl/>
                    <w:jc w:val="center"/>
                    <w:textAlignment w:val="center"/>
                    <w:rPr>
                      <w:sz w:val="18"/>
                      <w:szCs w:val="18"/>
                    </w:rPr>
                  </w:pPr>
                  <w:r>
                    <w:rPr>
                      <w:kern w:val="0"/>
                      <w:sz w:val="18"/>
                      <w:szCs w:val="18"/>
                      <w:lang w:bidi="ar"/>
                    </w:rPr>
                    <w:t>116</w:t>
                  </w:r>
                </w:p>
              </w:tc>
              <w:tc>
                <w:tcPr>
                  <w:tcW w:w="876" w:type="pct"/>
                  <w:shd w:val="clear" w:color="auto" w:fill="auto"/>
                  <w:vAlign w:val="center"/>
                </w:tcPr>
                <w:p w14:paraId="0AB0F0FC">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N-亚硝基正丙胺-D14</w:t>
                  </w:r>
                </w:p>
              </w:tc>
              <w:tc>
                <w:tcPr>
                  <w:tcW w:w="655" w:type="pct"/>
                  <w:shd w:val="clear" w:color="auto" w:fill="auto"/>
                  <w:vAlign w:val="center"/>
                </w:tcPr>
                <w:p w14:paraId="29CC3A29">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48" w:type="pct"/>
                  <w:shd w:val="clear" w:color="auto" w:fill="auto"/>
                  <w:vAlign w:val="center"/>
                </w:tcPr>
                <w:p w14:paraId="17C9D4B9">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6E9829EE">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3F4CAB94">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03E21AF1">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1A4C14D7">
                  <w:pPr>
                    <w:adjustRightInd w:val="0"/>
                    <w:snapToGrid w:val="0"/>
                    <w:jc w:val="center"/>
                    <w:rPr>
                      <w:bCs/>
                      <w:sz w:val="18"/>
                      <w:szCs w:val="18"/>
                    </w:rPr>
                  </w:pPr>
                </w:p>
              </w:tc>
            </w:tr>
            <w:tr w14:paraId="7F31EA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04B148BF">
                  <w:pPr>
                    <w:widowControl/>
                    <w:jc w:val="center"/>
                    <w:textAlignment w:val="center"/>
                    <w:rPr>
                      <w:sz w:val="18"/>
                      <w:szCs w:val="18"/>
                    </w:rPr>
                  </w:pPr>
                  <w:r>
                    <w:rPr>
                      <w:kern w:val="0"/>
                      <w:sz w:val="18"/>
                      <w:szCs w:val="18"/>
                      <w:lang w:bidi="ar"/>
                    </w:rPr>
                    <w:t>117</w:t>
                  </w:r>
                </w:p>
              </w:tc>
              <w:tc>
                <w:tcPr>
                  <w:tcW w:w="876" w:type="pct"/>
                  <w:shd w:val="clear" w:color="auto" w:fill="auto"/>
                  <w:vAlign w:val="center"/>
                </w:tcPr>
                <w:p w14:paraId="0E61E4B7">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1,2,3,5-四氯苯</w:t>
                  </w:r>
                </w:p>
              </w:tc>
              <w:tc>
                <w:tcPr>
                  <w:tcW w:w="655" w:type="pct"/>
                  <w:shd w:val="clear" w:color="auto" w:fill="auto"/>
                  <w:vAlign w:val="center"/>
                </w:tcPr>
                <w:p w14:paraId="285AB774">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48" w:type="pct"/>
                  <w:shd w:val="clear" w:color="auto" w:fill="auto"/>
                  <w:vAlign w:val="center"/>
                </w:tcPr>
                <w:p w14:paraId="59416955">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749DA7EE">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4D4B9AA0">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75CE64DE">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30C243CD">
                  <w:pPr>
                    <w:adjustRightInd w:val="0"/>
                    <w:snapToGrid w:val="0"/>
                    <w:jc w:val="center"/>
                    <w:rPr>
                      <w:bCs/>
                      <w:sz w:val="18"/>
                      <w:szCs w:val="18"/>
                    </w:rPr>
                  </w:pPr>
                </w:p>
              </w:tc>
            </w:tr>
            <w:tr w14:paraId="578C9E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40842E79">
                  <w:pPr>
                    <w:widowControl/>
                    <w:jc w:val="center"/>
                    <w:textAlignment w:val="center"/>
                    <w:rPr>
                      <w:sz w:val="18"/>
                      <w:szCs w:val="18"/>
                    </w:rPr>
                  </w:pPr>
                  <w:r>
                    <w:rPr>
                      <w:kern w:val="0"/>
                      <w:sz w:val="18"/>
                      <w:szCs w:val="18"/>
                      <w:lang w:bidi="ar"/>
                    </w:rPr>
                    <w:t>118</w:t>
                  </w:r>
                </w:p>
              </w:tc>
              <w:tc>
                <w:tcPr>
                  <w:tcW w:w="876" w:type="pct"/>
                  <w:shd w:val="clear" w:color="auto" w:fill="auto"/>
                  <w:vAlign w:val="center"/>
                </w:tcPr>
                <w:p w14:paraId="6B455EA1">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十氟联苯</w:t>
                  </w:r>
                </w:p>
              </w:tc>
              <w:tc>
                <w:tcPr>
                  <w:tcW w:w="655" w:type="pct"/>
                  <w:shd w:val="clear" w:color="auto" w:fill="auto"/>
                  <w:vAlign w:val="center"/>
                </w:tcPr>
                <w:p w14:paraId="15A45AE9">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48" w:type="pct"/>
                  <w:shd w:val="clear" w:color="auto" w:fill="auto"/>
                  <w:vAlign w:val="center"/>
                </w:tcPr>
                <w:p w14:paraId="74738063">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54B57EAE">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5FE83495">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31B7F180">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16644CF7">
                  <w:pPr>
                    <w:adjustRightInd w:val="0"/>
                    <w:snapToGrid w:val="0"/>
                    <w:jc w:val="center"/>
                    <w:rPr>
                      <w:bCs/>
                      <w:sz w:val="18"/>
                      <w:szCs w:val="18"/>
                    </w:rPr>
                  </w:pPr>
                </w:p>
              </w:tc>
            </w:tr>
            <w:tr w14:paraId="17B761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757BF78C">
                  <w:pPr>
                    <w:widowControl/>
                    <w:jc w:val="center"/>
                    <w:textAlignment w:val="center"/>
                    <w:rPr>
                      <w:sz w:val="18"/>
                      <w:szCs w:val="18"/>
                    </w:rPr>
                  </w:pPr>
                  <w:r>
                    <w:rPr>
                      <w:kern w:val="0"/>
                      <w:sz w:val="18"/>
                      <w:szCs w:val="18"/>
                      <w:lang w:bidi="ar"/>
                    </w:rPr>
                    <w:t>119</w:t>
                  </w:r>
                </w:p>
              </w:tc>
              <w:tc>
                <w:tcPr>
                  <w:tcW w:w="876" w:type="pct"/>
                  <w:shd w:val="clear" w:color="auto" w:fill="auto"/>
                  <w:vAlign w:val="center"/>
                </w:tcPr>
                <w:p w14:paraId="2ACD6143">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乙草胺</w:t>
                  </w:r>
                </w:p>
              </w:tc>
              <w:tc>
                <w:tcPr>
                  <w:tcW w:w="655" w:type="pct"/>
                  <w:shd w:val="clear" w:color="auto" w:fill="auto"/>
                  <w:vAlign w:val="center"/>
                </w:tcPr>
                <w:p w14:paraId="2108C146">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0.001</w:t>
                  </w:r>
                </w:p>
              </w:tc>
              <w:tc>
                <w:tcPr>
                  <w:tcW w:w="648" w:type="pct"/>
                  <w:shd w:val="clear" w:color="auto" w:fill="auto"/>
                  <w:vAlign w:val="center"/>
                </w:tcPr>
                <w:p w14:paraId="3981C3E9">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7A372AF9">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230BF68A">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0E24E179">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5E5FEBCB">
                  <w:pPr>
                    <w:adjustRightInd w:val="0"/>
                    <w:snapToGrid w:val="0"/>
                    <w:jc w:val="center"/>
                    <w:rPr>
                      <w:bCs/>
                      <w:sz w:val="18"/>
                      <w:szCs w:val="18"/>
                    </w:rPr>
                  </w:pPr>
                </w:p>
              </w:tc>
            </w:tr>
            <w:tr w14:paraId="6107D7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1A7F2087">
                  <w:pPr>
                    <w:widowControl/>
                    <w:jc w:val="center"/>
                    <w:textAlignment w:val="center"/>
                    <w:rPr>
                      <w:sz w:val="18"/>
                      <w:szCs w:val="18"/>
                    </w:rPr>
                  </w:pPr>
                  <w:r>
                    <w:rPr>
                      <w:kern w:val="0"/>
                      <w:sz w:val="18"/>
                      <w:szCs w:val="18"/>
                      <w:lang w:bidi="ar"/>
                    </w:rPr>
                    <w:t>120</w:t>
                  </w:r>
                </w:p>
              </w:tc>
              <w:tc>
                <w:tcPr>
                  <w:tcW w:w="876" w:type="pct"/>
                  <w:shd w:val="clear" w:color="auto" w:fill="auto"/>
                  <w:vAlign w:val="center"/>
                </w:tcPr>
                <w:p w14:paraId="2F06C315">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己二酸二-2-乙基己基酯（A)</w:t>
                  </w:r>
                </w:p>
              </w:tc>
              <w:tc>
                <w:tcPr>
                  <w:tcW w:w="655" w:type="pct"/>
                  <w:shd w:val="clear" w:color="auto" w:fill="auto"/>
                  <w:vAlign w:val="center"/>
                </w:tcPr>
                <w:p w14:paraId="4A766106">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48" w:type="pct"/>
                  <w:shd w:val="clear" w:color="auto" w:fill="auto"/>
                  <w:vAlign w:val="center"/>
                </w:tcPr>
                <w:p w14:paraId="7E90CFA5">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12CF2023">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48EC8A73">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64063A37">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6C179ACA">
                  <w:pPr>
                    <w:adjustRightInd w:val="0"/>
                    <w:snapToGrid w:val="0"/>
                    <w:jc w:val="center"/>
                    <w:rPr>
                      <w:bCs/>
                      <w:sz w:val="18"/>
                      <w:szCs w:val="18"/>
                    </w:rPr>
                  </w:pPr>
                </w:p>
              </w:tc>
            </w:tr>
            <w:tr w14:paraId="217770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41F054F9">
                  <w:pPr>
                    <w:widowControl/>
                    <w:jc w:val="center"/>
                    <w:textAlignment w:val="center"/>
                    <w:rPr>
                      <w:sz w:val="18"/>
                      <w:szCs w:val="18"/>
                    </w:rPr>
                  </w:pPr>
                  <w:r>
                    <w:rPr>
                      <w:kern w:val="0"/>
                      <w:sz w:val="18"/>
                      <w:szCs w:val="18"/>
                      <w:lang w:bidi="ar"/>
                    </w:rPr>
                    <w:t>121</w:t>
                  </w:r>
                </w:p>
              </w:tc>
              <w:tc>
                <w:tcPr>
                  <w:tcW w:w="876" w:type="pct"/>
                  <w:shd w:val="clear" w:color="auto" w:fill="auto"/>
                  <w:vAlign w:val="center"/>
                </w:tcPr>
                <w:p w14:paraId="6AFB4583">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2,4,6-三氯苯甲醚</w:t>
                  </w:r>
                </w:p>
              </w:tc>
              <w:tc>
                <w:tcPr>
                  <w:tcW w:w="655" w:type="pct"/>
                  <w:shd w:val="clear" w:color="auto" w:fill="auto"/>
                  <w:vAlign w:val="center"/>
                </w:tcPr>
                <w:p w14:paraId="1807EC4B">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48" w:type="pct"/>
                  <w:shd w:val="clear" w:color="auto" w:fill="auto"/>
                  <w:vAlign w:val="center"/>
                </w:tcPr>
                <w:p w14:paraId="77810A11">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1B04829F">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67EB0177">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6E0B6205">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50931DDB">
                  <w:pPr>
                    <w:adjustRightInd w:val="0"/>
                    <w:snapToGrid w:val="0"/>
                    <w:jc w:val="center"/>
                    <w:rPr>
                      <w:bCs/>
                      <w:sz w:val="18"/>
                      <w:szCs w:val="18"/>
                    </w:rPr>
                  </w:pPr>
                </w:p>
              </w:tc>
            </w:tr>
            <w:tr w14:paraId="6BB5CC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23D92B93">
                  <w:pPr>
                    <w:widowControl/>
                    <w:jc w:val="center"/>
                    <w:textAlignment w:val="center"/>
                    <w:rPr>
                      <w:sz w:val="18"/>
                      <w:szCs w:val="18"/>
                    </w:rPr>
                  </w:pPr>
                  <w:r>
                    <w:rPr>
                      <w:kern w:val="0"/>
                      <w:sz w:val="18"/>
                      <w:szCs w:val="18"/>
                      <w:lang w:bidi="ar"/>
                    </w:rPr>
                    <w:t>122</w:t>
                  </w:r>
                </w:p>
              </w:tc>
              <w:tc>
                <w:tcPr>
                  <w:tcW w:w="876" w:type="pct"/>
                  <w:shd w:val="clear" w:color="auto" w:fill="auto"/>
                  <w:vAlign w:val="center"/>
                </w:tcPr>
                <w:p w14:paraId="335D68B1">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2,3,6-三氯苯甲醚</w:t>
                  </w:r>
                </w:p>
              </w:tc>
              <w:tc>
                <w:tcPr>
                  <w:tcW w:w="655" w:type="pct"/>
                  <w:shd w:val="clear" w:color="auto" w:fill="auto"/>
                  <w:vAlign w:val="center"/>
                </w:tcPr>
                <w:p w14:paraId="59F1A061">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48" w:type="pct"/>
                  <w:shd w:val="clear" w:color="auto" w:fill="auto"/>
                  <w:vAlign w:val="center"/>
                </w:tcPr>
                <w:p w14:paraId="03001E07">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22FA3FEC">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7B366FB4">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1FE44166">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1D61CDA8">
                  <w:pPr>
                    <w:adjustRightInd w:val="0"/>
                    <w:snapToGrid w:val="0"/>
                    <w:jc w:val="center"/>
                    <w:rPr>
                      <w:bCs/>
                      <w:sz w:val="18"/>
                      <w:szCs w:val="18"/>
                    </w:rPr>
                  </w:pPr>
                </w:p>
              </w:tc>
            </w:tr>
            <w:tr w14:paraId="140552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0DBFB635">
                  <w:pPr>
                    <w:widowControl/>
                    <w:jc w:val="center"/>
                    <w:textAlignment w:val="center"/>
                    <w:rPr>
                      <w:sz w:val="18"/>
                      <w:szCs w:val="18"/>
                    </w:rPr>
                  </w:pPr>
                  <w:r>
                    <w:rPr>
                      <w:kern w:val="0"/>
                      <w:sz w:val="18"/>
                      <w:szCs w:val="18"/>
                      <w:lang w:bidi="ar"/>
                    </w:rPr>
                    <w:t>123</w:t>
                  </w:r>
                </w:p>
              </w:tc>
              <w:tc>
                <w:tcPr>
                  <w:tcW w:w="876" w:type="pct"/>
                  <w:shd w:val="clear" w:color="auto" w:fill="auto"/>
                  <w:vAlign w:val="center"/>
                </w:tcPr>
                <w:p w14:paraId="441DC43C">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2,3,4-三氯苯甲醚</w:t>
                  </w:r>
                </w:p>
              </w:tc>
              <w:tc>
                <w:tcPr>
                  <w:tcW w:w="655" w:type="pct"/>
                  <w:shd w:val="clear" w:color="auto" w:fill="auto"/>
                  <w:vAlign w:val="center"/>
                </w:tcPr>
                <w:p w14:paraId="4E6EF3B9">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48" w:type="pct"/>
                  <w:shd w:val="clear" w:color="auto" w:fill="auto"/>
                  <w:vAlign w:val="center"/>
                </w:tcPr>
                <w:p w14:paraId="0C1E3CFD">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7D2E3C03">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23" w:type="pct"/>
                  <w:shd w:val="clear" w:color="auto" w:fill="auto"/>
                  <w:vAlign w:val="center"/>
                </w:tcPr>
                <w:p w14:paraId="57907012">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72CC5EA3">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0.00001</w:t>
                  </w:r>
                </w:p>
              </w:tc>
              <w:tc>
                <w:tcPr>
                  <w:tcW w:w="735" w:type="pct"/>
                  <w:vMerge w:val="continue"/>
                  <w:vAlign w:val="center"/>
                </w:tcPr>
                <w:p w14:paraId="16219F0B">
                  <w:pPr>
                    <w:adjustRightInd w:val="0"/>
                    <w:snapToGrid w:val="0"/>
                    <w:jc w:val="center"/>
                    <w:rPr>
                      <w:bCs/>
                      <w:sz w:val="18"/>
                      <w:szCs w:val="18"/>
                    </w:rPr>
                  </w:pPr>
                </w:p>
              </w:tc>
            </w:tr>
            <w:tr w14:paraId="2EF2B1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4F167A70">
                  <w:pPr>
                    <w:widowControl/>
                    <w:jc w:val="center"/>
                    <w:textAlignment w:val="center"/>
                    <w:rPr>
                      <w:sz w:val="18"/>
                      <w:szCs w:val="18"/>
                    </w:rPr>
                  </w:pPr>
                  <w:r>
                    <w:rPr>
                      <w:kern w:val="0"/>
                      <w:sz w:val="18"/>
                      <w:szCs w:val="18"/>
                      <w:lang w:bidi="ar"/>
                    </w:rPr>
                    <w:t>124</w:t>
                  </w:r>
                </w:p>
              </w:tc>
              <w:tc>
                <w:tcPr>
                  <w:tcW w:w="876" w:type="pct"/>
                  <w:shd w:val="clear" w:color="auto" w:fill="auto"/>
                  <w:vAlign w:val="center"/>
                </w:tcPr>
                <w:p w14:paraId="0BB6E843">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铅</w:t>
                  </w:r>
                </w:p>
              </w:tc>
              <w:tc>
                <w:tcPr>
                  <w:tcW w:w="655" w:type="pct"/>
                  <w:shd w:val="clear" w:color="auto" w:fill="auto"/>
                  <w:vAlign w:val="center"/>
                </w:tcPr>
                <w:p w14:paraId="1BA25FB4">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48" w:type="pct"/>
                  <w:shd w:val="clear" w:color="auto" w:fill="auto"/>
                  <w:vAlign w:val="center"/>
                </w:tcPr>
                <w:p w14:paraId="435626AA">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5D15FEA2">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0.0001</w:t>
                  </w:r>
                </w:p>
              </w:tc>
              <w:tc>
                <w:tcPr>
                  <w:tcW w:w="623" w:type="pct"/>
                  <w:shd w:val="clear" w:color="auto" w:fill="auto"/>
                  <w:vAlign w:val="center"/>
                </w:tcPr>
                <w:p w14:paraId="25A3CBDF">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1C14CE5E">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0.000002</w:t>
                  </w:r>
                </w:p>
              </w:tc>
              <w:tc>
                <w:tcPr>
                  <w:tcW w:w="735" w:type="pct"/>
                  <w:vMerge w:val="continue"/>
                  <w:vAlign w:val="center"/>
                </w:tcPr>
                <w:p w14:paraId="7F6D22D9">
                  <w:pPr>
                    <w:adjustRightInd w:val="0"/>
                    <w:snapToGrid w:val="0"/>
                    <w:jc w:val="center"/>
                    <w:rPr>
                      <w:bCs/>
                      <w:sz w:val="18"/>
                      <w:szCs w:val="18"/>
                    </w:rPr>
                  </w:pPr>
                </w:p>
              </w:tc>
            </w:tr>
            <w:tr w14:paraId="06B9F4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394BED8E">
                  <w:pPr>
                    <w:widowControl/>
                    <w:jc w:val="center"/>
                    <w:textAlignment w:val="center"/>
                    <w:rPr>
                      <w:sz w:val="18"/>
                      <w:szCs w:val="18"/>
                    </w:rPr>
                  </w:pPr>
                  <w:r>
                    <w:rPr>
                      <w:kern w:val="0"/>
                      <w:sz w:val="18"/>
                      <w:szCs w:val="18"/>
                      <w:lang w:bidi="ar"/>
                    </w:rPr>
                    <w:t>125</w:t>
                  </w:r>
                </w:p>
              </w:tc>
              <w:tc>
                <w:tcPr>
                  <w:tcW w:w="876" w:type="pct"/>
                  <w:shd w:val="clear" w:color="auto" w:fill="auto"/>
                  <w:vAlign w:val="center"/>
                </w:tcPr>
                <w:p w14:paraId="45F8CBD6">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镉</w:t>
                  </w:r>
                </w:p>
              </w:tc>
              <w:tc>
                <w:tcPr>
                  <w:tcW w:w="655" w:type="pct"/>
                  <w:shd w:val="clear" w:color="auto" w:fill="auto"/>
                  <w:vAlign w:val="center"/>
                </w:tcPr>
                <w:p w14:paraId="056DF6AC">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48" w:type="pct"/>
                  <w:shd w:val="clear" w:color="auto" w:fill="auto"/>
                  <w:vAlign w:val="center"/>
                </w:tcPr>
                <w:p w14:paraId="3519A261">
                  <w:pPr>
                    <w:widowControl/>
                    <w:jc w:val="center"/>
                    <w:textAlignment w:val="center"/>
                    <w:rPr>
                      <w:rFonts w:ascii="Times New Roman" w:hAnsi="Times New Roman" w:eastAsia="宋体" w:cs="Times New Roman"/>
                      <w:bCs/>
                      <w:kern w:val="2"/>
                      <w:sz w:val="18"/>
                      <w:szCs w:val="18"/>
                      <w:lang w:val="en-US" w:eastAsia="zh-CN" w:bidi="ar-SA"/>
                    </w:rPr>
                  </w:pPr>
                  <w:r>
                    <w:rPr>
                      <w:rFonts w:hint="eastAsia" w:ascii="宋体" w:hAnsi="宋体" w:cs="宋体"/>
                      <w:kern w:val="0"/>
                      <w:sz w:val="18"/>
                      <w:szCs w:val="18"/>
                      <w:lang w:bidi="ar"/>
                    </w:rPr>
                    <w:t>瓶装</w:t>
                  </w:r>
                </w:p>
              </w:tc>
              <w:tc>
                <w:tcPr>
                  <w:tcW w:w="630" w:type="pct"/>
                  <w:shd w:val="clear" w:color="auto" w:fill="auto"/>
                  <w:vAlign w:val="center"/>
                </w:tcPr>
                <w:p w14:paraId="478A718E">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0.0001</w:t>
                  </w:r>
                </w:p>
              </w:tc>
              <w:tc>
                <w:tcPr>
                  <w:tcW w:w="623" w:type="pct"/>
                  <w:shd w:val="clear" w:color="auto" w:fill="auto"/>
                  <w:vAlign w:val="center"/>
                </w:tcPr>
                <w:p w14:paraId="4F44EF8D">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21BEC855">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0.000002</w:t>
                  </w:r>
                </w:p>
              </w:tc>
              <w:tc>
                <w:tcPr>
                  <w:tcW w:w="735" w:type="pct"/>
                  <w:vMerge w:val="continue"/>
                  <w:vAlign w:val="center"/>
                </w:tcPr>
                <w:p w14:paraId="008A8A0D">
                  <w:pPr>
                    <w:adjustRightInd w:val="0"/>
                    <w:snapToGrid w:val="0"/>
                    <w:jc w:val="center"/>
                    <w:rPr>
                      <w:bCs/>
                      <w:sz w:val="18"/>
                      <w:szCs w:val="18"/>
                    </w:rPr>
                  </w:pPr>
                </w:p>
              </w:tc>
            </w:tr>
            <w:tr w14:paraId="2D224D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0F91A229">
                  <w:pPr>
                    <w:widowControl/>
                    <w:jc w:val="center"/>
                    <w:textAlignment w:val="center"/>
                    <w:rPr>
                      <w:sz w:val="18"/>
                      <w:szCs w:val="18"/>
                    </w:rPr>
                  </w:pPr>
                  <w:r>
                    <w:rPr>
                      <w:kern w:val="0"/>
                      <w:sz w:val="18"/>
                      <w:szCs w:val="18"/>
                      <w:lang w:bidi="ar"/>
                    </w:rPr>
                    <w:t>126</w:t>
                  </w:r>
                </w:p>
              </w:tc>
              <w:tc>
                <w:tcPr>
                  <w:tcW w:w="876" w:type="pct"/>
                  <w:shd w:val="clear" w:color="auto" w:fill="auto"/>
                  <w:vAlign w:val="center"/>
                </w:tcPr>
                <w:p w14:paraId="21C5275D">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锶</w:t>
                  </w:r>
                </w:p>
              </w:tc>
              <w:tc>
                <w:tcPr>
                  <w:tcW w:w="655" w:type="pct"/>
                  <w:shd w:val="clear" w:color="auto" w:fill="auto"/>
                  <w:vAlign w:val="center"/>
                </w:tcPr>
                <w:p w14:paraId="576111FF">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48" w:type="pct"/>
                  <w:shd w:val="clear" w:color="auto" w:fill="auto"/>
                  <w:vAlign w:val="center"/>
                </w:tcPr>
                <w:p w14:paraId="77097D00">
                  <w:pPr>
                    <w:widowControl/>
                    <w:jc w:val="center"/>
                    <w:textAlignment w:val="center"/>
                    <w:rPr>
                      <w:rFonts w:hint="eastAsia" w:ascii="宋体" w:hAnsi="宋体" w:eastAsia="宋体" w:cs="宋体"/>
                      <w:kern w:val="0"/>
                      <w:sz w:val="18"/>
                      <w:szCs w:val="18"/>
                      <w:lang w:val="en-US" w:eastAsia="zh-CN" w:bidi="ar"/>
                    </w:rPr>
                  </w:pPr>
                  <w:r>
                    <w:rPr>
                      <w:rFonts w:hint="eastAsia" w:ascii="宋体" w:hAnsi="宋体" w:cs="宋体"/>
                      <w:kern w:val="0"/>
                      <w:sz w:val="18"/>
                      <w:szCs w:val="18"/>
                      <w:lang w:bidi="ar"/>
                    </w:rPr>
                    <w:t>瓶装</w:t>
                  </w:r>
                </w:p>
              </w:tc>
              <w:tc>
                <w:tcPr>
                  <w:tcW w:w="630" w:type="pct"/>
                  <w:shd w:val="clear" w:color="auto" w:fill="auto"/>
                  <w:vAlign w:val="center"/>
                </w:tcPr>
                <w:p w14:paraId="3F21103F">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0.0001</w:t>
                  </w:r>
                </w:p>
              </w:tc>
              <w:tc>
                <w:tcPr>
                  <w:tcW w:w="623" w:type="pct"/>
                  <w:shd w:val="clear" w:color="auto" w:fill="auto"/>
                  <w:vAlign w:val="center"/>
                </w:tcPr>
                <w:p w14:paraId="44374E41">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6F75B737">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0.000002</w:t>
                  </w:r>
                </w:p>
              </w:tc>
              <w:tc>
                <w:tcPr>
                  <w:tcW w:w="735" w:type="pct"/>
                  <w:vMerge w:val="continue"/>
                  <w:vAlign w:val="center"/>
                </w:tcPr>
                <w:p w14:paraId="25326FA5">
                  <w:pPr>
                    <w:adjustRightInd w:val="0"/>
                    <w:snapToGrid w:val="0"/>
                    <w:jc w:val="center"/>
                    <w:rPr>
                      <w:bCs/>
                      <w:sz w:val="18"/>
                      <w:szCs w:val="18"/>
                    </w:rPr>
                  </w:pPr>
                </w:p>
              </w:tc>
            </w:tr>
            <w:tr w14:paraId="60D9D5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3C9DB6CC">
                  <w:pPr>
                    <w:widowControl/>
                    <w:jc w:val="center"/>
                    <w:textAlignment w:val="center"/>
                    <w:rPr>
                      <w:sz w:val="18"/>
                      <w:szCs w:val="18"/>
                    </w:rPr>
                  </w:pPr>
                  <w:r>
                    <w:rPr>
                      <w:kern w:val="0"/>
                      <w:sz w:val="18"/>
                      <w:szCs w:val="18"/>
                      <w:lang w:bidi="ar"/>
                    </w:rPr>
                    <w:t>127</w:t>
                  </w:r>
                </w:p>
              </w:tc>
              <w:tc>
                <w:tcPr>
                  <w:tcW w:w="876" w:type="pct"/>
                  <w:shd w:val="clear" w:color="auto" w:fill="auto"/>
                  <w:vAlign w:val="center"/>
                </w:tcPr>
                <w:p w14:paraId="72D804FA">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钯</w:t>
                  </w:r>
                </w:p>
              </w:tc>
              <w:tc>
                <w:tcPr>
                  <w:tcW w:w="655" w:type="pct"/>
                  <w:shd w:val="clear" w:color="auto" w:fill="auto"/>
                  <w:vAlign w:val="center"/>
                </w:tcPr>
                <w:p w14:paraId="4DDA2418">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48" w:type="pct"/>
                  <w:shd w:val="clear" w:color="auto" w:fill="auto"/>
                  <w:vAlign w:val="center"/>
                </w:tcPr>
                <w:p w14:paraId="4709F0D0">
                  <w:pPr>
                    <w:widowControl/>
                    <w:jc w:val="center"/>
                    <w:textAlignment w:val="center"/>
                    <w:rPr>
                      <w:rFonts w:hint="eastAsia" w:ascii="宋体" w:hAnsi="宋体" w:eastAsia="宋体" w:cs="宋体"/>
                      <w:kern w:val="0"/>
                      <w:sz w:val="18"/>
                      <w:szCs w:val="18"/>
                      <w:lang w:val="en-US" w:eastAsia="zh-CN" w:bidi="ar"/>
                    </w:rPr>
                  </w:pPr>
                  <w:r>
                    <w:rPr>
                      <w:rFonts w:hint="eastAsia" w:ascii="宋体" w:hAnsi="宋体" w:cs="宋体"/>
                      <w:kern w:val="0"/>
                      <w:sz w:val="18"/>
                      <w:szCs w:val="18"/>
                      <w:lang w:bidi="ar"/>
                    </w:rPr>
                    <w:t>瓶装</w:t>
                  </w:r>
                </w:p>
              </w:tc>
              <w:tc>
                <w:tcPr>
                  <w:tcW w:w="630" w:type="pct"/>
                  <w:shd w:val="clear" w:color="auto" w:fill="auto"/>
                  <w:vAlign w:val="center"/>
                </w:tcPr>
                <w:p w14:paraId="3FEE8BB9">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0.0001</w:t>
                  </w:r>
                </w:p>
              </w:tc>
              <w:tc>
                <w:tcPr>
                  <w:tcW w:w="623" w:type="pct"/>
                  <w:shd w:val="clear" w:color="auto" w:fill="auto"/>
                  <w:vAlign w:val="center"/>
                </w:tcPr>
                <w:p w14:paraId="7C42EB59">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0F28D913">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0.000002</w:t>
                  </w:r>
                </w:p>
              </w:tc>
              <w:tc>
                <w:tcPr>
                  <w:tcW w:w="735" w:type="pct"/>
                  <w:vMerge w:val="continue"/>
                  <w:vAlign w:val="center"/>
                </w:tcPr>
                <w:p w14:paraId="67A0E3C7">
                  <w:pPr>
                    <w:adjustRightInd w:val="0"/>
                    <w:snapToGrid w:val="0"/>
                    <w:jc w:val="center"/>
                    <w:rPr>
                      <w:bCs/>
                      <w:sz w:val="18"/>
                      <w:szCs w:val="18"/>
                    </w:rPr>
                  </w:pPr>
                </w:p>
              </w:tc>
            </w:tr>
            <w:tr w14:paraId="0E7846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09B629FF">
                  <w:pPr>
                    <w:widowControl/>
                    <w:jc w:val="center"/>
                    <w:textAlignment w:val="center"/>
                    <w:rPr>
                      <w:sz w:val="18"/>
                      <w:szCs w:val="18"/>
                    </w:rPr>
                  </w:pPr>
                  <w:r>
                    <w:rPr>
                      <w:kern w:val="0"/>
                      <w:sz w:val="18"/>
                      <w:szCs w:val="18"/>
                      <w:lang w:bidi="ar"/>
                    </w:rPr>
                    <w:t>128</w:t>
                  </w:r>
                </w:p>
              </w:tc>
              <w:tc>
                <w:tcPr>
                  <w:tcW w:w="876" w:type="pct"/>
                  <w:shd w:val="clear" w:color="auto" w:fill="auto"/>
                  <w:vAlign w:val="center"/>
                </w:tcPr>
                <w:p w14:paraId="5587C3D7">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锡</w:t>
                  </w:r>
                </w:p>
              </w:tc>
              <w:tc>
                <w:tcPr>
                  <w:tcW w:w="655" w:type="pct"/>
                  <w:shd w:val="clear" w:color="auto" w:fill="auto"/>
                  <w:vAlign w:val="center"/>
                </w:tcPr>
                <w:p w14:paraId="69F2B89D">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48" w:type="pct"/>
                  <w:shd w:val="clear" w:color="auto" w:fill="auto"/>
                  <w:vAlign w:val="center"/>
                </w:tcPr>
                <w:p w14:paraId="101FEFE5">
                  <w:pPr>
                    <w:widowControl/>
                    <w:jc w:val="center"/>
                    <w:textAlignment w:val="center"/>
                    <w:rPr>
                      <w:rFonts w:hint="eastAsia" w:ascii="宋体" w:hAnsi="宋体" w:eastAsia="宋体" w:cs="宋体"/>
                      <w:kern w:val="0"/>
                      <w:sz w:val="18"/>
                      <w:szCs w:val="18"/>
                      <w:lang w:val="en-US" w:eastAsia="zh-CN" w:bidi="ar"/>
                    </w:rPr>
                  </w:pPr>
                  <w:r>
                    <w:rPr>
                      <w:rFonts w:hint="eastAsia" w:ascii="宋体" w:hAnsi="宋体" w:cs="宋体"/>
                      <w:kern w:val="0"/>
                      <w:sz w:val="18"/>
                      <w:szCs w:val="18"/>
                      <w:lang w:bidi="ar"/>
                    </w:rPr>
                    <w:t>瓶装</w:t>
                  </w:r>
                </w:p>
              </w:tc>
              <w:tc>
                <w:tcPr>
                  <w:tcW w:w="630" w:type="pct"/>
                  <w:shd w:val="clear" w:color="auto" w:fill="auto"/>
                  <w:vAlign w:val="center"/>
                </w:tcPr>
                <w:p w14:paraId="2FCF9D42">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0.0001</w:t>
                  </w:r>
                </w:p>
              </w:tc>
              <w:tc>
                <w:tcPr>
                  <w:tcW w:w="623" w:type="pct"/>
                  <w:shd w:val="clear" w:color="auto" w:fill="auto"/>
                  <w:vAlign w:val="center"/>
                </w:tcPr>
                <w:p w14:paraId="11E5D0E2">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7EB14F69">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0.000002</w:t>
                  </w:r>
                </w:p>
              </w:tc>
              <w:tc>
                <w:tcPr>
                  <w:tcW w:w="735" w:type="pct"/>
                  <w:vMerge w:val="continue"/>
                  <w:vAlign w:val="center"/>
                </w:tcPr>
                <w:p w14:paraId="50D7A70F">
                  <w:pPr>
                    <w:adjustRightInd w:val="0"/>
                    <w:snapToGrid w:val="0"/>
                    <w:jc w:val="center"/>
                    <w:rPr>
                      <w:bCs/>
                      <w:sz w:val="18"/>
                      <w:szCs w:val="18"/>
                    </w:rPr>
                  </w:pPr>
                </w:p>
              </w:tc>
            </w:tr>
            <w:tr w14:paraId="760E6E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61EC5142">
                  <w:pPr>
                    <w:widowControl/>
                    <w:jc w:val="center"/>
                    <w:textAlignment w:val="center"/>
                    <w:rPr>
                      <w:sz w:val="18"/>
                      <w:szCs w:val="18"/>
                    </w:rPr>
                  </w:pPr>
                  <w:r>
                    <w:rPr>
                      <w:kern w:val="0"/>
                      <w:sz w:val="18"/>
                      <w:szCs w:val="18"/>
                      <w:lang w:bidi="ar"/>
                    </w:rPr>
                    <w:t>129</w:t>
                  </w:r>
                </w:p>
              </w:tc>
              <w:tc>
                <w:tcPr>
                  <w:tcW w:w="876" w:type="pct"/>
                  <w:shd w:val="clear" w:color="auto" w:fill="auto"/>
                  <w:vAlign w:val="center"/>
                </w:tcPr>
                <w:p w14:paraId="74D5D630">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碘</w:t>
                  </w:r>
                </w:p>
              </w:tc>
              <w:tc>
                <w:tcPr>
                  <w:tcW w:w="655" w:type="pct"/>
                  <w:shd w:val="clear" w:color="auto" w:fill="auto"/>
                  <w:vAlign w:val="center"/>
                </w:tcPr>
                <w:p w14:paraId="6A01AD2F">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48" w:type="pct"/>
                  <w:shd w:val="clear" w:color="auto" w:fill="auto"/>
                  <w:vAlign w:val="center"/>
                </w:tcPr>
                <w:p w14:paraId="41567A1A">
                  <w:pPr>
                    <w:widowControl/>
                    <w:jc w:val="center"/>
                    <w:textAlignment w:val="center"/>
                    <w:rPr>
                      <w:rFonts w:hint="eastAsia" w:ascii="宋体" w:hAnsi="宋体" w:eastAsia="宋体" w:cs="宋体"/>
                      <w:kern w:val="0"/>
                      <w:sz w:val="18"/>
                      <w:szCs w:val="18"/>
                      <w:lang w:val="en-US" w:eastAsia="zh-CN" w:bidi="ar"/>
                    </w:rPr>
                  </w:pPr>
                  <w:r>
                    <w:rPr>
                      <w:rFonts w:hint="eastAsia" w:ascii="宋体" w:hAnsi="宋体" w:cs="宋体"/>
                      <w:kern w:val="0"/>
                      <w:sz w:val="18"/>
                      <w:szCs w:val="18"/>
                      <w:lang w:bidi="ar"/>
                    </w:rPr>
                    <w:t>瓶装</w:t>
                  </w:r>
                </w:p>
              </w:tc>
              <w:tc>
                <w:tcPr>
                  <w:tcW w:w="630" w:type="pct"/>
                  <w:shd w:val="clear" w:color="auto" w:fill="auto"/>
                  <w:vAlign w:val="center"/>
                </w:tcPr>
                <w:p w14:paraId="0C30E171">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0.0001</w:t>
                  </w:r>
                </w:p>
              </w:tc>
              <w:tc>
                <w:tcPr>
                  <w:tcW w:w="623" w:type="pct"/>
                  <w:shd w:val="clear" w:color="auto" w:fill="auto"/>
                  <w:vAlign w:val="center"/>
                </w:tcPr>
                <w:p w14:paraId="2FA182ED">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1B7941C0">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0.000002</w:t>
                  </w:r>
                </w:p>
              </w:tc>
              <w:tc>
                <w:tcPr>
                  <w:tcW w:w="735" w:type="pct"/>
                  <w:vMerge w:val="continue"/>
                  <w:vAlign w:val="center"/>
                </w:tcPr>
                <w:p w14:paraId="0030C74D">
                  <w:pPr>
                    <w:adjustRightInd w:val="0"/>
                    <w:snapToGrid w:val="0"/>
                    <w:jc w:val="center"/>
                    <w:rPr>
                      <w:bCs/>
                      <w:sz w:val="18"/>
                      <w:szCs w:val="18"/>
                    </w:rPr>
                  </w:pPr>
                </w:p>
              </w:tc>
            </w:tr>
            <w:tr w14:paraId="0552E1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2B7B2753">
                  <w:pPr>
                    <w:widowControl/>
                    <w:jc w:val="center"/>
                    <w:textAlignment w:val="center"/>
                    <w:rPr>
                      <w:sz w:val="18"/>
                      <w:szCs w:val="18"/>
                    </w:rPr>
                  </w:pPr>
                  <w:r>
                    <w:rPr>
                      <w:kern w:val="0"/>
                      <w:sz w:val="18"/>
                      <w:szCs w:val="18"/>
                      <w:lang w:bidi="ar"/>
                    </w:rPr>
                    <w:t>130</w:t>
                  </w:r>
                </w:p>
              </w:tc>
              <w:tc>
                <w:tcPr>
                  <w:tcW w:w="876" w:type="pct"/>
                  <w:shd w:val="clear" w:color="auto" w:fill="auto"/>
                  <w:vAlign w:val="center"/>
                </w:tcPr>
                <w:p w14:paraId="6AFD89ED">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钨</w:t>
                  </w:r>
                </w:p>
              </w:tc>
              <w:tc>
                <w:tcPr>
                  <w:tcW w:w="655" w:type="pct"/>
                  <w:shd w:val="clear" w:color="auto" w:fill="auto"/>
                  <w:vAlign w:val="center"/>
                </w:tcPr>
                <w:p w14:paraId="040456EB">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48" w:type="pct"/>
                  <w:shd w:val="clear" w:color="auto" w:fill="auto"/>
                  <w:vAlign w:val="center"/>
                </w:tcPr>
                <w:p w14:paraId="3C6E9764">
                  <w:pPr>
                    <w:widowControl/>
                    <w:jc w:val="center"/>
                    <w:textAlignment w:val="center"/>
                    <w:rPr>
                      <w:rFonts w:hint="eastAsia" w:ascii="宋体" w:hAnsi="宋体" w:eastAsia="宋体" w:cs="宋体"/>
                      <w:kern w:val="0"/>
                      <w:sz w:val="18"/>
                      <w:szCs w:val="18"/>
                      <w:lang w:val="en-US" w:eastAsia="zh-CN" w:bidi="ar"/>
                    </w:rPr>
                  </w:pPr>
                  <w:r>
                    <w:rPr>
                      <w:rFonts w:hint="eastAsia" w:ascii="宋体" w:hAnsi="宋体" w:cs="宋体"/>
                      <w:kern w:val="0"/>
                      <w:sz w:val="18"/>
                      <w:szCs w:val="18"/>
                      <w:lang w:bidi="ar"/>
                    </w:rPr>
                    <w:t>瓶装</w:t>
                  </w:r>
                </w:p>
              </w:tc>
              <w:tc>
                <w:tcPr>
                  <w:tcW w:w="630" w:type="pct"/>
                  <w:shd w:val="clear" w:color="auto" w:fill="auto"/>
                  <w:vAlign w:val="center"/>
                </w:tcPr>
                <w:p w14:paraId="0B73B396">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0.0001</w:t>
                  </w:r>
                </w:p>
              </w:tc>
              <w:tc>
                <w:tcPr>
                  <w:tcW w:w="623" w:type="pct"/>
                  <w:shd w:val="clear" w:color="auto" w:fill="auto"/>
                  <w:vAlign w:val="center"/>
                </w:tcPr>
                <w:p w14:paraId="0D33156A">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0C6EA66E">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0.000002</w:t>
                  </w:r>
                </w:p>
              </w:tc>
              <w:tc>
                <w:tcPr>
                  <w:tcW w:w="735" w:type="pct"/>
                  <w:vMerge w:val="continue"/>
                  <w:vAlign w:val="center"/>
                </w:tcPr>
                <w:p w14:paraId="3CFFB4EE">
                  <w:pPr>
                    <w:adjustRightInd w:val="0"/>
                    <w:snapToGrid w:val="0"/>
                    <w:jc w:val="center"/>
                    <w:rPr>
                      <w:bCs/>
                      <w:sz w:val="18"/>
                      <w:szCs w:val="18"/>
                    </w:rPr>
                  </w:pPr>
                </w:p>
              </w:tc>
            </w:tr>
            <w:tr w14:paraId="18AB07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11F13407">
                  <w:pPr>
                    <w:widowControl/>
                    <w:jc w:val="center"/>
                    <w:textAlignment w:val="center"/>
                    <w:rPr>
                      <w:sz w:val="18"/>
                      <w:szCs w:val="18"/>
                    </w:rPr>
                  </w:pPr>
                  <w:r>
                    <w:rPr>
                      <w:kern w:val="0"/>
                      <w:sz w:val="18"/>
                      <w:szCs w:val="18"/>
                      <w:lang w:bidi="ar"/>
                    </w:rPr>
                    <w:t>131</w:t>
                  </w:r>
                </w:p>
              </w:tc>
              <w:tc>
                <w:tcPr>
                  <w:tcW w:w="876" w:type="pct"/>
                  <w:shd w:val="clear" w:color="auto" w:fill="auto"/>
                  <w:vAlign w:val="center"/>
                </w:tcPr>
                <w:p w14:paraId="7D5A0F87">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锌</w:t>
                  </w:r>
                </w:p>
              </w:tc>
              <w:tc>
                <w:tcPr>
                  <w:tcW w:w="655" w:type="pct"/>
                  <w:shd w:val="clear" w:color="auto" w:fill="auto"/>
                  <w:vAlign w:val="center"/>
                </w:tcPr>
                <w:p w14:paraId="32D16CC3">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48" w:type="pct"/>
                  <w:shd w:val="clear" w:color="auto" w:fill="auto"/>
                  <w:vAlign w:val="center"/>
                </w:tcPr>
                <w:p w14:paraId="7911E1C3">
                  <w:pPr>
                    <w:widowControl/>
                    <w:jc w:val="center"/>
                    <w:textAlignment w:val="center"/>
                    <w:rPr>
                      <w:rFonts w:hint="eastAsia" w:ascii="宋体" w:hAnsi="宋体" w:eastAsia="宋体" w:cs="宋体"/>
                      <w:kern w:val="0"/>
                      <w:sz w:val="18"/>
                      <w:szCs w:val="18"/>
                      <w:lang w:val="en-US" w:eastAsia="zh-CN" w:bidi="ar"/>
                    </w:rPr>
                  </w:pPr>
                  <w:r>
                    <w:rPr>
                      <w:rFonts w:hint="eastAsia" w:ascii="宋体" w:hAnsi="宋体" w:cs="宋体"/>
                      <w:kern w:val="0"/>
                      <w:sz w:val="18"/>
                      <w:szCs w:val="18"/>
                      <w:lang w:bidi="ar"/>
                    </w:rPr>
                    <w:t>瓶装</w:t>
                  </w:r>
                </w:p>
              </w:tc>
              <w:tc>
                <w:tcPr>
                  <w:tcW w:w="630" w:type="pct"/>
                  <w:shd w:val="clear" w:color="auto" w:fill="auto"/>
                  <w:vAlign w:val="center"/>
                </w:tcPr>
                <w:p w14:paraId="5D363776">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0.0001</w:t>
                  </w:r>
                </w:p>
              </w:tc>
              <w:tc>
                <w:tcPr>
                  <w:tcW w:w="623" w:type="pct"/>
                  <w:shd w:val="clear" w:color="auto" w:fill="auto"/>
                  <w:vAlign w:val="center"/>
                </w:tcPr>
                <w:p w14:paraId="21668538">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608BFE41">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0.000002</w:t>
                  </w:r>
                </w:p>
              </w:tc>
              <w:tc>
                <w:tcPr>
                  <w:tcW w:w="735" w:type="pct"/>
                  <w:vMerge w:val="continue"/>
                  <w:vAlign w:val="center"/>
                </w:tcPr>
                <w:p w14:paraId="07BE8130">
                  <w:pPr>
                    <w:adjustRightInd w:val="0"/>
                    <w:snapToGrid w:val="0"/>
                    <w:jc w:val="center"/>
                    <w:rPr>
                      <w:bCs/>
                      <w:sz w:val="18"/>
                      <w:szCs w:val="18"/>
                    </w:rPr>
                  </w:pPr>
                </w:p>
              </w:tc>
            </w:tr>
            <w:tr w14:paraId="6630B5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29AC928F">
                  <w:pPr>
                    <w:widowControl/>
                    <w:jc w:val="center"/>
                    <w:textAlignment w:val="center"/>
                    <w:rPr>
                      <w:sz w:val="18"/>
                      <w:szCs w:val="18"/>
                    </w:rPr>
                  </w:pPr>
                  <w:r>
                    <w:rPr>
                      <w:kern w:val="0"/>
                      <w:sz w:val="18"/>
                      <w:szCs w:val="18"/>
                      <w:lang w:bidi="ar"/>
                    </w:rPr>
                    <w:t>132</w:t>
                  </w:r>
                </w:p>
              </w:tc>
              <w:tc>
                <w:tcPr>
                  <w:tcW w:w="876" w:type="pct"/>
                  <w:shd w:val="clear" w:color="auto" w:fill="auto"/>
                  <w:vAlign w:val="center"/>
                </w:tcPr>
                <w:p w14:paraId="1BDE8EEB">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铋</w:t>
                  </w:r>
                </w:p>
              </w:tc>
              <w:tc>
                <w:tcPr>
                  <w:tcW w:w="655" w:type="pct"/>
                  <w:shd w:val="clear" w:color="auto" w:fill="auto"/>
                  <w:vAlign w:val="center"/>
                </w:tcPr>
                <w:p w14:paraId="4DFE5BD6">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48" w:type="pct"/>
                  <w:shd w:val="clear" w:color="auto" w:fill="auto"/>
                  <w:vAlign w:val="center"/>
                </w:tcPr>
                <w:p w14:paraId="70FD12ED">
                  <w:pPr>
                    <w:widowControl/>
                    <w:jc w:val="center"/>
                    <w:textAlignment w:val="center"/>
                    <w:rPr>
                      <w:rFonts w:hint="eastAsia" w:ascii="宋体" w:hAnsi="宋体" w:eastAsia="宋体" w:cs="宋体"/>
                      <w:kern w:val="0"/>
                      <w:sz w:val="18"/>
                      <w:szCs w:val="18"/>
                      <w:lang w:val="en-US" w:eastAsia="zh-CN" w:bidi="ar"/>
                    </w:rPr>
                  </w:pPr>
                  <w:r>
                    <w:rPr>
                      <w:rFonts w:hint="eastAsia" w:ascii="宋体" w:hAnsi="宋体" w:cs="宋体"/>
                      <w:kern w:val="0"/>
                      <w:sz w:val="18"/>
                      <w:szCs w:val="18"/>
                      <w:lang w:bidi="ar"/>
                    </w:rPr>
                    <w:t>瓶装</w:t>
                  </w:r>
                </w:p>
              </w:tc>
              <w:tc>
                <w:tcPr>
                  <w:tcW w:w="630" w:type="pct"/>
                  <w:shd w:val="clear" w:color="auto" w:fill="auto"/>
                  <w:vAlign w:val="center"/>
                </w:tcPr>
                <w:p w14:paraId="715B4E4A">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0.0001</w:t>
                  </w:r>
                </w:p>
              </w:tc>
              <w:tc>
                <w:tcPr>
                  <w:tcW w:w="623" w:type="pct"/>
                  <w:shd w:val="clear" w:color="auto" w:fill="auto"/>
                  <w:vAlign w:val="center"/>
                </w:tcPr>
                <w:p w14:paraId="1FBCAC8C">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327598B7">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0.000002</w:t>
                  </w:r>
                </w:p>
              </w:tc>
              <w:tc>
                <w:tcPr>
                  <w:tcW w:w="735" w:type="pct"/>
                  <w:vMerge w:val="continue"/>
                  <w:vAlign w:val="center"/>
                </w:tcPr>
                <w:p w14:paraId="45FCF2CE">
                  <w:pPr>
                    <w:adjustRightInd w:val="0"/>
                    <w:snapToGrid w:val="0"/>
                    <w:jc w:val="center"/>
                    <w:rPr>
                      <w:bCs/>
                      <w:sz w:val="18"/>
                      <w:szCs w:val="18"/>
                    </w:rPr>
                  </w:pPr>
                </w:p>
              </w:tc>
            </w:tr>
            <w:tr w14:paraId="43E181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7382A177">
                  <w:pPr>
                    <w:widowControl/>
                    <w:jc w:val="center"/>
                    <w:textAlignment w:val="center"/>
                    <w:rPr>
                      <w:kern w:val="0"/>
                      <w:sz w:val="18"/>
                      <w:szCs w:val="18"/>
                      <w:lang w:bidi="ar"/>
                    </w:rPr>
                  </w:pPr>
                  <w:r>
                    <w:rPr>
                      <w:kern w:val="0"/>
                      <w:sz w:val="18"/>
                      <w:szCs w:val="18"/>
                      <w:lang w:bidi="ar"/>
                    </w:rPr>
                    <w:t>133</w:t>
                  </w:r>
                </w:p>
              </w:tc>
              <w:tc>
                <w:tcPr>
                  <w:tcW w:w="876" w:type="pct"/>
                  <w:shd w:val="clear" w:color="auto" w:fill="auto"/>
                  <w:vAlign w:val="center"/>
                </w:tcPr>
                <w:p w14:paraId="405F25C5">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锂</w:t>
                  </w:r>
                </w:p>
              </w:tc>
              <w:tc>
                <w:tcPr>
                  <w:tcW w:w="655" w:type="pct"/>
                  <w:shd w:val="clear" w:color="auto" w:fill="auto"/>
                  <w:vAlign w:val="center"/>
                </w:tcPr>
                <w:p w14:paraId="7A30BB5A">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48" w:type="pct"/>
                  <w:shd w:val="clear" w:color="auto" w:fill="auto"/>
                  <w:vAlign w:val="center"/>
                </w:tcPr>
                <w:p w14:paraId="49C62069">
                  <w:pPr>
                    <w:widowControl/>
                    <w:jc w:val="center"/>
                    <w:textAlignment w:val="center"/>
                    <w:rPr>
                      <w:rFonts w:hint="eastAsia" w:ascii="宋体" w:hAnsi="宋体" w:eastAsia="宋体" w:cs="宋体"/>
                      <w:kern w:val="0"/>
                      <w:sz w:val="18"/>
                      <w:szCs w:val="18"/>
                      <w:lang w:val="en-US" w:eastAsia="zh-CN" w:bidi="ar"/>
                    </w:rPr>
                  </w:pPr>
                  <w:r>
                    <w:rPr>
                      <w:rFonts w:hint="eastAsia" w:ascii="宋体" w:hAnsi="宋体" w:cs="宋体"/>
                      <w:kern w:val="0"/>
                      <w:sz w:val="18"/>
                      <w:szCs w:val="18"/>
                      <w:lang w:bidi="ar"/>
                    </w:rPr>
                    <w:t>瓶装</w:t>
                  </w:r>
                </w:p>
              </w:tc>
              <w:tc>
                <w:tcPr>
                  <w:tcW w:w="630" w:type="pct"/>
                  <w:shd w:val="clear" w:color="auto" w:fill="auto"/>
                  <w:vAlign w:val="center"/>
                </w:tcPr>
                <w:p w14:paraId="575459CB">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0.0001</w:t>
                  </w:r>
                </w:p>
              </w:tc>
              <w:tc>
                <w:tcPr>
                  <w:tcW w:w="623" w:type="pct"/>
                  <w:shd w:val="clear" w:color="auto" w:fill="auto"/>
                  <w:vAlign w:val="center"/>
                </w:tcPr>
                <w:p w14:paraId="74F3A2ED">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338E4198">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0.000002</w:t>
                  </w:r>
                </w:p>
              </w:tc>
              <w:tc>
                <w:tcPr>
                  <w:tcW w:w="735" w:type="pct"/>
                  <w:vMerge w:val="continue"/>
                  <w:vAlign w:val="center"/>
                </w:tcPr>
                <w:p w14:paraId="5EDB8FA1">
                  <w:pPr>
                    <w:adjustRightInd w:val="0"/>
                    <w:snapToGrid w:val="0"/>
                    <w:jc w:val="center"/>
                    <w:rPr>
                      <w:bCs/>
                      <w:sz w:val="18"/>
                      <w:szCs w:val="18"/>
                    </w:rPr>
                  </w:pPr>
                </w:p>
              </w:tc>
            </w:tr>
            <w:tr w14:paraId="3A328E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183" w:type="pct"/>
                  <w:vAlign w:val="center"/>
                </w:tcPr>
                <w:p w14:paraId="33B99B68">
                  <w:pPr>
                    <w:widowControl/>
                    <w:jc w:val="center"/>
                    <w:textAlignment w:val="center"/>
                    <w:rPr>
                      <w:kern w:val="0"/>
                      <w:sz w:val="18"/>
                      <w:szCs w:val="18"/>
                      <w:lang w:bidi="ar"/>
                    </w:rPr>
                  </w:pPr>
                  <w:r>
                    <w:rPr>
                      <w:kern w:val="0"/>
                      <w:sz w:val="18"/>
                      <w:szCs w:val="18"/>
                      <w:lang w:bidi="ar"/>
                    </w:rPr>
                    <w:t>134</w:t>
                  </w:r>
                </w:p>
              </w:tc>
              <w:tc>
                <w:tcPr>
                  <w:tcW w:w="876" w:type="pct"/>
                  <w:shd w:val="clear" w:color="auto" w:fill="auto"/>
                  <w:vAlign w:val="center"/>
                </w:tcPr>
                <w:p w14:paraId="79BE8CC5">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金</w:t>
                  </w:r>
                </w:p>
              </w:tc>
              <w:tc>
                <w:tcPr>
                  <w:tcW w:w="655" w:type="pct"/>
                  <w:shd w:val="clear" w:color="auto" w:fill="auto"/>
                  <w:vAlign w:val="center"/>
                </w:tcPr>
                <w:p w14:paraId="3FDF37F1">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0.0005</w:t>
                  </w:r>
                </w:p>
              </w:tc>
              <w:tc>
                <w:tcPr>
                  <w:tcW w:w="648" w:type="pct"/>
                  <w:shd w:val="clear" w:color="auto" w:fill="auto"/>
                  <w:vAlign w:val="center"/>
                </w:tcPr>
                <w:p w14:paraId="56898E63">
                  <w:pPr>
                    <w:widowControl/>
                    <w:jc w:val="center"/>
                    <w:textAlignment w:val="center"/>
                    <w:rPr>
                      <w:rFonts w:hint="eastAsia" w:ascii="宋体" w:hAnsi="宋体" w:eastAsia="宋体" w:cs="宋体"/>
                      <w:kern w:val="0"/>
                      <w:sz w:val="18"/>
                      <w:szCs w:val="18"/>
                      <w:lang w:val="en-US" w:eastAsia="zh-CN" w:bidi="ar"/>
                    </w:rPr>
                  </w:pPr>
                  <w:r>
                    <w:rPr>
                      <w:rFonts w:hint="eastAsia" w:ascii="宋体" w:hAnsi="宋体" w:cs="宋体"/>
                      <w:kern w:val="0"/>
                      <w:sz w:val="18"/>
                      <w:szCs w:val="18"/>
                      <w:lang w:bidi="ar"/>
                    </w:rPr>
                    <w:t>瓶装</w:t>
                  </w:r>
                </w:p>
              </w:tc>
              <w:tc>
                <w:tcPr>
                  <w:tcW w:w="630" w:type="pct"/>
                  <w:shd w:val="clear" w:color="auto" w:fill="auto"/>
                  <w:vAlign w:val="center"/>
                </w:tcPr>
                <w:p w14:paraId="757AA559">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0.0001</w:t>
                  </w:r>
                </w:p>
              </w:tc>
              <w:tc>
                <w:tcPr>
                  <w:tcW w:w="623" w:type="pct"/>
                  <w:shd w:val="clear" w:color="auto" w:fill="auto"/>
                  <w:vAlign w:val="center"/>
                </w:tcPr>
                <w:p w14:paraId="6109F5BA">
                  <w:pPr>
                    <w:widowControl/>
                    <w:jc w:val="center"/>
                    <w:textAlignment w:val="center"/>
                    <w:rPr>
                      <w:rFonts w:ascii="Times New Roman" w:hAnsi="Times New Roman" w:eastAsia="宋体" w:cs="Times New Roman"/>
                      <w:kern w:val="0"/>
                      <w:sz w:val="18"/>
                      <w:szCs w:val="18"/>
                      <w:lang w:val="en-US" w:eastAsia="zh-CN" w:bidi="ar"/>
                    </w:rPr>
                  </w:pPr>
                  <w:r>
                    <w:rPr>
                      <w:rFonts w:hint="eastAsia"/>
                      <w:kern w:val="0"/>
                      <w:sz w:val="18"/>
                      <w:szCs w:val="18"/>
                      <w:lang w:bidi="ar"/>
                    </w:rPr>
                    <w:t>50</w:t>
                  </w:r>
                </w:p>
              </w:tc>
              <w:tc>
                <w:tcPr>
                  <w:tcW w:w="647" w:type="pct"/>
                  <w:shd w:val="clear" w:color="auto" w:fill="auto"/>
                  <w:vAlign w:val="center"/>
                </w:tcPr>
                <w:p w14:paraId="17B788EF">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0.000002</w:t>
                  </w:r>
                </w:p>
              </w:tc>
              <w:tc>
                <w:tcPr>
                  <w:tcW w:w="735" w:type="pct"/>
                  <w:vMerge w:val="continue"/>
                  <w:vAlign w:val="center"/>
                </w:tcPr>
                <w:p w14:paraId="431C9CF2">
                  <w:pPr>
                    <w:adjustRightInd w:val="0"/>
                    <w:snapToGrid w:val="0"/>
                    <w:jc w:val="center"/>
                    <w:rPr>
                      <w:bCs/>
                      <w:sz w:val="18"/>
                      <w:szCs w:val="18"/>
                    </w:rPr>
                  </w:pPr>
                </w:p>
              </w:tc>
            </w:tr>
            <w:tr w14:paraId="3F31BF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183" w:type="pct"/>
                  <w:shd w:val="clear" w:color="auto" w:fill="auto"/>
                  <w:vAlign w:val="center"/>
                </w:tcPr>
                <w:p w14:paraId="064773C9">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135</w:t>
                  </w:r>
                </w:p>
              </w:tc>
              <w:tc>
                <w:tcPr>
                  <w:tcW w:w="876" w:type="pct"/>
                  <w:vAlign w:val="center"/>
                </w:tcPr>
                <w:p w14:paraId="7E31A94D">
                  <w:pPr>
                    <w:jc w:val="center"/>
                    <w:rPr>
                      <w:sz w:val="18"/>
                      <w:szCs w:val="18"/>
                    </w:rPr>
                  </w:pPr>
                  <w:r>
                    <w:rPr>
                      <w:sz w:val="18"/>
                      <w:szCs w:val="18"/>
                    </w:rPr>
                    <w:t>废试剂包装</w:t>
                  </w:r>
                </w:p>
              </w:tc>
              <w:tc>
                <w:tcPr>
                  <w:tcW w:w="655" w:type="pct"/>
                  <w:vAlign w:val="center"/>
                </w:tcPr>
                <w:p w14:paraId="5238F385">
                  <w:pPr>
                    <w:jc w:val="center"/>
                    <w:rPr>
                      <w:sz w:val="18"/>
                      <w:szCs w:val="18"/>
                    </w:rPr>
                  </w:pPr>
                  <w:r>
                    <w:rPr>
                      <w:rFonts w:hint="eastAsia"/>
                      <w:sz w:val="18"/>
                      <w:szCs w:val="18"/>
                    </w:rPr>
                    <w:t>0.9</w:t>
                  </w:r>
                </w:p>
              </w:tc>
              <w:tc>
                <w:tcPr>
                  <w:tcW w:w="648" w:type="pct"/>
                  <w:vAlign w:val="center"/>
                </w:tcPr>
                <w:p w14:paraId="6DE31B97">
                  <w:pPr>
                    <w:pStyle w:val="88"/>
                    <w:adjustRightInd w:val="0"/>
                    <w:snapToGrid w:val="0"/>
                    <w:rPr>
                      <w:rFonts w:ascii="Times New Roman" w:hAnsi="Times New Roman" w:eastAsia="宋体"/>
                      <w:sz w:val="18"/>
                      <w:szCs w:val="18"/>
                    </w:rPr>
                  </w:pPr>
                  <w:r>
                    <w:rPr>
                      <w:rFonts w:ascii="Times New Roman" w:hAnsi="Times New Roman" w:eastAsia="宋体"/>
                      <w:bCs/>
                      <w:sz w:val="18"/>
                      <w:szCs w:val="18"/>
                    </w:rPr>
                    <w:t>密封袋装</w:t>
                  </w:r>
                </w:p>
              </w:tc>
              <w:tc>
                <w:tcPr>
                  <w:tcW w:w="630" w:type="pct"/>
                  <w:vAlign w:val="center"/>
                </w:tcPr>
                <w:p w14:paraId="3CA66DBC">
                  <w:pPr>
                    <w:jc w:val="center"/>
                    <w:rPr>
                      <w:sz w:val="18"/>
                      <w:szCs w:val="18"/>
                    </w:rPr>
                  </w:pPr>
                  <w:r>
                    <w:rPr>
                      <w:rFonts w:hint="eastAsia"/>
                      <w:sz w:val="18"/>
                      <w:szCs w:val="18"/>
                    </w:rPr>
                    <w:t>0.9</w:t>
                  </w:r>
                </w:p>
              </w:tc>
              <w:tc>
                <w:tcPr>
                  <w:tcW w:w="623" w:type="pct"/>
                  <w:vAlign w:val="center"/>
                </w:tcPr>
                <w:p w14:paraId="57CCA521">
                  <w:pPr>
                    <w:jc w:val="center"/>
                    <w:rPr>
                      <w:sz w:val="18"/>
                      <w:szCs w:val="18"/>
                    </w:rPr>
                  </w:pPr>
                  <w:r>
                    <w:rPr>
                      <w:sz w:val="18"/>
                      <w:szCs w:val="18"/>
                    </w:rPr>
                    <w:t>50</w:t>
                  </w:r>
                </w:p>
              </w:tc>
              <w:tc>
                <w:tcPr>
                  <w:tcW w:w="647" w:type="pct"/>
                  <w:vAlign w:val="center"/>
                </w:tcPr>
                <w:p w14:paraId="60E7C90A">
                  <w:pPr>
                    <w:widowControl/>
                    <w:jc w:val="center"/>
                    <w:textAlignment w:val="center"/>
                    <w:rPr>
                      <w:rFonts w:eastAsia="等线"/>
                      <w:sz w:val="18"/>
                      <w:szCs w:val="18"/>
                    </w:rPr>
                  </w:pPr>
                  <w:r>
                    <w:rPr>
                      <w:rFonts w:hint="eastAsia" w:eastAsia="等线"/>
                      <w:sz w:val="18"/>
                      <w:szCs w:val="18"/>
                    </w:rPr>
                    <w:t>0.018</w:t>
                  </w:r>
                </w:p>
              </w:tc>
              <w:tc>
                <w:tcPr>
                  <w:tcW w:w="735" w:type="pct"/>
                  <w:vMerge w:val="restart"/>
                  <w:vAlign w:val="center"/>
                </w:tcPr>
                <w:p w14:paraId="37186D9C">
                  <w:pPr>
                    <w:adjustRightInd w:val="0"/>
                    <w:snapToGrid w:val="0"/>
                    <w:jc w:val="center"/>
                    <w:rPr>
                      <w:bCs/>
                      <w:sz w:val="18"/>
                      <w:szCs w:val="18"/>
                    </w:rPr>
                  </w:pPr>
                  <w:r>
                    <w:rPr>
                      <w:bCs/>
                      <w:sz w:val="18"/>
                      <w:szCs w:val="18"/>
                    </w:rPr>
                    <w:t>危废仓库</w:t>
                  </w:r>
                </w:p>
              </w:tc>
            </w:tr>
            <w:tr w14:paraId="12D4A1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183" w:type="pct"/>
                  <w:shd w:val="clear" w:color="auto" w:fill="auto"/>
                  <w:vAlign w:val="center"/>
                </w:tcPr>
                <w:p w14:paraId="728C9CCA">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136</w:t>
                  </w:r>
                </w:p>
              </w:tc>
              <w:tc>
                <w:tcPr>
                  <w:tcW w:w="876" w:type="pct"/>
                  <w:vAlign w:val="center"/>
                </w:tcPr>
                <w:p w14:paraId="1767E4ED">
                  <w:pPr>
                    <w:jc w:val="center"/>
                    <w:rPr>
                      <w:sz w:val="18"/>
                      <w:szCs w:val="18"/>
                    </w:rPr>
                  </w:pPr>
                  <w:r>
                    <w:rPr>
                      <w:rFonts w:hint="eastAsia"/>
                      <w:sz w:val="18"/>
                      <w:szCs w:val="18"/>
                    </w:rPr>
                    <w:t>实验废液</w:t>
                  </w:r>
                </w:p>
              </w:tc>
              <w:tc>
                <w:tcPr>
                  <w:tcW w:w="655" w:type="pct"/>
                  <w:vAlign w:val="center"/>
                </w:tcPr>
                <w:p w14:paraId="07C60F2C">
                  <w:pPr>
                    <w:jc w:val="center"/>
                    <w:rPr>
                      <w:rFonts w:hint="eastAsia" w:eastAsia="宋体"/>
                      <w:sz w:val="18"/>
                      <w:szCs w:val="18"/>
                      <w:lang w:eastAsia="zh-CN"/>
                    </w:rPr>
                  </w:pPr>
                  <w:r>
                    <w:rPr>
                      <w:rFonts w:hint="eastAsia"/>
                      <w:sz w:val="18"/>
                      <w:szCs w:val="18"/>
                      <w:lang w:eastAsia="zh-CN"/>
                    </w:rPr>
                    <w:t>0.53</w:t>
                  </w:r>
                </w:p>
              </w:tc>
              <w:tc>
                <w:tcPr>
                  <w:tcW w:w="648" w:type="pct"/>
                  <w:vAlign w:val="center"/>
                </w:tcPr>
                <w:p w14:paraId="5440D1DE">
                  <w:pPr>
                    <w:pStyle w:val="88"/>
                    <w:adjustRightInd w:val="0"/>
                    <w:snapToGrid w:val="0"/>
                    <w:rPr>
                      <w:rFonts w:ascii="Times New Roman" w:hAnsi="Times New Roman" w:eastAsia="宋体"/>
                      <w:bCs/>
                      <w:sz w:val="18"/>
                      <w:szCs w:val="18"/>
                    </w:rPr>
                  </w:pPr>
                  <w:r>
                    <w:rPr>
                      <w:rFonts w:hint="eastAsia" w:ascii="Times New Roman" w:hAnsi="Times New Roman" w:eastAsia="宋体"/>
                      <w:bCs/>
                      <w:sz w:val="18"/>
                      <w:szCs w:val="18"/>
                    </w:rPr>
                    <w:t>加盖密闭</w:t>
                  </w:r>
                </w:p>
              </w:tc>
              <w:tc>
                <w:tcPr>
                  <w:tcW w:w="630" w:type="pct"/>
                  <w:vAlign w:val="center"/>
                </w:tcPr>
                <w:p w14:paraId="55C0050B">
                  <w:pPr>
                    <w:jc w:val="center"/>
                    <w:rPr>
                      <w:rFonts w:hint="eastAsia" w:eastAsia="宋体"/>
                      <w:sz w:val="18"/>
                      <w:szCs w:val="18"/>
                      <w:lang w:eastAsia="zh-CN"/>
                    </w:rPr>
                  </w:pPr>
                  <w:r>
                    <w:rPr>
                      <w:rFonts w:hint="eastAsia"/>
                      <w:sz w:val="18"/>
                      <w:szCs w:val="18"/>
                      <w:lang w:eastAsia="zh-CN"/>
                    </w:rPr>
                    <w:t>0.53</w:t>
                  </w:r>
                </w:p>
              </w:tc>
              <w:tc>
                <w:tcPr>
                  <w:tcW w:w="623" w:type="pct"/>
                  <w:vAlign w:val="center"/>
                </w:tcPr>
                <w:p w14:paraId="428E5734">
                  <w:pPr>
                    <w:jc w:val="center"/>
                    <w:rPr>
                      <w:sz w:val="18"/>
                      <w:szCs w:val="18"/>
                    </w:rPr>
                  </w:pPr>
                  <w:r>
                    <w:rPr>
                      <w:sz w:val="18"/>
                      <w:szCs w:val="18"/>
                    </w:rPr>
                    <w:t>50</w:t>
                  </w:r>
                </w:p>
              </w:tc>
              <w:tc>
                <w:tcPr>
                  <w:tcW w:w="647" w:type="pct"/>
                  <w:vAlign w:val="center"/>
                </w:tcPr>
                <w:p w14:paraId="69B4486B">
                  <w:pPr>
                    <w:widowControl/>
                    <w:jc w:val="center"/>
                    <w:textAlignment w:val="center"/>
                    <w:rPr>
                      <w:rFonts w:hint="default" w:eastAsia="等线"/>
                      <w:sz w:val="18"/>
                      <w:szCs w:val="18"/>
                      <w:lang w:val="en-US" w:eastAsia="zh-CN"/>
                    </w:rPr>
                  </w:pPr>
                  <w:r>
                    <w:rPr>
                      <w:rFonts w:hint="eastAsia" w:eastAsia="等线"/>
                      <w:sz w:val="18"/>
                      <w:szCs w:val="18"/>
                      <w:lang w:val="en-US" w:eastAsia="zh-CN"/>
                    </w:rPr>
                    <w:t>0.0106</w:t>
                  </w:r>
                </w:p>
              </w:tc>
              <w:tc>
                <w:tcPr>
                  <w:tcW w:w="735" w:type="pct"/>
                  <w:vMerge w:val="continue"/>
                  <w:tcBorders/>
                  <w:vAlign w:val="center"/>
                </w:tcPr>
                <w:p w14:paraId="444B2B9B">
                  <w:pPr>
                    <w:adjustRightInd w:val="0"/>
                    <w:snapToGrid w:val="0"/>
                    <w:jc w:val="center"/>
                    <w:rPr>
                      <w:bCs/>
                      <w:sz w:val="18"/>
                      <w:szCs w:val="18"/>
                    </w:rPr>
                  </w:pPr>
                </w:p>
              </w:tc>
            </w:tr>
            <w:tr w14:paraId="78E223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83" w:type="pct"/>
                  <w:shd w:val="clear" w:color="auto" w:fill="auto"/>
                  <w:vAlign w:val="center"/>
                </w:tcPr>
                <w:p w14:paraId="0231E9C7">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137</w:t>
                  </w:r>
                </w:p>
              </w:tc>
              <w:tc>
                <w:tcPr>
                  <w:tcW w:w="876" w:type="pct"/>
                  <w:vAlign w:val="center"/>
                </w:tcPr>
                <w:p w14:paraId="4FE22A2B">
                  <w:pPr>
                    <w:jc w:val="center"/>
                    <w:rPr>
                      <w:bCs/>
                      <w:sz w:val="18"/>
                      <w:szCs w:val="18"/>
                    </w:rPr>
                  </w:pPr>
                  <w:r>
                    <w:rPr>
                      <w:rFonts w:hint="eastAsia"/>
                      <w:sz w:val="18"/>
                      <w:szCs w:val="18"/>
                    </w:rPr>
                    <w:t>废活性炭</w:t>
                  </w:r>
                </w:p>
              </w:tc>
              <w:tc>
                <w:tcPr>
                  <w:tcW w:w="655" w:type="pct"/>
                  <w:vAlign w:val="center"/>
                </w:tcPr>
                <w:p w14:paraId="32789A47">
                  <w:pPr>
                    <w:jc w:val="center"/>
                    <w:rPr>
                      <w:rFonts w:hint="eastAsia" w:eastAsia="宋体"/>
                      <w:sz w:val="18"/>
                      <w:szCs w:val="18"/>
                      <w:lang w:eastAsia="zh-CN"/>
                    </w:rPr>
                  </w:pPr>
                  <w:r>
                    <w:rPr>
                      <w:rFonts w:hint="eastAsia"/>
                      <w:sz w:val="18"/>
                      <w:szCs w:val="18"/>
                      <w:lang w:eastAsia="zh-CN"/>
                    </w:rPr>
                    <w:t>4.4435</w:t>
                  </w:r>
                </w:p>
              </w:tc>
              <w:tc>
                <w:tcPr>
                  <w:tcW w:w="648" w:type="pct"/>
                  <w:vAlign w:val="center"/>
                </w:tcPr>
                <w:p w14:paraId="57C35A6D">
                  <w:pPr>
                    <w:pStyle w:val="88"/>
                    <w:adjustRightInd w:val="0"/>
                    <w:snapToGrid w:val="0"/>
                    <w:rPr>
                      <w:rFonts w:ascii="Times New Roman" w:hAnsi="Times New Roman" w:eastAsia="宋体"/>
                      <w:bCs/>
                      <w:sz w:val="18"/>
                      <w:szCs w:val="18"/>
                    </w:rPr>
                  </w:pPr>
                  <w:r>
                    <w:rPr>
                      <w:rFonts w:ascii="Times New Roman" w:hAnsi="Times New Roman" w:eastAsia="宋体"/>
                      <w:bCs/>
                      <w:sz w:val="18"/>
                      <w:szCs w:val="18"/>
                    </w:rPr>
                    <w:t>密封袋装</w:t>
                  </w:r>
                </w:p>
              </w:tc>
              <w:tc>
                <w:tcPr>
                  <w:tcW w:w="630" w:type="pct"/>
                  <w:vAlign w:val="center"/>
                </w:tcPr>
                <w:p w14:paraId="7C70F01F">
                  <w:pPr>
                    <w:jc w:val="center"/>
                    <w:rPr>
                      <w:rFonts w:hint="default" w:eastAsia="宋体"/>
                      <w:sz w:val="18"/>
                      <w:szCs w:val="18"/>
                      <w:lang w:val="en-US" w:eastAsia="zh-CN"/>
                    </w:rPr>
                  </w:pPr>
                  <w:r>
                    <w:rPr>
                      <w:rFonts w:hint="eastAsia"/>
                      <w:sz w:val="18"/>
                      <w:szCs w:val="18"/>
                      <w:lang w:val="en-US" w:eastAsia="zh-CN"/>
                    </w:rPr>
                    <w:t>1.1109</w:t>
                  </w:r>
                </w:p>
              </w:tc>
              <w:tc>
                <w:tcPr>
                  <w:tcW w:w="623" w:type="pct"/>
                  <w:vAlign w:val="center"/>
                </w:tcPr>
                <w:p w14:paraId="13B8BE04">
                  <w:pPr>
                    <w:jc w:val="center"/>
                    <w:rPr>
                      <w:sz w:val="18"/>
                      <w:szCs w:val="18"/>
                    </w:rPr>
                  </w:pPr>
                  <w:r>
                    <w:rPr>
                      <w:sz w:val="18"/>
                      <w:szCs w:val="18"/>
                    </w:rPr>
                    <w:t>50</w:t>
                  </w:r>
                </w:p>
              </w:tc>
              <w:tc>
                <w:tcPr>
                  <w:tcW w:w="647" w:type="pct"/>
                  <w:vAlign w:val="center"/>
                </w:tcPr>
                <w:p w14:paraId="315E5088">
                  <w:pPr>
                    <w:widowControl/>
                    <w:jc w:val="center"/>
                    <w:textAlignment w:val="center"/>
                    <w:rPr>
                      <w:rFonts w:hint="default" w:eastAsia="等线"/>
                      <w:sz w:val="18"/>
                      <w:szCs w:val="18"/>
                      <w:lang w:val="en-US" w:eastAsia="zh-CN"/>
                    </w:rPr>
                  </w:pPr>
                  <w:r>
                    <w:rPr>
                      <w:rFonts w:hint="eastAsia" w:eastAsia="等线"/>
                      <w:sz w:val="18"/>
                      <w:szCs w:val="18"/>
                    </w:rPr>
                    <w:t>0.0</w:t>
                  </w:r>
                  <w:r>
                    <w:rPr>
                      <w:rFonts w:hint="eastAsia" w:eastAsia="等线"/>
                      <w:sz w:val="18"/>
                      <w:szCs w:val="18"/>
                      <w:lang w:val="en-US" w:eastAsia="zh-CN"/>
                    </w:rPr>
                    <w:t>2222</w:t>
                  </w:r>
                </w:p>
              </w:tc>
              <w:tc>
                <w:tcPr>
                  <w:tcW w:w="735" w:type="pct"/>
                  <w:vMerge w:val="continue"/>
                  <w:tcBorders/>
                  <w:vAlign w:val="center"/>
                </w:tcPr>
                <w:p w14:paraId="0A444A46">
                  <w:pPr>
                    <w:adjustRightInd w:val="0"/>
                    <w:snapToGrid w:val="0"/>
                    <w:jc w:val="center"/>
                    <w:rPr>
                      <w:bCs/>
                      <w:sz w:val="18"/>
                      <w:szCs w:val="18"/>
                    </w:rPr>
                  </w:pPr>
                </w:p>
              </w:tc>
            </w:tr>
            <w:tr w14:paraId="638D1D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83" w:type="pct"/>
                  <w:shd w:val="clear" w:color="auto" w:fill="auto"/>
                  <w:vAlign w:val="center"/>
                </w:tcPr>
                <w:p w14:paraId="348EF2B1">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138</w:t>
                  </w:r>
                </w:p>
              </w:tc>
              <w:tc>
                <w:tcPr>
                  <w:tcW w:w="876" w:type="pct"/>
                  <w:vAlign w:val="center"/>
                </w:tcPr>
                <w:p w14:paraId="7B9316C5">
                  <w:pPr>
                    <w:jc w:val="center"/>
                    <w:rPr>
                      <w:sz w:val="18"/>
                      <w:szCs w:val="18"/>
                    </w:rPr>
                  </w:pPr>
                  <w:r>
                    <w:rPr>
                      <w:rFonts w:hint="eastAsia"/>
                      <w:sz w:val="18"/>
                      <w:szCs w:val="18"/>
                      <w:lang w:val="en-US" w:eastAsia="zh-CN"/>
                    </w:rPr>
                    <w:t>初道</w:t>
                  </w:r>
                  <w:r>
                    <w:rPr>
                      <w:rFonts w:hint="eastAsia"/>
                      <w:sz w:val="18"/>
                      <w:szCs w:val="18"/>
                    </w:rPr>
                    <w:t>清洗废水</w:t>
                  </w:r>
                </w:p>
              </w:tc>
              <w:tc>
                <w:tcPr>
                  <w:tcW w:w="655" w:type="pct"/>
                  <w:vAlign w:val="center"/>
                </w:tcPr>
                <w:p w14:paraId="5CA6AA30">
                  <w:pPr>
                    <w:jc w:val="center"/>
                    <w:rPr>
                      <w:rFonts w:hint="eastAsia" w:eastAsia="宋体"/>
                      <w:sz w:val="18"/>
                      <w:szCs w:val="18"/>
                      <w:lang w:eastAsia="zh-CN"/>
                    </w:rPr>
                  </w:pPr>
                  <w:r>
                    <w:rPr>
                      <w:rFonts w:hint="eastAsia"/>
                      <w:sz w:val="18"/>
                      <w:szCs w:val="18"/>
                      <w:lang w:val="en-US" w:eastAsia="zh-CN"/>
                    </w:rPr>
                    <w:t>2</w:t>
                  </w:r>
                </w:p>
              </w:tc>
              <w:tc>
                <w:tcPr>
                  <w:tcW w:w="648" w:type="pct"/>
                  <w:vAlign w:val="center"/>
                </w:tcPr>
                <w:p w14:paraId="7483B7F4">
                  <w:pPr>
                    <w:pStyle w:val="88"/>
                    <w:adjustRightInd w:val="0"/>
                    <w:snapToGrid w:val="0"/>
                    <w:rPr>
                      <w:rFonts w:ascii="Times New Roman" w:hAnsi="Times New Roman" w:eastAsia="宋体"/>
                      <w:bCs/>
                      <w:sz w:val="18"/>
                      <w:szCs w:val="18"/>
                    </w:rPr>
                  </w:pPr>
                  <w:r>
                    <w:rPr>
                      <w:rFonts w:hint="eastAsia" w:ascii="Times New Roman" w:hAnsi="Times New Roman" w:eastAsia="宋体"/>
                      <w:bCs/>
                      <w:sz w:val="18"/>
                      <w:szCs w:val="18"/>
                    </w:rPr>
                    <w:t>加盖密闭</w:t>
                  </w:r>
                </w:p>
              </w:tc>
              <w:tc>
                <w:tcPr>
                  <w:tcW w:w="630" w:type="pct"/>
                  <w:vAlign w:val="center"/>
                </w:tcPr>
                <w:p w14:paraId="06C92084">
                  <w:pPr>
                    <w:jc w:val="center"/>
                    <w:rPr>
                      <w:rFonts w:hint="eastAsia" w:eastAsia="宋体"/>
                      <w:sz w:val="18"/>
                      <w:szCs w:val="18"/>
                      <w:lang w:eastAsia="zh-CN"/>
                    </w:rPr>
                  </w:pPr>
                  <w:r>
                    <w:rPr>
                      <w:rFonts w:hint="eastAsia"/>
                      <w:sz w:val="18"/>
                      <w:szCs w:val="18"/>
                      <w:lang w:val="en-US" w:eastAsia="zh-CN"/>
                    </w:rPr>
                    <w:t>2</w:t>
                  </w:r>
                </w:p>
              </w:tc>
              <w:tc>
                <w:tcPr>
                  <w:tcW w:w="623" w:type="pct"/>
                  <w:vAlign w:val="center"/>
                </w:tcPr>
                <w:p w14:paraId="4A678051">
                  <w:pPr>
                    <w:jc w:val="center"/>
                    <w:rPr>
                      <w:sz w:val="18"/>
                      <w:szCs w:val="18"/>
                    </w:rPr>
                  </w:pPr>
                  <w:r>
                    <w:rPr>
                      <w:sz w:val="18"/>
                      <w:szCs w:val="18"/>
                    </w:rPr>
                    <w:t>50</w:t>
                  </w:r>
                </w:p>
              </w:tc>
              <w:tc>
                <w:tcPr>
                  <w:tcW w:w="647" w:type="pct"/>
                  <w:vAlign w:val="center"/>
                </w:tcPr>
                <w:p w14:paraId="0C0C181C">
                  <w:pPr>
                    <w:widowControl/>
                    <w:jc w:val="center"/>
                    <w:textAlignment w:val="center"/>
                    <w:rPr>
                      <w:rFonts w:hint="eastAsia" w:eastAsia="等线"/>
                      <w:sz w:val="18"/>
                      <w:szCs w:val="18"/>
                      <w:lang w:eastAsia="zh-CN"/>
                    </w:rPr>
                  </w:pPr>
                  <w:r>
                    <w:rPr>
                      <w:rFonts w:hint="eastAsia" w:eastAsia="等线"/>
                      <w:sz w:val="18"/>
                      <w:szCs w:val="18"/>
                    </w:rPr>
                    <w:t>0.0</w:t>
                  </w:r>
                  <w:r>
                    <w:rPr>
                      <w:rFonts w:hint="eastAsia" w:eastAsia="等线"/>
                      <w:sz w:val="18"/>
                      <w:szCs w:val="18"/>
                      <w:lang w:val="en-US" w:eastAsia="zh-CN"/>
                    </w:rPr>
                    <w:t>4</w:t>
                  </w:r>
                </w:p>
              </w:tc>
              <w:tc>
                <w:tcPr>
                  <w:tcW w:w="735" w:type="pct"/>
                  <w:vMerge w:val="continue"/>
                  <w:tcBorders/>
                  <w:vAlign w:val="center"/>
                </w:tcPr>
                <w:p w14:paraId="55BAB459">
                  <w:pPr>
                    <w:adjustRightInd w:val="0"/>
                    <w:snapToGrid w:val="0"/>
                    <w:jc w:val="center"/>
                    <w:rPr>
                      <w:bCs/>
                      <w:sz w:val="18"/>
                      <w:szCs w:val="18"/>
                    </w:rPr>
                  </w:pPr>
                </w:p>
              </w:tc>
            </w:tr>
            <w:tr w14:paraId="5481CE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83" w:type="pct"/>
                  <w:shd w:val="clear" w:color="auto" w:fill="auto"/>
                  <w:vAlign w:val="center"/>
                </w:tcPr>
                <w:p w14:paraId="40CE8F11">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139</w:t>
                  </w:r>
                </w:p>
              </w:tc>
              <w:tc>
                <w:tcPr>
                  <w:tcW w:w="876" w:type="pct"/>
                  <w:vAlign w:val="center"/>
                </w:tcPr>
                <w:p w14:paraId="62DA4557">
                  <w:pPr>
                    <w:jc w:val="center"/>
                    <w:rPr>
                      <w:sz w:val="18"/>
                      <w:szCs w:val="18"/>
                    </w:rPr>
                  </w:pPr>
                  <w:r>
                    <w:rPr>
                      <w:rFonts w:hint="eastAsia"/>
                      <w:sz w:val="18"/>
                      <w:szCs w:val="18"/>
                    </w:rPr>
                    <w:t>喷淋废液</w:t>
                  </w:r>
                </w:p>
              </w:tc>
              <w:tc>
                <w:tcPr>
                  <w:tcW w:w="655" w:type="pct"/>
                  <w:vAlign w:val="center"/>
                </w:tcPr>
                <w:p w14:paraId="03AFCDCF">
                  <w:pPr>
                    <w:jc w:val="center"/>
                    <w:rPr>
                      <w:sz w:val="18"/>
                      <w:szCs w:val="18"/>
                    </w:rPr>
                  </w:pPr>
                  <w:r>
                    <w:rPr>
                      <w:rFonts w:hint="eastAsia"/>
                      <w:sz w:val="18"/>
                      <w:szCs w:val="18"/>
                    </w:rPr>
                    <w:t>0.4</w:t>
                  </w:r>
                </w:p>
              </w:tc>
              <w:tc>
                <w:tcPr>
                  <w:tcW w:w="648" w:type="pct"/>
                  <w:vAlign w:val="center"/>
                </w:tcPr>
                <w:p w14:paraId="7C50F2E0">
                  <w:pPr>
                    <w:pStyle w:val="88"/>
                    <w:adjustRightInd w:val="0"/>
                    <w:snapToGrid w:val="0"/>
                    <w:rPr>
                      <w:rFonts w:ascii="Times New Roman" w:hAnsi="Times New Roman" w:eastAsia="宋体"/>
                      <w:bCs/>
                      <w:sz w:val="18"/>
                      <w:szCs w:val="18"/>
                    </w:rPr>
                  </w:pPr>
                  <w:r>
                    <w:rPr>
                      <w:rFonts w:hint="eastAsia" w:ascii="Times New Roman" w:hAnsi="Times New Roman" w:eastAsia="宋体"/>
                      <w:bCs/>
                      <w:sz w:val="18"/>
                      <w:szCs w:val="18"/>
                    </w:rPr>
                    <w:t>加盖密闭</w:t>
                  </w:r>
                </w:p>
              </w:tc>
              <w:tc>
                <w:tcPr>
                  <w:tcW w:w="630" w:type="pct"/>
                  <w:vAlign w:val="center"/>
                </w:tcPr>
                <w:p w14:paraId="157550F1">
                  <w:pPr>
                    <w:jc w:val="center"/>
                    <w:rPr>
                      <w:sz w:val="18"/>
                      <w:szCs w:val="18"/>
                    </w:rPr>
                  </w:pPr>
                  <w:r>
                    <w:rPr>
                      <w:rFonts w:hint="eastAsia"/>
                      <w:sz w:val="18"/>
                      <w:szCs w:val="18"/>
                    </w:rPr>
                    <w:t>0.4</w:t>
                  </w:r>
                </w:p>
              </w:tc>
              <w:tc>
                <w:tcPr>
                  <w:tcW w:w="623" w:type="pct"/>
                  <w:vAlign w:val="center"/>
                </w:tcPr>
                <w:p w14:paraId="65C62012">
                  <w:pPr>
                    <w:jc w:val="center"/>
                    <w:rPr>
                      <w:sz w:val="18"/>
                      <w:szCs w:val="18"/>
                    </w:rPr>
                  </w:pPr>
                  <w:r>
                    <w:rPr>
                      <w:sz w:val="18"/>
                      <w:szCs w:val="18"/>
                    </w:rPr>
                    <w:t>50</w:t>
                  </w:r>
                </w:p>
              </w:tc>
              <w:tc>
                <w:tcPr>
                  <w:tcW w:w="647" w:type="pct"/>
                  <w:vAlign w:val="center"/>
                </w:tcPr>
                <w:p w14:paraId="6A065C44">
                  <w:pPr>
                    <w:widowControl/>
                    <w:jc w:val="center"/>
                    <w:textAlignment w:val="center"/>
                    <w:rPr>
                      <w:rFonts w:eastAsia="等线"/>
                      <w:sz w:val="18"/>
                      <w:szCs w:val="18"/>
                    </w:rPr>
                  </w:pPr>
                  <w:r>
                    <w:rPr>
                      <w:rFonts w:hint="eastAsia" w:eastAsia="等线"/>
                      <w:sz w:val="18"/>
                      <w:szCs w:val="18"/>
                    </w:rPr>
                    <w:t>0.008</w:t>
                  </w:r>
                </w:p>
              </w:tc>
              <w:tc>
                <w:tcPr>
                  <w:tcW w:w="735" w:type="pct"/>
                  <w:vMerge w:val="continue"/>
                  <w:tcBorders/>
                  <w:vAlign w:val="center"/>
                </w:tcPr>
                <w:p w14:paraId="0C24863B">
                  <w:pPr>
                    <w:adjustRightInd w:val="0"/>
                    <w:snapToGrid w:val="0"/>
                    <w:jc w:val="center"/>
                    <w:rPr>
                      <w:bCs/>
                      <w:sz w:val="18"/>
                      <w:szCs w:val="18"/>
                    </w:rPr>
                  </w:pPr>
                </w:p>
              </w:tc>
            </w:tr>
            <w:tr w14:paraId="1EDF6F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83" w:type="pct"/>
                  <w:shd w:val="clear" w:color="auto" w:fill="auto"/>
                  <w:vAlign w:val="center"/>
                </w:tcPr>
                <w:p w14:paraId="166EC3C3">
                  <w:pPr>
                    <w:widowControl/>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140</w:t>
                  </w:r>
                </w:p>
              </w:tc>
              <w:tc>
                <w:tcPr>
                  <w:tcW w:w="876" w:type="pct"/>
                  <w:vAlign w:val="center"/>
                </w:tcPr>
                <w:p w14:paraId="3258D932">
                  <w:pPr>
                    <w:pStyle w:val="55"/>
                    <w:spacing w:before="24" w:after="24"/>
                    <w:rPr>
                      <w:bCs/>
                      <w:kern w:val="2"/>
                      <w:sz w:val="18"/>
                      <w:szCs w:val="18"/>
                    </w:rPr>
                  </w:pPr>
                  <w:r>
                    <w:rPr>
                      <w:rFonts w:hint="eastAsia"/>
                      <w:bCs/>
                      <w:kern w:val="2"/>
                      <w:sz w:val="18"/>
                      <w:szCs w:val="18"/>
                    </w:rPr>
                    <w:t>废实验耗材</w:t>
                  </w:r>
                </w:p>
              </w:tc>
              <w:tc>
                <w:tcPr>
                  <w:tcW w:w="655" w:type="pct"/>
                  <w:vAlign w:val="center"/>
                </w:tcPr>
                <w:p w14:paraId="15912656">
                  <w:pPr>
                    <w:jc w:val="center"/>
                    <w:rPr>
                      <w:sz w:val="18"/>
                      <w:szCs w:val="18"/>
                    </w:rPr>
                  </w:pPr>
                  <w:r>
                    <w:rPr>
                      <w:rFonts w:hint="eastAsia"/>
                      <w:sz w:val="18"/>
                      <w:szCs w:val="18"/>
                    </w:rPr>
                    <w:t>0.1</w:t>
                  </w:r>
                </w:p>
              </w:tc>
              <w:tc>
                <w:tcPr>
                  <w:tcW w:w="648" w:type="pct"/>
                  <w:vAlign w:val="center"/>
                </w:tcPr>
                <w:p w14:paraId="7C787C8B">
                  <w:pPr>
                    <w:pStyle w:val="88"/>
                    <w:adjustRightInd w:val="0"/>
                    <w:snapToGrid w:val="0"/>
                    <w:rPr>
                      <w:rFonts w:ascii="Times New Roman" w:hAnsi="Times New Roman" w:eastAsia="宋体"/>
                      <w:bCs/>
                      <w:sz w:val="18"/>
                      <w:szCs w:val="18"/>
                    </w:rPr>
                  </w:pPr>
                  <w:r>
                    <w:rPr>
                      <w:rFonts w:ascii="Times New Roman" w:hAnsi="Times New Roman" w:eastAsia="宋体"/>
                      <w:bCs/>
                      <w:sz w:val="18"/>
                      <w:szCs w:val="18"/>
                    </w:rPr>
                    <w:t>密封袋装</w:t>
                  </w:r>
                </w:p>
              </w:tc>
              <w:tc>
                <w:tcPr>
                  <w:tcW w:w="630" w:type="pct"/>
                  <w:vAlign w:val="center"/>
                </w:tcPr>
                <w:p w14:paraId="354ECF64">
                  <w:pPr>
                    <w:jc w:val="center"/>
                    <w:rPr>
                      <w:sz w:val="18"/>
                      <w:szCs w:val="18"/>
                    </w:rPr>
                  </w:pPr>
                  <w:r>
                    <w:rPr>
                      <w:rFonts w:hint="eastAsia"/>
                      <w:sz w:val="18"/>
                      <w:szCs w:val="18"/>
                    </w:rPr>
                    <w:t>0.1</w:t>
                  </w:r>
                </w:p>
              </w:tc>
              <w:tc>
                <w:tcPr>
                  <w:tcW w:w="623" w:type="pct"/>
                  <w:vAlign w:val="center"/>
                </w:tcPr>
                <w:p w14:paraId="2B770293">
                  <w:pPr>
                    <w:jc w:val="center"/>
                    <w:rPr>
                      <w:sz w:val="18"/>
                      <w:szCs w:val="18"/>
                    </w:rPr>
                  </w:pPr>
                  <w:r>
                    <w:rPr>
                      <w:sz w:val="18"/>
                      <w:szCs w:val="18"/>
                    </w:rPr>
                    <w:t>50</w:t>
                  </w:r>
                </w:p>
              </w:tc>
              <w:tc>
                <w:tcPr>
                  <w:tcW w:w="647" w:type="pct"/>
                  <w:vAlign w:val="center"/>
                </w:tcPr>
                <w:p w14:paraId="0FAA93AD">
                  <w:pPr>
                    <w:widowControl/>
                    <w:jc w:val="center"/>
                    <w:textAlignment w:val="center"/>
                    <w:rPr>
                      <w:rFonts w:eastAsia="等线"/>
                      <w:sz w:val="18"/>
                      <w:szCs w:val="18"/>
                    </w:rPr>
                  </w:pPr>
                  <w:r>
                    <w:rPr>
                      <w:rFonts w:hint="eastAsia" w:eastAsia="等线"/>
                      <w:sz w:val="18"/>
                      <w:szCs w:val="18"/>
                    </w:rPr>
                    <w:t>0.002</w:t>
                  </w:r>
                </w:p>
              </w:tc>
              <w:tc>
                <w:tcPr>
                  <w:tcW w:w="735" w:type="pct"/>
                  <w:vMerge w:val="continue"/>
                  <w:tcBorders/>
                  <w:vAlign w:val="center"/>
                </w:tcPr>
                <w:p w14:paraId="1DF01842">
                  <w:pPr>
                    <w:adjustRightInd w:val="0"/>
                    <w:snapToGrid w:val="0"/>
                    <w:jc w:val="center"/>
                    <w:rPr>
                      <w:bCs/>
                      <w:sz w:val="18"/>
                      <w:szCs w:val="18"/>
                    </w:rPr>
                  </w:pPr>
                </w:p>
              </w:tc>
            </w:tr>
            <w:tr w14:paraId="278AB5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3" w:type="pct"/>
                  <w:shd w:val="clear" w:color="auto" w:fill="auto"/>
                  <w:vAlign w:val="center"/>
                </w:tcPr>
                <w:p w14:paraId="11FEB8A5">
                  <w:pPr>
                    <w:widowControl/>
                    <w:jc w:val="center"/>
                    <w:textAlignment w:val="center"/>
                    <w:rPr>
                      <w:rFonts w:hint="default" w:eastAsia="宋体"/>
                      <w:kern w:val="0"/>
                      <w:sz w:val="18"/>
                      <w:szCs w:val="18"/>
                      <w:lang w:val="en-US" w:eastAsia="zh-CN" w:bidi="ar"/>
                    </w:rPr>
                  </w:pPr>
                  <w:r>
                    <w:rPr>
                      <w:rFonts w:hint="eastAsia"/>
                      <w:kern w:val="0"/>
                      <w:sz w:val="18"/>
                      <w:szCs w:val="18"/>
                      <w:lang w:val="en-US" w:eastAsia="zh-CN" w:bidi="ar"/>
                    </w:rPr>
                    <w:t>141</w:t>
                  </w:r>
                </w:p>
              </w:tc>
              <w:tc>
                <w:tcPr>
                  <w:tcW w:w="876" w:type="pct"/>
                  <w:vAlign w:val="center"/>
                </w:tcPr>
                <w:p w14:paraId="30347C9F">
                  <w:pPr>
                    <w:pStyle w:val="55"/>
                    <w:spacing w:before="24" w:after="24"/>
                    <w:rPr>
                      <w:rFonts w:hint="default" w:eastAsia="宋体"/>
                      <w:bCs/>
                      <w:kern w:val="2"/>
                      <w:sz w:val="18"/>
                      <w:szCs w:val="18"/>
                      <w:lang w:val="en-US" w:eastAsia="zh-CN"/>
                    </w:rPr>
                  </w:pPr>
                  <w:r>
                    <w:rPr>
                      <w:rFonts w:hint="eastAsia"/>
                      <w:bCs/>
                      <w:kern w:val="2"/>
                      <w:sz w:val="18"/>
                      <w:szCs w:val="18"/>
                      <w:lang w:val="en-US" w:eastAsia="zh-CN"/>
                    </w:rPr>
                    <w:t>废水处理污泥</w:t>
                  </w:r>
                </w:p>
              </w:tc>
              <w:tc>
                <w:tcPr>
                  <w:tcW w:w="655" w:type="pct"/>
                  <w:shd w:val="clear"/>
                  <w:vAlign w:val="center"/>
                </w:tcPr>
                <w:p w14:paraId="6A5EC5F5">
                  <w:pPr>
                    <w:jc w:val="center"/>
                    <w:rPr>
                      <w:rFonts w:hint="eastAsia" w:ascii="Times New Roman" w:hAnsi="Times New Roman" w:eastAsia="宋体" w:cs="Times New Roman"/>
                      <w:kern w:val="2"/>
                      <w:sz w:val="18"/>
                      <w:szCs w:val="18"/>
                      <w:lang w:val="en-US" w:eastAsia="zh-CN" w:bidi="ar-SA"/>
                    </w:rPr>
                  </w:pPr>
                  <w:r>
                    <w:rPr>
                      <w:rFonts w:hint="eastAsia"/>
                      <w:sz w:val="18"/>
                      <w:szCs w:val="18"/>
                    </w:rPr>
                    <w:t>0.1</w:t>
                  </w:r>
                </w:p>
              </w:tc>
              <w:tc>
                <w:tcPr>
                  <w:tcW w:w="648" w:type="pct"/>
                  <w:shd w:val="clear"/>
                  <w:vAlign w:val="center"/>
                </w:tcPr>
                <w:p w14:paraId="4CE789FA">
                  <w:pPr>
                    <w:pStyle w:val="88"/>
                    <w:adjustRightInd w:val="0"/>
                    <w:snapToGrid w:val="0"/>
                    <w:rPr>
                      <w:rFonts w:ascii="Times New Roman" w:hAnsi="Times New Roman" w:eastAsia="宋体" w:cs="Times New Roman"/>
                      <w:bCs/>
                      <w:kern w:val="0"/>
                      <w:sz w:val="18"/>
                      <w:szCs w:val="18"/>
                      <w:lang w:val="en-US" w:eastAsia="zh-CN" w:bidi="ar-SA"/>
                    </w:rPr>
                  </w:pPr>
                  <w:r>
                    <w:rPr>
                      <w:rFonts w:ascii="Times New Roman" w:hAnsi="Times New Roman" w:eastAsia="宋体"/>
                      <w:bCs/>
                      <w:sz w:val="18"/>
                      <w:szCs w:val="18"/>
                    </w:rPr>
                    <w:t>密封袋装</w:t>
                  </w:r>
                </w:p>
              </w:tc>
              <w:tc>
                <w:tcPr>
                  <w:tcW w:w="630" w:type="pct"/>
                  <w:shd w:val="clear"/>
                  <w:vAlign w:val="center"/>
                </w:tcPr>
                <w:p w14:paraId="6E77F20E">
                  <w:pPr>
                    <w:jc w:val="center"/>
                    <w:rPr>
                      <w:rFonts w:hint="eastAsia" w:ascii="Times New Roman" w:hAnsi="Times New Roman" w:eastAsia="宋体" w:cs="Times New Roman"/>
                      <w:kern w:val="2"/>
                      <w:sz w:val="18"/>
                      <w:szCs w:val="18"/>
                      <w:lang w:val="en-US" w:eastAsia="zh-CN" w:bidi="ar-SA"/>
                    </w:rPr>
                  </w:pPr>
                  <w:r>
                    <w:rPr>
                      <w:rFonts w:hint="eastAsia"/>
                      <w:sz w:val="18"/>
                      <w:szCs w:val="18"/>
                    </w:rPr>
                    <w:t>0.1</w:t>
                  </w:r>
                </w:p>
              </w:tc>
              <w:tc>
                <w:tcPr>
                  <w:tcW w:w="623" w:type="pct"/>
                  <w:shd w:val="clear"/>
                  <w:vAlign w:val="center"/>
                </w:tcPr>
                <w:p w14:paraId="1ED18F4B">
                  <w:pPr>
                    <w:jc w:val="center"/>
                    <w:rPr>
                      <w:rFonts w:ascii="Times New Roman" w:hAnsi="Times New Roman" w:eastAsia="宋体" w:cs="Times New Roman"/>
                      <w:kern w:val="2"/>
                      <w:sz w:val="18"/>
                      <w:szCs w:val="18"/>
                      <w:lang w:val="en-US" w:eastAsia="zh-CN" w:bidi="ar-SA"/>
                    </w:rPr>
                  </w:pPr>
                  <w:r>
                    <w:rPr>
                      <w:sz w:val="18"/>
                      <w:szCs w:val="18"/>
                    </w:rPr>
                    <w:t>50</w:t>
                  </w:r>
                </w:p>
              </w:tc>
              <w:tc>
                <w:tcPr>
                  <w:tcW w:w="647" w:type="pct"/>
                  <w:shd w:val="clear"/>
                  <w:vAlign w:val="center"/>
                </w:tcPr>
                <w:p w14:paraId="013854E3">
                  <w:pPr>
                    <w:widowControl/>
                    <w:jc w:val="center"/>
                    <w:textAlignment w:val="center"/>
                    <w:rPr>
                      <w:rFonts w:hint="eastAsia" w:ascii="Times New Roman" w:hAnsi="Times New Roman" w:eastAsia="等线" w:cs="Times New Roman"/>
                      <w:kern w:val="2"/>
                      <w:sz w:val="18"/>
                      <w:szCs w:val="18"/>
                      <w:lang w:val="en-US" w:eastAsia="zh-CN" w:bidi="ar-SA"/>
                    </w:rPr>
                  </w:pPr>
                  <w:r>
                    <w:rPr>
                      <w:rFonts w:hint="eastAsia" w:eastAsia="等线"/>
                      <w:sz w:val="18"/>
                      <w:szCs w:val="18"/>
                    </w:rPr>
                    <w:t>0.002</w:t>
                  </w:r>
                </w:p>
              </w:tc>
              <w:tc>
                <w:tcPr>
                  <w:tcW w:w="735" w:type="pct"/>
                  <w:vMerge w:val="continue"/>
                  <w:tcBorders/>
                  <w:vAlign w:val="center"/>
                </w:tcPr>
                <w:p w14:paraId="5ED3C04D">
                  <w:pPr>
                    <w:adjustRightInd w:val="0"/>
                    <w:snapToGrid w:val="0"/>
                    <w:jc w:val="center"/>
                    <w:rPr>
                      <w:bCs/>
                      <w:sz w:val="18"/>
                      <w:szCs w:val="18"/>
                    </w:rPr>
                  </w:pPr>
                </w:p>
              </w:tc>
            </w:tr>
            <w:tr w14:paraId="1226A6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3" w:type="pct"/>
                  <w:shd w:val="clear" w:color="auto" w:fill="auto"/>
                  <w:vAlign w:val="center"/>
                </w:tcPr>
                <w:p w14:paraId="4B9EA1B1">
                  <w:pPr>
                    <w:widowControl/>
                    <w:jc w:val="center"/>
                    <w:textAlignment w:val="center"/>
                    <w:rPr>
                      <w:rFonts w:hint="default" w:eastAsia="宋体"/>
                      <w:kern w:val="0"/>
                      <w:sz w:val="18"/>
                      <w:szCs w:val="18"/>
                      <w:lang w:val="en-US" w:eastAsia="zh-CN" w:bidi="ar"/>
                    </w:rPr>
                  </w:pPr>
                  <w:r>
                    <w:rPr>
                      <w:rFonts w:hint="eastAsia"/>
                      <w:kern w:val="0"/>
                      <w:sz w:val="18"/>
                      <w:szCs w:val="18"/>
                      <w:lang w:val="en-US" w:eastAsia="zh-CN" w:bidi="ar"/>
                    </w:rPr>
                    <w:t>142</w:t>
                  </w:r>
                </w:p>
              </w:tc>
              <w:tc>
                <w:tcPr>
                  <w:tcW w:w="876" w:type="pct"/>
                  <w:vAlign w:val="center"/>
                </w:tcPr>
                <w:p w14:paraId="627716E9">
                  <w:pPr>
                    <w:pStyle w:val="55"/>
                    <w:spacing w:before="24" w:after="24"/>
                    <w:rPr>
                      <w:rFonts w:hint="eastAsia"/>
                      <w:bCs/>
                      <w:kern w:val="2"/>
                      <w:sz w:val="18"/>
                      <w:szCs w:val="18"/>
                    </w:rPr>
                  </w:pPr>
                  <w:r>
                    <w:rPr>
                      <w:rFonts w:hint="eastAsia"/>
                      <w:bCs/>
                      <w:kern w:val="2"/>
                      <w:sz w:val="18"/>
                      <w:szCs w:val="18"/>
                    </w:rPr>
                    <w:t>废过滤介质</w:t>
                  </w:r>
                </w:p>
              </w:tc>
              <w:tc>
                <w:tcPr>
                  <w:tcW w:w="655" w:type="pct"/>
                  <w:shd w:val="clear"/>
                  <w:vAlign w:val="center"/>
                </w:tcPr>
                <w:p w14:paraId="7C8BA86B">
                  <w:pPr>
                    <w:jc w:val="center"/>
                    <w:rPr>
                      <w:rFonts w:hint="eastAsia" w:ascii="Times New Roman" w:hAnsi="Times New Roman" w:eastAsia="宋体" w:cs="Times New Roman"/>
                      <w:kern w:val="2"/>
                      <w:sz w:val="18"/>
                      <w:szCs w:val="18"/>
                      <w:lang w:val="en-US" w:eastAsia="zh-CN" w:bidi="ar-SA"/>
                    </w:rPr>
                  </w:pPr>
                  <w:r>
                    <w:rPr>
                      <w:rFonts w:hint="eastAsia"/>
                      <w:sz w:val="18"/>
                      <w:szCs w:val="18"/>
                    </w:rPr>
                    <w:t>0.1</w:t>
                  </w:r>
                </w:p>
              </w:tc>
              <w:tc>
                <w:tcPr>
                  <w:tcW w:w="648" w:type="pct"/>
                  <w:shd w:val="clear"/>
                  <w:vAlign w:val="center"/>
                </w:tcPr>
                <w:p w14:paraId="5A0D373C">
                  <w:pPr>
                    <w:pStyle w:val="88"/>
                    <w:adjustRightInd w:val="0"/>
                    <w:snapToGrid w:val="0"/>
                    <w:rPr>
                      <w:rFonts w:ascii="Times New Roman" w:hAnsi="Times New Roman" w:eastAsia="宋体" w:cs="Times New Roman"/>
                      <w:bCs/>
                      <w:kern w:val="0"/>
                      <w:sz w:val="18"/>
                      <w:szCs w:val="18"/>
                      <w:lang w:val="en-US" w:eastAsia="zh-CN" w:bidi="ar-SA"/>
                    </w:rPr>
                  </w:pPr>
                  <w:r>
                    <w:rPr>
                      <w:rFonts w:ascii="Times New Roman" w:hAnsi="Times New Roman" w:eastAsia="宋体"/>
                      <w:bCs/>
                      <w:sz w:val="18"/>
                      <w:szCs w:val="18"/>
                    </w:rPr>
                    <w:t>密封袋装</w:t>
                  </w:r>
                </w:p>
              </w:tc>
              <w:tc>
                <w:tcPr>
                  <w:tcW w:w="630" w:type="pct"/>
                  <w:shd w:val="clear"/>
                  <w:vAlign w:val="center"/>
                </w:tcPr>
                <w:p w14:paraId="1DA84D61">
                  <w:pPr>
                    <w:jc w:val="center"/>
                    <w:rPr>
                      <w:rFonts w:hint="eastAsia" w:ascii="Times New Roman" w:hAnsi="Times New Roman" w:eastAsia="宋体" w:cs="Times New Roman"/>
                      <w:kern w:val="2"/>
                      <w:sz w:val="18"/>
                      <w:szCs w:val="18"/>
                      <w:lang w:val="en-US" w:eastAsia="zh-CN" w:bidi="ar-SA"/>
                    </w:rPr>
                  </w:pPr>
                  <w:r>
                    <w:rPr>
                      <w:rFonts w:hint="eastAsia"/>
                      <w:sz w:val="18"/>
                      <w:szCs w:val="18"/>
                    </w:rPr>
                    <w:t>0.1</w:t>
                  </w:r>
                </w:p>
              </w:tc>
              <w:tc>
                <w:tcPr>
                  <w:tcW w:w="623" w:type="pct"/>
                  <w:shd w:val="clear"/>
                  <w:vAlign w:val="center"/>
                </w:tcPr>
                <w:p w14:paraId="1E928E1E">
                  <w:pPr>
                    <w:jc w:val="center"/>
                    <w:rPr>
                      <w:rFonts w:ascii="Times New Roman" w:hAnsi="Times New Roman" w:eastAsia="宋体" w:cs="Times New Roman"/>
                      <w:kern w:val="2"/>
                      <w:sz w:val="18"/>
                      <w:szCs w:val="18"/>
                      <w:lang w:val="en-US" w:eastAsia="zh-CN" w:bidi="ar-SA"/>
                    </w:rPr>
                  </w:pPr>
                  <w:r>
                    <w:rPr>
                      <w:sz w:val="18"/>
                      <w:szCs w:val="18"/>
                    </w:rPr>
                    <w:t>50</w:t>
                  </w:r>
                </w:p>
              </w:tc>
              <w:tc>
                <w:tcPr>
                  <w:tcW w:w="647" w:type="pct"/>
                  <w:shd w:val="clear"/>
                  <w:vAlign w:val="center"/>
                </w:tcPr>
                <w:p w14:paraId="43DFE3E1">
                  <w:pPr>
                    <w:widowControl/>
                    <w:jc w:val="center"/>
                    <w:textAlignment w:val="center"/>
                    <w:rPr>
                      <w:rFonts w:hint="eastAsia" w:ascii="Times New Roman" w:hAnsi="Times New Roman" w:eastAsia="等线" w:cs="Times New Roman"/>
                      <w:kern w:val="2"/>
                      <w:sz w:val="18"/>
                      <w:szCs w:val="18"/>
                      <w:lang w:val="en-US" w:eastAsia="zh-CN" w:bidi="ar-SA"/>
                    </w:rPr>
                  </w:pPr>
                  <w:r>
                    <w:rPr>
                      <w:rFonts w:hint="eastAsia" w:eastAsia="等线"/>
                      <w:sz w:val="18"/>
                      <w:szCs w:val="18"/>
                    </w:rPr>
                    <w:t>0.002</w:t>
                  </w:r>
                </w:p>
              </w:tc>
              <w:tc>
                <w:tcPr>
                  <w:tcW w:w="735" w:type="pct"/>
                  <w:vMerge w:val="continue"/>
                  <w:tcBorders/>
                  <w:vAlign w:val="center"/>
                </w:tcPr>
                <w:p w14:paraId="05A6A0F0">
                  <w:pPr>
                    <w:adjustRightInd w:val="0"/>
                    <w:snapToGrid w:val="0"/>
                    <w:jc w:val="center"/>
                    <w:rPr>
                      <w:bCs/>
                      <w:sz w:val="18"/>
                      <w:szCs w:val="18"/>
                    </w:rPr>
                  </w:pPr>
                </w:p>
              </w:tc>
            </w:tr>
            <w:tr w14:paraId="51AA81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17" w:type="pct"/>
                  <w:gridSpan w:val="6"/>
                  <w:vAlign w:val="center"/>
                </w:tcPr>
                <w:p w14:paraId="7CC90F54">
                  <w:pPr>
                    <w:jc w:val="center"/>
                    <w:rPr>
                      <w:sz w:val="18"/>
                      <w:szCs w:val="18"/>
                    </w:rPr>
                  </w:pPr>
                  <w:r>
                    <w:rPr>
                      <w:sz w:val="18"/>
                      <w:szCs w:val="18"/>
                    </w:rPr>
                    <w:t>合计</w:t>
                  </w:r>
                </w:p>
              </w:tc>
              <w:tc>
                <w:tcPr>
                  <w:tcW w:w="647" w:type="pct"/>
                  <w:vAlign w:val="center"/>
                </w:tcPr>
                <w:p w14:paraId="485E060C">
                  <w:pPr>
                    <w:widowControl/>
                    <w:jc w:val="center"/>
                    <w:rPr>
                      <w:rFonts w:hint="default" w:eastAsia="等线"/>
                      <w:kern w:val="0"/>
                      <w:sz w:val="18"/>
                      <w:szCs w:val="18"/>
                      <w:lang w:val="en-US" w:eastAsia="zh-CN"/>
                    </w:rPr>
                  </w:pPr>
                  <w:r>
                    <w:rPr>
                      <w:rFonts w:hint="eastAsia" w:eastAsia="等线"/>
                      <w:kern w:val="0"/>
                      <w:sz w:val="18"/>
                      <w:szCs w:val="18"/>
                    </w:rPr>
                    <w:t>0.</w:t>
                  </w:r>
                  <w:r>
                    <w:rPr>
                      <w:rFonts w:hint="eastAsia" w:eastAsia="等线"/>
                      <w:kern w:val="0"/>
                      <w:sz w:val="18"/>
                      <w:szCs w:val="18"/>
                      <w:lang w:val="en-US" w:eastAsia="zh-CN"/>
                    </w:rPr>
                    <w:t>122</w:t>
                  </w:r>
                </w:p>
              </w:tc>
              <w:tc>
                <w:tcPr>
                  <w:tcW w:w="735" w:type="pct"/>
                  <w:vAlign w:val="center"/>
                </w:tcPr>
                <w:p w14:paraId="5A1AD000">
                  <w:pPr>
                    <w:adjustRightInd w:val="0"/>
                    <w:snapToGrid w:val="0"/>
                    <w:jc w:val="center"/>
                    <w:rPr>
                      <w:bCs/>
                      <w:sz w:val="18"/>
                      <w:szCs w:val="18"/>
                    </w:rPr>
                  </w:pPr>
                  <w:r>
                    <w:rPr>
                      <w:bCs/>
                      <w:sz w:val="18"/>
                      <w:szCs w:val="18"/>
                    </w:rPr>
                    <w:t>/</w:t>
                  </w:r>
                </w:p>
              </w:tc>
            </w:tr>
          </w:tbl>
          <w:p w14:paraId="1534A60B">
            <w:pPr>
              <w:spacing w:line="276" w:lineRule="auto"/>
              <w:ind w:firstLine="361" w:firstLineChars="200"/>
              <w:rPr>
                <w:b/>
                <w:sz w:val="18"/>
                <w:szCs w:val="18"/>
              </w:rPr>
            </w:pPr>
            <w:r>
              <w:rPr>
                <w:b/>
                <w:sz w:val="18"/>
                <w:szCs w:val="18"/>
              </w:rPr>
              <w:t>注：</w:t>
            </w:r>
            <w:r>
              <w:rPr>
                <w:rFonts w:hint="eastAsia"/>
                <w:b/>
                <w:sz w:val="18"/>
                <w:szCs w:val="18"/>
              </w:rPr>
              <w:t>不在名录内的原料、</w:t>
            </w:r>
            <w:r>
              <w:rPr>
                <w:b/>
                <w:sz w:val="18"/>
                <w:szCs w:val="18"/>
              </w:rPr>
              <w:t>危险废物临界值参考“健康危险急性毒性物质（类别2，类别3）”计，临界量为50t。</w:t>
            </w:r>
          </w:p>
          <w:p w14:paraId="1FD2AD3E">
            <w:pPr>
              <w:adjustRightInd w:val="0"/>
              <w:snapToGrid w:val="0"/>
              <w:spacing w:before="120" w:line="360" w:lineRule="auto"/>
              <w:ind w:firstLine="420" w:firstLineChars="200"/>
              <w:rPr>
                <w:szCs w:val="21"/>
              </w:rPr>
            </w:pPr>
            <w:r>
              <w:rPr>
                <w:szCs w:val="21"/>
              </w:rPr>
              <w:t>（2）环境风险识别</w:t>
            </w:r>
          </w:p>
          <w:p w14:paraId="704CF4AB">
            <w:pPr>
              <w:adjustRightInd w:val="0"/>
              <w:snapToGrid w:val="0"/>
              <w:spacing w:line="360" w:lineRule="auto"/>
              <w:ind w:firstLine="420" w:firstLineChars="200"/>
              <w:rPr>
                <w:szCs w:val="21"/>
              </w:rPr>
            </w:pPr>
            <w:r>
              <w:rPr>
                <w:szCs w:val="21"/>
              </w:rPr>
              <w:t>本项目主要环境风险识别见下</w:t>
            </w:r>
            <w:r>
              <w:rPr>
                <w:szCs w:val="21"/>
              </w:rPr>
              <w:fldChar w:fldCharType="begin"/>
            </w:r>
            <w:r>
              <w:rPr>
                <w:szCs w:val="21"/>
              </w:rPr>
              <w:instrText xml:space="preserve"> REF _Ref23151559 \h  \* MERGEFORMAT </w:instrText>
            </w:r>
            <w:r>
              <w:rPr>
                <w:szCs w:val="21"/>
              </w:rPr>
              <w:fldChar w:fldCharType="separate"/>
            </w:r>
            <w:r>
              <w:rPr>
                <w:szCs w:val="21"/>
              </w:rPr>
              <w:t>表</w:t>
            </w:r>
            <w:r>
              <w:rPr>
                <w:szCs w:val="21"/>
              </w:rPr>
              <w:fldChar w:fldCharType="end"/>
            </w:r>
            <w:r>
              <w:rPr>
                <w:szCs w:val="21"/>
              </w:rPr>
              <w:t>：</w:t>
            </w:r>
          </w:p>
          <w:p w14:paraId="5EB73EA3">
            <w:pPr>
              <w:adjustRightInd w:val="0"/>
              <w:snapToGrid w:val="0"/>
              <w:jc w:val="center"/>
              <w:rPr>
                <w:b/>
                <w:szCs w:val="21"/>
              </w:rPr>
            </w:pPr>
            <w:r>
              <w:rPr>
                <w:b/>
                <w:szCs w:val="21"/>
              </w:rPr>
              <w:t>表4-</w:t>
            </w:r>
            <w:r>
              <w:rPr>
                <w:rFonts w:hint="eastAsia"/>
                <w:b/>
                <w:szCs w:val="21"/>
              </w:rPr>
              <w:t>3</w:t>
            </w:r>
            <w:r>
              <w:rPr>
                <w:rFonts w:hint="eastAsia"/>
                <w:b/>
                <w:szCs w:val="21"/>
                <w:lang w:val="en-US" w:eastAsia="zh-CN"/>
              </w:rPr>
              <w:t>5</w:t>
            </w:r>
            <w:r>
              <w:rPr>
                <w:b/>
                <w:szCs w:val="21"/>
              </w:rPr>
              <w:t>本项目环境风险识别</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793"/>
              <w:gridCol w:w="1762"/>
              <w:gridCol w:w="3142"/>
              <w:gridCol w:w="3099"/>
            </w:tblGrid>
            <w:tr w14:paraId="48A2F3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793" w:type="dxa"/>
                  <w:vAlign w:val="center"/>
                </w:tcPr>
                <w:p w14:paraId="36EACF9A">
                  <w:pPr>
                    <w:adjustRightInd w:val="0"/>
                    <w:snapToGrid w:val="0"/>
                    <w:jc w:val="center"/>
                    <w:rPr>
                      <w:b/>
                      <w:spacing w:val="4"/>
                      <w:sz w:val="18"/>
                      <w:szCs w:val="18"/>
                    </w:rPr>
                  </w:pPr>
                  <w:r>
                    <w:rPr>
                      <w:b/>
                      <w:spacing w:val="4"/>
                      <w:sz w:val="18"/>
                      <w:szCs w:val="18"/>
                    </w:rPr>
                    <w:t>序号</w:t>
                  </w:r>
                </w:p>
              </w:tc>
              <w:tc>
                <w:tcPr>
                  <w:tcW w:w="1762" w:type="dxa"/>
                  <w:vAlign w:val="center"/>
                </w:tcPr>
                <w:p w14:paraId="692B1F5C">
                  <w:pPr>
                    <w:adjustRightInd w:val="0"/>
                    <w:snapToGrid w:val="0"/>
                    <w:jc w:val="center"/>
                    <w:rPr>
                      <w:b/>
                      <w:spacing w:val="4"/>
                      <w:sz w:val="18"/>
                      <w:szCs w:val="18"/>
                    </w:rPr>
                  </w:pPr>
                  <w:r>
                    <w:rPr>
                      <w:b/>
                      <w:spacing w:val="4"/>
                      <w:sz w:val="18"/>
                      <w:szCs w:val="18"/>
                    </w:rPr>
                    <w:t>风险单元</w:t>
                  </w:r>
                </w:p>
              </w:tc>
              <w:tc>
                <w:tcPr>
                  <w:tcW w:w="3142" w:type="dxa"/>
                  <w:vAlign w:val="center"/>
                </w:tcPr>
                <w:p w14:paraId="365EF326">
                  <w:pPr>
                    <w:adjustRightInd w:val="0"/>
                    <w:snapToGrid w:val="0"/>
                    <w:jc w:val="center"/>
                    <w:rPr>
                      <w:b/>
                      <w:spacing w:val="4"/>
                      <w:sz w:val="18"/>
                      <w:szCs w:val="18"/>
                    </w:rPr>
                  </w:pPr>
                  <w:r>
                    <w:rPr>
                      <w:b/>
                      <w:spacing w:val="4"/>
                      <w:sz w:val="18"/>
                      <w:szCs w:val="18"/>
                    </w:rPr>
                    <w:t>涉及风险物质</w:t>
                  </w:r>
                </w:p>
              </w:tc>
              <w:tc>
                <w:tcPr>
                  <w:tcW w:w="3099" w:type="dxa"/>
                  <w:vAlign w:val="center"/>
                </w:tcPr>
                <w:p w14:paraId="73A2D3C4">
                  <w:pPr>
                    <w:adjustRightInd w:val="0"/>
                    <w:snapToGrid w:val="0"/>
                    <w:jc w:val="center"/>
                    <w:rPr>
                      <w:b/>
                      <w:spacing w:val="4"/>
                      <w:sz w:val="18"/>
                      <w:szCs w:val="18"/>
                    </w:rPr>
                  </w:pPr>
                  <w:r>
                    <w:rPr>
                      <w:b/>
                      <w:spacing w:val="4"/>
                      <w:sz w:val="18"/>
                      <w:szCs w:val="18"/>
                    </w:rPr>
                    <w:t>可能影响环境的途径</w:t>
                  </w:r>
                </w:p>
              </w:tc>
            </w:tr>
            <w:tr w14:paraId="6A70C4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793" w:type="dxa"/>
                  <w:vAlign w:val="center"/>
                </w:tcPr>
                <w:p w14:paraId="2E6AF5DC">
                  <w:pPr>
                    <w:adjustRightInd w:val="0"/>
                    <w:snapToGrid w:val="0"/>
                    <w:jc w:val="center"/>
                    <w:rPr>
                      <w:spacing w:val="4"/>
                      <w:sz w:val="18"/>
                      <w:szCs w:val="18"/>
                    </w:rPr>
                  </w:pPr>
                  <w:r>
                    <w:rPr>
                      <w:spacing w:val="4"/>
                      <w:sz w:val="18"/>
                      <w:szCs w:val="18"/>
                    </w:rPr>
                    <w:t>1</w:t>
                  </w:r>
                </w:p>
              </w:tc>
              <w:tc>
                <w:tcPr>
                  <w:tcW w:w="1762" w:type="dxa"/>
                  <w:vAlign w:val="center"/>
                </w:tcPr>
                <w:p w14:paraId="5866D3BC">
                  <w:pPr>
                    <w:adjustRightInd w:val="0"/>
                    <w:snapToGrid w:val="0"/>
                    <w:jc w:val="center"/>
                    <w:rPr>
                      <w:spacing w:val="4"/>
                      <w:sz w:val="18"/>
                      <w:szCs w:val="18"/>
                    </w:rPr>
                  </w:pPr>
                  <w:r>
                    <w:rPr>
                      <w:rFonts w:hint="eastAsia"/>
                      <w:spacing w:val="4"/>
                      <w:sz w:val="18"/>
                      <w:szCs w:val="18"/>
                    </w:rPr>
                    <w:t>试剂室、实验室</w:t>
                  </w:r>
                </w:p>
              </w:tc>
              <w:tc>
                <w:tcPr>
                  <w:tcW w:w="3142" w:type="dxa"/>
                  <w:vAlign w:val="center"/>
                </w:tcPr>
                <w:p w14:paraId="7BD5B2D4">
                  <w:pPr>
                    <w:adjustRightInd w:val="0"/>
                    <w:snapToGrid w:val="0"/>
                    <w:jc w:val="center"/>
                    <w:rPr>
                      <w:spacing w:val="4"/>
                      <w:sz w:val="18"/>
                      <w:szCs w:val="18"/>
                    </w:rPr>
                  </w:pPr>
                  <w:r>
                    <w:rPr>
                      <w:rFonts w:hint="eastAsia"/>
                      <w:spacing w:val="4"/>
                      <w:sz w:val="18"/>
                      <w:szCs w:val="18"/>
                    </w:rPr>
                    <w:t>原料试剂（氨水、醋酸等）</w:t>
                  </w:r>
                </w:p>
              </w:tc>
              <w:tc>
                <w:tcPr>
                  <w:tcW w:w="3099" w:type="dxa"/>
                  <w:vAlign w:val="center"/>
                </w:tcPr>
                <w:p w14:paraId="503A5F8F">
                  <w:pPr>
                    <w:adjustRightInd w:val="0"/>
                    <w:snapToGrid w:val="0"/>
                    <w:jc w:val="center"/>
                    <w:rPr>
                      <w:spacing w:val="4"/>
                      <w:sz w:val="18"/>
                      <w:szCs w:val="18"/>
                    </w:rPr>
                  </w:pPr>
                  <w:r>
                    <w:rPr>
                      <w:kern w:val="0"/>
                      <w:sz w:val="18"/>
                      <w:szCs w:val="18"/>
                    </w:rPr>
                    <w:t>泄漏以及火灾、爆炸等引起的伴生/次生污染物排放</w:t>
                  </w:r>
                </w:p>
              </w:tc>
            </w:tr>
            <w:tr w14:paraId="7C4B26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793" w:type="dxa"/>
                  <w:vAlign w:val="center"/>
                </w:tcPr>
                <w:p w14:paraId="03238470">
                  <w:pPr>
                    <w:adjustRightInd w:val="0"/>
                    <w:snapToGrid w:val="0"/>
                    <w:jc w:val="center"/>
                    <w:rPr>
                      <w:spacing w:val="4"/>
                      <w:sz w:val="18"/>
                      <w:szCs w:val="18"/>
                    </w:rPr>
                  </w:pPr>
                  <w:r>
                    <w:rPr>
                      <w:spacing w:val="4"/>
                      <w:sz w:val="18"/>
                      <w:szCs w:val="18"/>
                    </w:rPr>
                    <w:t>2</w:t>
                  </w:r>
                </w:p>
              </w:tc>
              <w:tc>
                <w:tcPr>
                  <w:tcW w:w="1762" w:type="dxa"/>
                  <w:vAlign w:val="center"/>
                </w:tcPr>
                <w:p w14:paraId="049C811A">
                  <w:pPr>
                    <w:adjustRightInd w:val="0"/>
                    <w:snapToGrid w:val="0"/>
                    <w:jc w:val="center"/>
                    <w:rPr>
                      <w:spacing w:val="4"/>
                      <w:sz w:val="18"/>
                      <w:szCs w:val="18"/>
                    </w:rPr>
                  </w:pPr>
                  <w:r>
                    <w:rPr>
                      <w:sz w:val="18"/>
                      <w:szCs w:val="18"/>
                    </w:rPr>
                    <w:t>危废仓库</w:t>
                  </w:r>
                </w:p>
              </w:tc>
              <w:tc>
                <w:tcPr>
                  <w:tcW w:w="3142" w:type="dxa"/>
                  <w:vAlign w:val="center"/>
                </w:tcPr>
                <w:p w14:paraId="03116FB5">
                  <w:pPr>
                    <w:adjustRightInd w:val="0"/>
                    <w:snapToGrid w:val="0"/>
                    <w:jc w:val="center"/>
                    <w:rPr>
                      <w:spacing w:val="4"/>
                      <w:sz w:val="18"/>
                      <w:szCs w:val="18"/>
                    </w:rPr>
                  </w:pPr>
                  <w:r>
                    <w:rPr>
                      <w:rFonts w:hint="eastAsia"/>
                      <w:spacing w:val="4"/>
                      <w:sz w:val="18"/>
                      <w:szCs w:val="18"/>
                    </w:rPr>
                    <w:t>废试剂包装、</w:t>
                  </w:r>
                  <w:r>
                    <w:rPr>
                      <w:rFonts w:hint="eastAsia"/>
                      <w:spacing w:val="4"/>
                      <w:sz w:val="18"/>
                      <w:szCs w:val="18"/>
                      <w:lang w:eastAsia="zh-CN"/>
                    </w:rPr>
                    <w:t>实验废液、</w:t>
                  </w:r>
                  <w:r>
                    <w:rPr>
                      <w:rFonts w:hint="eastAsia"/>
                      <w:spacing w:val="4"/>
                      <w:sz w:val="18"/>
                      <w:szCs w:val="18"/>
                      <w:lang w:val="en-US" w:eastAsia="zh-CN"/>
                    </w:rPr>
                    <w:t>初道</w:t>
                  </w:r>
                  <w:r>
                    <w:rPr>
                      <w:rFonts w:hint="eastAsia"/>
                      <w:spacing w:val="4"/>
                      <w:sz w:val="18"/>
                      <w:szCs w:val="18"/>
                      <w:lang w:eastAsia="zh-CN"/>
                    </w:rPr>
                    <w:t>清洗废水、喷淋废液</w:t>
                  </w:r>
                  <w:r>
                    <w:rPr>
                      <w:rFonts w:hint="eastAsia"/>
                      <w:spacing w:val="4"/>
                      <w:sz w:val="18"/>
                      <w:szCs w:val="18"/>
                    </w:rPr>
                    <w:t>、废活性炭、废实验耗材</w:t>
                  </w:r>
                </w:p>
              </w:tc>
              <w:tc>
                <w:tcPr>
                  <w:tcW w:w="3099" w:type="dxa"/>
                  <w:vAlign w:val="center"/>
                </w:tcPr>
                <w:p w14:paraId="4EF73222">
                  <w:pPr>
                    <w:adjustRightInd w:val="0"/>
                    <w:snapToGrid w:val="0"/>
                    <w:jc w:val="center"/>
                    <w:rPr>
                      <w:kern w:val="0"/>
                      <w:sz w:val="18"/>
                      <w:szCs w:val="18"/>
                    </w:rPr>
                  </w:pPr>
                  <w:r>
                    <w:rPr>
                      <w:kern w:val="0"/>
                      <w:sz w:val="18"/>
                      <w:szCs w:val="18"/>
                    </w:rPr>
                    <w:t>泄漏以及火灾引起的伴生/次生污染物排放</w:t>
                  </w:r>
                </w:p>
              </w:tc>
            </w:tr>
            <w:tr w14:paraId="0E8235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793" w:type="dxa"/>
                  <w:vAlign w:val="center"/>
                </w:tcPr>
                <w:p w14:paraId="6A132E96">
                  <w:pPr>
                    <w:adjustRightInd w:val="0"/>
                    <w:snapToGrid w:val="0"/>
                    <w:jc w:val="center"/>
                    <w:rPr>
                      <w:spacing w:val="4"/>
                      <w:sz w:val="18"/>
                      <w:szCs w:val="18"/>
                    </w:rPr>
                  </w:pPr>
                  <w:r>
                    <w:rPr>
                      <w:rFonts w:hint="eastAsia"/>
                      <w:spacing w:val="4"/>
                      <w:sz w:val="18"/>
                      <w:szCs w:val="18"/>
                    </w:rPr>
                    <w:t>3</w:t>
                  </w:r>
                </w:p>
              </w:tc>
              <w:tc>
                <w:tcPr>
                  <w:tcW w:w="1762" w:type="dxa"/>
                  <w:vAlign w:val="center"/>
                </w:tcPr>
                <w:p w14:paraId="7CEF2D65">
                  <w:pPr>
                    <w:adjustRightInd w:val="0"/>
                    <w:snapToGrid w:val="0"/>
                    <w:jc w:val="center"/>
                    <w:rPr>
                      <w:sz w:val="18"/>
                      <w:szCs w:val="18"/>
                    </w:rPr>
                  </w:pPr>
                  <w:r>
                    <w:rPr>
                      <w:rFonts w:hint="eastAsia"/>
                      <w:sz w:val="18"/>
                      <w:szCs w:val="18"/>
                    </w:rPr>
                    <w:t>活性炭装置</w:t>
                  </w:r>
                </w:p>
              </w:tc>
              <w:tc>
                <w:tcPr>
                  <w:tcW w:w="3142" w:type="dxa"/>
                  <w:vAlign w:val="center"/>
                </w:tcPr>
                <w:p w14:paraId="7EAD7406">
                  <w:pPr>
                    <w:adjustRightInd w:val="0"/>
                    <w:snapToGrid w:val="0"/>
                    <w:jc w:val="center"/>
                    <w:rPr>
                      <w:spacing w:val="4"/>
                      <w:sz w:val="18"/>
                      <w:szCs w:val="18"/>
                    </w:rPr>
                  </w:pPr>
                  <w:r>
                    <w:rPr>
                      <w:rFonts w:hint="eastAsia"/>
                      <w:spacing w:val="4"/>
                      <w:sz w:val="18"/>
                      <w:szCs w:val="18"/>
                    </w:rPr>
                    <w:t>有机废气</w:t>
                  </w:r>
                </w:p>
              </w:tc>
              <w:tc>
                <w:tcPr>
                  <w:tcW w:w="3099" w:type="dxa"/>
                  <w:vAlign w:val="center"/>
                </w:tcPr>
                <w:p w14:paraId="5F48FF97">
                  <w:pPr>
                    <w:adjustRightInd w:val="0"/>
                    <w:snapToGrid w:val="0"/>
                    <w:jc w:val="center"/>
                    <w:rPr>
                      <w:kern w:val="0"/>
                      <w:sz w:val="18"/>
                      <w:szCs w:val="18"/>
                    </w:rPr>
                  </w:pPr>
                  <w:r>
                    <w:rPr>
                      <w:rFonts w:hint="eastAsia"/>
                      <w:kern w:val="0"/>
                      <w:sz w:val="18"/>
                      <w:szCs w:val="18"/>
                    </w:rPr>
                    <w:t>泄漏及火灾、爆炸</w:t>
                  </w:r>
                  <w:r>
                    <w:rPr>
                      <w:kern w:val="0"/>
                      <w:sz w:val="18"/>
                      <w:szCs w:val="18"/>
                    </w:rPr>
                    <w:t>引起的伴生/次生污染物排放</w:t>
                  </w:r>
                </w:p>
              </w:tc>
            </w:tr>
          </w:tbl>
          <w:p w14:paraId="345D5D6F">
            <w:pPr>
              <w:adjustRightInd w:val="0"/>
              <w:snapToGrid w:val="0"/>
              <w:spacing w:before="120" w:line="360" w:lineRule="auto"/>
              <w:ind w:firstLine="420" w:firstLineChars="200"/>
              <w:rPr>
                <w:szCs w:val="21"/>
              </w:rPr>
            </w:pPr>
            <w:r>
              <w:rPr>
                <w:szCs w:val="21"/>
              </w:rPr>
              <w:t>（3）环境风险分析</w:t>
            </w:r>
          </w:p>
          <w:p w14:paraId="7CD64C34">
            <w:pPr>
              <w:adjustRightInd w:val="0"/>
              <w:snapToGrid w:val="0"/>
              <w:spacing w:line="360" w:lineRule="auto"/>
              <w:ind w:firstLine="420" w:firstLineChars="200"/>
              <w:rPr>
                <w:szCs w:val="21"/>
                <w:shd w:val="clear" w:color="auto" w:fill="FFFFFF"/>
              </w:rPr>
            </w:pPr>
            <w:r>
              <w:rPr>
                <w:szCs w:val="21"/>
              </w:rPr>
              <w:t>经识别，本项目涉及的主要风险物质为：</w:t>
            </w:r>
            <w:r>
              <w:rPr>
                <w:rFonts w:hint="eastAsia"/>
                <w:szCs w:val="21"/>
              </w:rPr>
              <w:t>原料试剂（氨水、醋酸、盐酸等）、废试剂包装、</w:t>
            </w:r>
            <w:r>
              <w:rPr>
                <w:rFonts w:hint="eastAsia"/>
                <w:szCs w:val="21"/>
                <w:lang w:eastAsia="zh-CN"/>
              </w:rPr>
              <w:t>实验废液、</w:t>
            </w:r>
            <w:r>
              <w:rPr>
                <w:rFonts w:hint="eastAsia"/>
                <w:szCs w:val="21"/>
                <w:lang w:val="en-US" w:eastAsia="zh-CN"/>
              </w:rPr>
              <w:t>初道</w:t>
            </w:r>
            <w:r>
              <w:rPr>
                <w:rFonts w:hint="eastAsia"/>
                <w:szCs w:val="21"/>
                <w:lang w:eastAsia="zh-CN"/>
              </w:rPr>
              <w:t>清洗废水、喷淋废液</w:t>
            </w:r>
            <w:r>
              <w:rPr>
                <w:rFonts w:hint="eastAsia"/>
                <w:szCs w:val="21"/>
              </w:rPr>
              <w:t>、废活性炭、废实验耗材</w:t>
            </w:r>
            <w:r>
              <w:rPr>
                <w:rFonts w:hint="eastAsia"/>
                <w:szCs w:val="21"/>
                <w:lang w:eastAsia="zh-CN"/>
              </w:rPr>
              <w:t>、</w:t>
            </w:r>
            <w:r>
              <w:rPr>
                <w:rFonts w:hint="eastAsia"/>
                <w:szCs w:val="21"/>
                <w:lang w:val="en-US" w:eastAsia="zh-CN"/>
              </w:rPr>
              <w:t>废水处理污泥、废过滤介质</w:t>
            </w:r>
            <w:r>
              <w:rPr>
                <w:szCs w:val="21"/>
              </w:rPr>
              <w:t>等。</w:t>
            </w:r>
            <w:r>
              <w:rPr>
                <w:rFonts w:hint="eastAsia"/>
                <w:szCs w:val="21"/>
              </w:rPr>
              <w:t>涉及气态或液态的风险物质发生泄漏时，产生的有机废气、恶臭、酸雾等进入大气环境，导致周围大气环境中相应污染物浓度增高，造成环境空气质量污染；遇明火、火花则可能发生火灾爆炸事故，</w:t>
            </w:r>
            <w:r>
              <w:rPr>
                <w:rFonts w:hint="eastAsia"/>
                <w:color w:val="0000FF"/>
                <w:szCs w:val="21"/>
                <w:lang w:val="en-US" w:eastAsia="zh-CN"/>
              </w:rPr>
              <w:t>乙腈、卤素化合物燃烧产生次生氰化氢、光气、氟化物等</w:t>
            </w:r>
            <w:r>
              <w:rPr>
                <w:rFonts w:hint="eastAsia"/>
                <w:szCs w:val="21"/>
                <w:lang w:val="en-US" w:eastAsia="zh-CN"/>
              </w:rPr>
              <w:t>、</w:t>
            </w:r>
            <w:r>
              <w:rPr>
                <w:rFonts w:hint="eastAsia"/>
                <w:szCs w:val="21"/>
              </w:rPr>
              <w:t>烟尘、</w:t>
            </w:r>
            <w:r>
              <w:rPr>
                <w:szCs w:val="21"/>
              </w:rPr>
              <w:t>CO</w:t>
            </w:r>
            <w:r>
              <w:rPr>
                <w:rFonts w:hint="eastAsia"/>
                <w:szCs w:val="21"/>
              </w:rPr>
              <w:t>、</w:t>
            </w:r>
            <w:r>
              <w:rPr>
                <w:szCs w:val="21"/>
              </w:rPr>
              <w:t>SO</w:t>
            </w:r>
            <w:r>
              <w:rPr>
                <w:szCs w:val="21"/>
                <w:vertAlign w:val="subscript"/>
              </w:rPr>
              <w:t>2</w:t>
            </w:r>
            <w:r>
              <w:rPr>
                <w:rFonts w:hint="eastAsia"/>
                <w:szCs w:val="21"/>
              </w:rPr>
              <w:t>、</w:t>
            </w:r>
            <w:r>
              <w:rPr>
                <w:szCs w:val="21"/>
              </w:rPr>
              <w:t>NO</w:t>
            </w:r>
            <w:r>
              <w:rPr>
                <w:szCs w:val="21"/>
                <w:vertAlign w:val="subscript"/>
              </w:rPr>
              <w:t>X</w:t>
            </w:r>
            <w:r>
              <w:rPr>
                <w:rFonts w:hint="eastAsia"/>
                <w:szCs w:val="21"/>
              </w:rPr>
              <w:t>等废气进入大气环境，导致周围大气环境中相应污染物浓度增高，造成环境空气质量污染。对大气环境产生不利影响。另</w:t>
            </w:r>
            <w:r>
              <w:rPr>
                <w:szCs w:val="21"/>
                <w:shd w:val="clear" w:color="auto" w:fill="FFFFFF"/>
              </w:rPr>
              <w:t>厂区发生泄漏以及火灾、爆炸事故也可能会导致有毒有害物质渗透入土壤中，造成土壤、地下水污染。主要影响如下：</w:t>
            </w:r>
          </w:p>
          <w:p w14:paraId="443661C6">
            <w:pPr>
              <w:pStyle w:val="106"/>
              <w:adjustRightInd w:val="0"/>
              <w:snapToGrid w:val="0"/>
              <w:spacing w:line="360" w:lineRule="auto"/>
              <w:ind w:firstLine="0" w:firstLineChars="0"/>
              <w:jc w:val="left"/>
              <w:rPr>
                <w:rFonts w:ascii="Times New Roman" w:hAnsi="Times New Roman"/>
                <w:szCs w:val="21"/>
              </w:rPr>
            </w:pPr>
            <w:r>
              <w:rPr>
                <w:rFonts w:ascii="宋体" w:hAnsi="宋体" w:cs="宋体"/>
                <w:szCs w:val="21"/>
              </w:rPr>
              <w:t>①</w:t>
            </w:r>
            <w:r>
              <w:rPr>
                <w:rFonts w:hint="eastAsia" w:ascii="宋体" w:hAnsi="宋体" w:cs="宋体"/>
                <w:szCs w:val="21"/>
              </w:rPr>
              <w:t>对环</w:t>
            </w:r>
            <w:r>
              <w:rPr>
                <w:rFonts w:ascii="Times New Roman" w:hAnsi="Times New Roman"/>
                <w:szCs w:val="21"/>
              </w:rPr>
              <w:t xml:space="preserve">境空气的影响： </w:t>
            </w:r>
          </w:p>
          <w:p w14:paraId="7551BE92">
            <w:pPr>
              <w:adjustRightInd w:val="0"/>
              <w:snapToGrid w:val="0"/>
              <w:spacing w:line="360" w:lineRule="auto"/>
              <w:ind w:firstLine="420" w:firstLineChars="200"/>
              <w:jc w:val="left"/>
              <w:rPr>
                <w:szCs w:val="21"/>
              </w:rPr>
            </w:pPr>
            <w:r>
              <w:rPr>
                <w:rFonts w:hint="eastAsia"/>
                <w:szCs w:val="21"/>
              </w:rPr>
              <w:t>危险物质氨水、醋酸、盐酸等原料试剂密闭储存在试剂室，</w:t>
            </w:r>
            <w:r>
              <w:rPr>
                <w:rFonts w:hint="eastAsia"/>
                <w:szCs w:val="21"/>
                <w:lang w:eastAsia="zh-CN"/>
              </w:rPr>
              <w:t>实验废液、</w:t>
            </w:r>
            <w:r>
              <w:rPr>
                <w:rFonts w:hint="eastAsia"/>
                <w:szCs w:val="21"/>
                <w:lang w:val="en-US" w:eastAsia="zh-CN"/>
              </w:rPr>
              <w:t>初道</w:t>
            </w:r>
            <w:r>
              <w:rPr>
                <w:rFonts w:hint="eastAsia"/>
                <w:szCs w:val="21"/>
                <w:lang w:eastAsia="zh-CN"/>
              </w:rPr>
              <w:t>清洗废水、喷淋废液</w:t>
            </w:r>
            <w:r>
              <w:rPr>
                <w:rFonts w:hint="eastAsia"/>
                <w:szCs w:val="21"/>
              </w:rPr>
              <w:t>加盖密闭，废活性炭</w:t>
            </w:r>
            <w:r>
              <w:rPr>
                <w:szCs w:val="21"/>
              </w:rPr>
              <w:t>等固态危废以密封的袋装包装贮存，有效减少挥发性物质对环境空气的影响。</w:t>
            </w:r>
          </w:p>
          <w:p w14:paraId="5C08D87B">
            <w:pPr>
              <w:adjustRightInd w:val="0"/>
              <w:snapToGrid w:val="0"/>
              <w:spacing w:line="360" w:lineRule="auto"/>
              <w:ind w:firstLine="420" w:firstLineChars="200"/>
              <w:jc w:val="left"/>
              <w:rPr>
                <w:szCs w:val="21"/>
              </w:rPr>
            </w:pPr>
            <w:r>
              <w:rPr>
                <w:rFonts w:hint="eastAsia" w:ascii="宋体" w:hAnsi="宋体" w:cs="宋体"/>
                <w:szCs w:val="21"/>
              </w:rPr>
              <w:t>②</w:t>
            </w:r>
            <w:r>
              <w:rPr>
                <w:szCs w:val="21"/>
              </w:rPr>
              <w:t>对地表水的影响：</w:t>
            </w:r>
          </w:p>
          <w:p w14:paraId="5A65C0D2">
            <w:pPr>
              <w:adjustRightInd w:val="0"/>
              <w:snapToGrid w:val="0"/>
              <w:spacing w:line="360" w:lineRule="auto"/>
              <w:ind w:firstLine="420" w:firstLineChars="200"/>
              <w:jc w:val="left"/>
              <w:rPr>
                <w:szCs w:val="21"/>
              </w:rPr>
            </w:pPr>
            <w:r>
              <w:rPr>
                <w:rFonts w:hint="eastAsia"/>
                <w:szCs w:val="21"/>
              </w:rPr>
              <w:t>试剂室、</w:t>
            </w:r>
            <w:r>
              <w:rPr>
                <w:szCs w:val="21"/>
              </w:rPr>
              <w:t>危废暂存场所具有防雨、防漏、防渗措施，当事故发生时，不会产生废液进入厂区雨水系统、不对周边地表水产生不良影响。</w:t>
            </w:r>
          </w:p>
          <w:p w14:paraId="0CA325D6">
            <w:pPr>
              <w:adjustRightInd w:val="0"/>
              <w:snapToGrid w:val="0"/>
              <w:spacing w:line="360" w:lineRule="auto"/>
              <w:ind w:firstLine="420" w:firstLineChars="200"/>
              <w:jc w:val="left"/>
              <w:rPr>
                <w:szCs w:val="21"/>
              </w:rPr>
            </w:pPr>
            <w:r>
              <w:rPr>
                <w:rFonts w:hint="eastAsia" w:ascii="宋体" w:hAnsi="宋体" w:cs="宋体"/>
                <w:szCs w:val="21"/>
              </w:rPr>
              <w:t>③</w:t>
            </w:r>
            <w:r>
              <w:rPr>
                <w:szCs w:val="21"/>
              </w:rPr>
              <w:t>对地下水的影响：</w:t>
            </w:r>
          </w:p>
          <w:p w14:paraId="69EF4BA5">
            <w:pPr>
              <w:adjustRightInd w:val="0"/>
              <w:snapToGrid w:val="0"/>
              <w:spacing w:line="360" w:lineRule="auto"/>
              <w:ind w:firstLine="420" w:firstLineChars="200"/>
              <w:jc w:val="left"/>
              <w:rPr>
                <w:szCs w:val="21"/>
              </w:rPr>
            </w:pPr>
            <w:r>
              <w:rPr>
                <w:szCs w:val="21"/>
              </w:rPr>
              <w:t>危险废物暂存场所拟按照《危险废物贮存污染控制标准（GB18597-2023）》要求，进行防腐、防渗，正常情况下不会泄漏至室外污染土壤和地下水，不会对区域地下水环境产生影响。</w:t>
            </w:r>
          </w:p>
          <w:p w14:paraId="1C35EF08">
            <w:pPr>
              <w:adjustRightInd w:val="0"/>
              <w:snapToGrid w:val="0"/>
              <w:spacing w:line="360" w:lineRule="auto"/>
              <w:ind w:firstLine="420" w:firstLineChars="200"/>
              <w:jc w:val="left"/>
              <w:rPr>
                <w:szCs w:val="21"/>
              </w:rPr>
            </w:pPr>
            <w:r>
              <w:rPr>
                <w:rFonts w:hint="eastAsia" w:ascii="宋体" w:hAnsi="宋体" w:cs="宋体"/>
                <w:szCs w:val="21"/>
              </w:rPr>
              <w:t>④</w:t>
            </w:r>
            <w:r>
              <w:rPr>
                <w:szCs w:val="21"/>
              </w:rPr>
              <w:t>对环境敏感保护目标的影响：</w:t>
            </w:r>
          </w:p>
          <w:p w14:paraId="5C1FC392">
            <w:pPr>
              <w:adjustRightInd w:val="0"/>
              <w:snapToGrid w:val="0"/>
              <w:spacing w:line="360" w:lineRule="auto"/>
              <w:ind w:firstLine="420" w:firstLineChars="200"/>
              <w:jc w:val="left"/>
              <w:rPr>
                <w:szCs w:val="21"/>
              </w:rPr>
            </w:pPr>
            <w:r>
              <w:rPr>
                <w:szCs w:val="21"/>
              </w:rPr>
              <w:t>项目暂存的危险废物都已按要求妥善保管，暂存场地地面按控制标准的要求做了防渗漏处理，一旦发生泄漏事故及时采取控制措施，环境风险水平在可控制范围内。</w:t>
            </w:r>
          </w:p>
          <w:p w14:paraId="499EA4AF">
            <w:pPr>
              <w:adjustRightInd w:val="0"/>
              <w:snapToGrid w:val="0"/>
              <w:spacing w:line="360" w:lineRule="auto"/>
              <w:ind w:firstLine="420" w:firstLineChars="200"/>
              <w:jc w:val="left"/>
              <w:rPr>
                <w:szCs w:val="21"/>
              </w:rPr>
            </w:pPr>
            <w:r>
              <w:rPr>
                <w:szCs w:val="21"/>
              </w:rPr>
              <w:t>综上，建设项目危废发生少量泄漏事件，可及时收集并能及时处置，影响不会扩散，能够控制厂区内，环境风险可接受。</w:t>
            </w:r>
          </w:p>
          <w:p w14:paraId="6620B5F3">
            <w:pPr>
              <w:adjustRightInd w:val="0"/>
              <w:snapToGrid w:val="0"/>
              <w:spacing w:line="360" w:lineRule="auto"/>
              <w:ind w:firstLine="420" w:firstLineChars="200"/>
              <w:jc w:val="left"/>
              <w:rPr>
                <w:szCs w:val="21"/>
              </w:rPr>
            </w:pPr>
            <w:r>
              <w:rPr>
                <w:szCs w:val="21"/>
              </w:rPr>
              <w:t>（4）环境风险防范应急措施</w:t>
            </w:r>
          </w:p>
          <w:p w14:paraId="0FF10618">
            <w:pPr>
              <w:pStyle w:val="8"/>
              <w:adjustRightInd w:val="0"/>
              <w:spacing w:before="0" w:after="0" w:line="360" w:lineRule="auto"/>
              <w:ind w:right="0" w:firstLine="416" w:firstLineChars="200"/>
              <w:rPr>
                <w:sz w:val="21"/>
                <w:szCs w:val="21"/>
              </w:rPr>
            </w:pPr>
            <w:r>
              <w:rPr>
                <w:spacing w:val="-1"/>
                <w:sz w:val="21"/>
                <w:szCs w:val="21"/>
              </w:rPr>
              <w:t>针对本项目可能发生的环境风险事故，提出以下风险防范措施：</w:t>
            </w:r>
          </w:p>
          <w:p w14:paraId="0B17FF9E">
            <w:pPr>
              <w:adjustRightInd w:val="0"/>
              <w:snapToGrid w:val="0"/>
              <w:spacing w:line="360" w:lineRule="auto"/>
              <w:ind w:firstLine="420" w:firstLineChars="200"/>
              <w:rPr>
                <w:rFonts w:hint="eastAsia" w:ascii="宋体" w:hAnsi="宋体" w:cs="宋体"/>
                <w:szCs w:val="21"/>
              </w:rPr>
            </w:pPr>
            <w:r>
              <w:rPr>
                <w:rFonts w:ascii="宋体" w:hAnsi="宋体" w:cs="宋体"/>
                <w:szCs w:val="21"/>
              </w:rPr>
              <w:t>①环境风险防范措施</w:t>
            </w:r>
          </w:p>
          <w:p w14:paraId="0EB4EE70">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 xml:space="preserve">1）危险化学品贮存过程中应加强管理工作：加强危险化学品管理，建立实验室危险化学品定期汇总登记制度，记录危险化学品种类和数量，并存档备查；根据危险化学品性能，分区分类存放，各类危险化学品不得与禁忌物料混合存放。 </w:t>
            </w:r>
          </w:p>
          <w:p w14:paraId="35279835">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 xml:space="preserve">2）危险化学品使用过程中应注意以下几点：实验室内严禁吸烟，使用一切加热工具均应严格遵守操作规程；实验室应装有换气设备，并设通风橱，易挥发、有刺激性气味、有毒气产生的实验应在通风橱内进行，实验过程确保通风橱正常开启；实验结束后，实验分析废液和危险废物应单独收集，定期交由有资质单位处理，不能倒入水槽内；剩余的危险化学品必须回收。 </w:t>
            </w:r>
          </w:p>
          <w:p w14:paraId="10490244">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 xml:space="preserve">3）实验室应尽量采用无毒、无害或者低毒、低害的试剂，替代毒性大、危害严重的试剂；采用试剂利用率高、污染物产生量少的实验方法和设备；尽可能减少危险化学品的使用，必须使用的，用采取有效的措施，降低排放量，并分类收集和处理，以降低其危险性。 </w:t>
            </w:r>
          </w:p>
          <w:p w14:paraId="2877169C">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 xml:space="preserve">4）实验室制定严格的实验操作规程，职工进行必要的安全培训，且进行有毒药品等危险化学品实验，必须佩戴必要的防护措施，实验室内必须配备常用的医疗急救药品等。 </w:t>
            </w:r>
          </w:p>
          <w:p w14:paraId="0F8225F5">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 xml:space="preserve">5）危险废物暂存地点地面及裙角应做耐腐蚀硬化、防渗漏处理，且表面无裂隙，所使用的材料要与危险废物相容；危险废物应储存与专用密闭容器中，并在容器外表设置环境保护图形标志和警示标志；固体废物置场室内地面硬化处理。固体废物置场室内地面和积水沟做防渗漏处理。一旦出现盛装液态固体废物的容器发生破裂或渗漏情况，马上修复或更换破损容器，积水沟内积存的液态物转抽至容器内保存。地面残留液体用 布擦拭干净。出现泄露事故及时向有关部门通报。 </w:t>
            </w:r>
          </w:p>
          <w:p w14:paraId="74E2905B">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 xml:space="preserve">6）实验室应配置相应灭火设备，并定期检查灭火状态及其有效期等。 </w:t>
            </w:r>
          </w:p>
          <w:p w14:paraId="24C5D1FA">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7）定期进行安全环保宣传教育和紧急事故模拟演习，提高事故应变能力。</w:t>
            </w:r>
          </w:p>
          <w:p w14:paraId="74092A26">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②常见事故防范措施及应急处理</w:t>
            </w:r>
          </w:p>
          <w:p w14:paraId="72E5F67B">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 xml:space="preserve">1）实验室化学品泄漏事故防范措施 </w:t>
            </w:r>
          </w:p>
          <w:p w14:paraId="4AD47FAB">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 xml:space="preserve">a、化学试剂由专业生产厂家购买，由厂家派专用车辆负责运送。用于危险化学品运输的工具及容器，必须经检测、检验合格，方可使用。输送有毒有害物料，应采取防止泄漏、渗漏的措施。 </w:t>
            </w:r>
          </w:p>
          <w:p w14:paraId="2B2F6F38">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 xml:space="preserve">b、化学试剂购买后直接交由实验室负责人，实验室负责人先检查包装的完好性，封口是否严密，试剂无泄漏，标签是否粘贴牢固无破损，内容清晰，贮存条件明确。瓶签已部分脱胶的，应及时用胶水粘贴。无标签的试剂不得进入实验室，应及时予销毁。 </w:t>
            </w:r>
          </w:p>
          <w:p w14:paraId="583E28C6">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 xml:space="preserve">c、化学试剂须严格按其性质如剧毒、麻醉、易燃、易挥发、强腐蚀品等和贮存要求分类存放，并控制化学试剂贮存量。 </w:t>
            </w:r>
          </w:p>
          <w:p w14:paraId="10C017C7">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 xml:space="preserve">d、化学试剂贮藏于专用化学试剂柜内，由专人保管。危险化学品贮藏于专用保险柜内，实行双人双锁领用制度。 </w:t>
            </w:r>
          </w:p>
          <w:p w14:paraId="450F58F1">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 xml:space="preserve">e、盛放化学试剂的贮存柜需用防尘、耐腐蚀、避光的材料制成。 </w:t>
            </w:r>
          </w:p>
          <w:p w14:paraId="06F390C6">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 xml:space="preserve">f、化学性质或防护、灭火方法相互抵触的化学危险品，不得在同一柜内存放。如氧化剂与还原剂应分开存放，液态试剂与固态试剂分开存放，有机试剂与无机试剂分开存放。 </w:t>
            </w:r>
          </w:p>
          <w:p w14:paraId="1D33EF49">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 xml:space="preserve">g、易潮解、易失水风化、易挥发、易吸收二氧化碳、易氧化、易吸水变质化学试剂，需密闭保存或蜡封保存，应存放试剂柜下部柜中，平时应关门上锁。 </w:t>
            </w:r>
          </w:p>
          <w:p w14:paraId="42DFD2E2">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h、易爆炸品、易燃品、腐蚀品应单独存放，平时应关门上锁。</w:t>
            </w:r>
          </w:p>
          <w:p w14:paraId="1E83AF09">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 xml:space="preserve">2）火灾事故和预防和处理 </w:t>
            </w:r>
          </w:p>
          <w:p w14:paraId="5ED53A81">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 xml:space="preserve">在使用易挥发、易燃烧的有机溶剂时如操作不慎，易引起火灾事故。为了防止事故发生，必须随时注意以下几点： </w:t>
            </w:r>
          </w:p>
          <w:p w14:paraId="308ABD2F">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 xml:space="preserve">操作和处理易燃、易爆溶剂时，应远离火源；对易爆炸固体的残渣，必须小心销毁；不要把未熄灭的火柴梗乱丢；对于易发生自燃的物质及沾有它们的滤纸，不能随意丢弃，以免造成新的火源，引起火灾。 </w:t>
            </w:r>
          </w:p>
          <w:p w14:paraId="0546CBBE">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实验前应仔细检查仪器装置是否正确、稳妥与严密；操作要求正确、严格；常压操作时，切勿造成系统密闭，否则可能会发生爆炸事故；对沸点低于80℃的液体，一般蒸馏时应采用水浴加热，不能直接用火加热；实验操作中，应防止有机物蒸气泄漏出来，更不要用敞口装置加热。若要进行除去溶剂的操作，则必须在通风橱里进行。</w:t>
            </w:r>
          </w:p>
          <w:p w14:paraId="5647C65C">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 xml:space="preserve">实验室里不允许存放大量易燃物。 </w:t>
            </w:r>
          </w:p>
          <w:p w14:paraId="55875C00">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 xml:space="preserve">常用的应急处理方法有： </w:t>
            </w:r>
          </w:p>
          <w:p w14:paraId="7F240C6A">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 xml:space="preserve">在可燃液体燃着时，应立即拿开着火区域内的一切可燃物质，关闭通风器，防止扩大燃烧。 </w:t>
            </w:r>
          </w:p>
          <w:p w14:paraId="521B1BAA">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 xml:space="preserve">酒精及其它可溶于水的液体着火时，可用水灭火。 </w:t>
            </w:r>
          </w:p>
          <w:p w14:paraId="09252DCA">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 xml:space="preserve">二甲苯等有机溶剂着火时，应用石棉布或干砂扑灭。绝对不能用水，否则反而会扩大燃烧面积。 </w:t>
            </w:r>
          </w:p>
          <w:p w14:paraId="2D525D34">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 xml:space="preserve">注意电器设备导线等着火时，不能用水及二氧化碳灭火器（泡沫灭火器），以免触电。应先切断电源，再用二氧化碳或四氯化碳灭火器灭火。 </w:t>
            </w:r>
          </w:p>
          <w:p w14:paraId="782F8B1C">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 xml:space="preserve">衣服着火时，千万不要奔跑，应立即用石棉布或厚外衣盖熄，或者迅速脱下衣服，火势较大时，应卧地打滚以扑灭火焰。 </w:t>
            </w:r>
          </w:p>
          <w:p w14:paraId="120DBE6D">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 xml:space="preserve">发现烘箱有异味或冒烟时，应迅速切断电源，使其慢慢降温，并准备好灭火器备用。千万不要急于打开烘箱门，以免突然供入空气助燃（爆），引起火灾。 </w:t>
            </w:r>
          </w:p>
          <w:p w14:paraId="36B7CE47">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 xml:space="preserve">发生火灾时应注意保护现场。较大的着火事故应立即报警。若有伤势较重者，应立即送医院。 </w:t>
            </w:r>
          </w:p>
          <w:p w14:paraId="1FD10203">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 xml:space="preserve">熟悉实验室内灭火器材的位置和灭火器的使用方法。 </w:t>
            </w:r>
          </w:p>
          <w:p w14:paraId="56B84C60">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 xml:space="preserve">3）爆炸事故和预防和处理 </w:t>
            </w:r>
          </w:p>
          <w:p w14:paraId="7FB61BF5">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 xml:space="preserve">某些化合物容易爆炸，在使用和操作时应特别注意。 </w:t>
            </w:r>
          </w:p>
          <w:p w14:paraId="48DBE028">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 xml:space="preserve">仪器装置不正确或操作错误，有时会引起爆炸。如果在常压下进行蒸馏或加热回流，仪器必须与大气相通。在蒸馏时要注意，不要将物料蒸干。在减压操作时，不能使用不耐外压的玻璃仪器（例如平底烧瓶和锥形烧瓶等）。 </w:t>
            </w:r>
          </w:p>
          <w:p w14:paraId="3B57CB41">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 xml:space="preserve">因此，使用上述物质时必须严禁明火。对于放热量很大的合成反应，要小心地慢慢滴加物料，并注意冷却，同时要防止因滴液漏斗的活塞漏液而造的事故。 </w:t>
            </w:r>
          </w:p>
          <w:p w14:paraId="78025204">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 xml:space="preserve">4）中毒事故的预防与处理 </w:t>
            </w:r>
          </w:p>
          <w:p w14:paraId="0356C2D3">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 xml:space="preserve">实验中的许多试剂都是有毒的。有毒物质往往通过呼吸吸入、皮肤渗入、误食等方式导致中毒。处理具有刺激性、恶臭和有毒的化学药品时，必须在通风橱中进行。通风橱开启后，不要把头伸入橱内，并保持实验室通风良好。实验中应避免手直接接触化学药品，尤其严禁手直接接触剧毒品。沾在皮肤上的有机物应当立即用大量清水和肥皂洗去，切莫用有机溶剂洗，否则只会增加化学药品渗入皮肤的速度。溅落在桌面或地面的有机物应及时除去。如不慎损坏水银温度计，撒落在地上的水银应尽量收集起来，并用硫磺粉盖在撒落的地方。实验中所用剧毒物质由各课题组技术负责人负责保管、适量发给使用人员并要回收剩余。实验装有毒物质的器皿要贴标签注明，用后及时清洗，经常使用有毒物质 实验的操作台及水槽要注明，实验后的有毒残渣必须按照实验室规定进行处理，不准乱丢。 </w:t>
            </w:r>
          </w:p>
          <w:p w14:paraId="6B5C61FA">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 xml:space="preserve">中毒事故应急处理措施： </w:t>
            </w:r>
          </w:p>
          <w:p w14:paraId="49DEC672">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固体或液体毒物中毒：有毒物质尚在嘴里的立即吐掉，用大量水漱口。误食碱者，先饮大量水再喝些牛奶。误食酸者，先喝水，再服</w:t>
            </w:r>
            <w:r>
              <w:rPr>
                <w:szCs w:val="21"/>
              </w:rPr>
              <w:t>Mg(OH)</w:t>
            </w:r>
            <w:r>
              <w:rPr>
                <w:szCs w:val="21"/>
                <w:vertAlign w:val="subscript"/>
              </w:rPr>
              <w:t>2</w:t>
            </w:r>
            <w:r>
              <w:rPr>
                <w:rFonts w:hint="eastAsia" w:ascii="宋体" w:hAnsi="宋体" w:cs="宋体"/>
                <w:szCs w:val="21"/>
              </w:rPr>
              <w:t xml:space="preserve">乳剂，最后饮些牛奶。不要用催吐药，也不要服用碳酸盐或碳酸氢盐。重金属盐中毒者，喝一杯含有几克 MgSO4 的水溶液，立即就医。不要服催吐药，以免引起危险或使病情复杂化。砷和汞化物中毒者，必须紧急就医。 </w:t>
            </w:r>
          </w:p>
          <w:p w14:paraId="2ECB9AC8">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吸入气体或蒸气中毒者：立即转移至室外，解开衣领和钮扣，呼吸新鲜空气。对休克者应施以人工呼吸，但不要用口对口法。立即送医院急救。</w:t>
            </w:r>
          </w:p>
          <w:p w14:paraId="0443CA1F">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 xml:space="preserve">5）污染治理设施非正常运行事故的预防与处理 </w:t>
            </w:r>
          </w:p>
          <w:p w14:paraId="75C2A455">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企业加强设备的保养及日常管理以降低废气处置装置出现非正常工作情况的概率，一旦出现非正常排放的情况，需要采取一系列措施，如紧急停工，及时修复，降低环境影响，并且设备故障未修复之前不得开工，杜绝以上非正常工况对周围环境带来较大影响。</w:t>
            </w:r>
          </w:p>
          <w:p w14:paraId="5BD1FB12">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 xml:space="preserve">6）实验室其他事故的急救 </w:t>
            </w:r>
          </w:p>
          <w:p w14:paraId="2A7F58E4">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 xml:space="preserve">玻璃割伤：一般轻伤应及时挤出污血，并用消过毒的镊子取出玻璃碎片，用蒸馏水洗净伤口，涂上碘酒，再用创可贴或绷带包扎；大伤口应立即用绷带扎紧伤口上部，使伤口停止流血，急送医院就诊。 </w:t>
            </w:r>
          </w:p>
          <w:p w14:paraId="4B4F1B88">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 xml:space="preserve">烫伤：被火焰、蒸气、红热的玻璃、铁器等烫伤时，应立即将伤口处用大量水冲洗或浸泡，从而迅速降温避免温度烧伤。若起水泡则不宜挑破，应用纱布包扎后送医院治疗。对轻微烫伤，可在伤处涂些鱼肝油或烫伤油膏或万花油后包扎。若皮肤起泡（二级灼伤），不要弄破水泡，防止感染；若伤处皮肤呈棕色或黑色（三级灼伤），应用干燥而无菌的消毒纱布轻轻包扎好，急送医院治疗。 </w:t>
            </w:r>
          </w:p>
          <w:p w14:paraId="2F11D19B">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 xml:space="preserve">被酸、碱灼伤：（a）皮肤被酸灼伤要立即用大量流动清水冲洗（皮肤被浓硫酸沾污时切忌先用水冲洗，以免硫酸水合时强烈放热而加重伤势，应先用干抹布吸去浓硫酸，然后再用清水冲洗），彻底冲洗后可用2-5%的碳酸氢钠溶液或肥皂水进行中和，最后用水冲洗，涂上药品凡士林。（b）碱液灼伤要立即用大量流动清水冲洗，再用2%醋酸洗或3%硼酸溶液进一步冲洗，最后用水冲洗，再涂上药品凡士林。受上述灼伤后，若创面起水泡，均不宜把水泡挑破。重伤者经初步处理后，急送医务室。 </w:t>
            </w:r>
          </w:p>
          <w:p w14:paraId="3A5926BA">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 xml:space="preserve">7）火灾等事故下废水收集设施及处理方案 </w:t>
            </w:r>
          </w:p>
          <w:p w14:paraId="12FCDD40">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实验室火灾事故情况下会因消防扑救等产生事故废水，如果不及时采取防范措施，事故废水随雨水管汇入市政雨水管网，导致水体污染。本项目在门卫室储存了长条状应急沙袋，在火灾事故情况下，及时使用沙袋堵截事故废水下泄通道，以免事故废水下泄后随雨水管道外泄。同时将事故废水导入应急事故池。</w:t>
            </w:r>
          </w:p>
          <w:p w14:paraId="7E2FFC44">
            <w:pPr>
              <w:adjustRightInd w:val="0"/>
              <w:snapToGrid w:val="0"/>
              <w:spacing w:line="360" w:lineRule="auto"/>
              <w:ind w:firstLine="420" w:firstLineChars="200"/>
              <w:rPr>
                <w:szCs w:val="21"/>
              </w:rPr>
            </w:pPr>
            <w:r>
              <w:rPr>
                <w:szCs w:val="21"/>
              </w:rPr>
              <w:t>参照中国石油天然气集团有限公司企业标准《事故状态下水体污染的预防和控制规范》（Q/SY 08190-2019）中事故存储设施总有效容积的计算公式：</w:t>
            </w:r>
          </w:p>
          <w:p w14:paraId="11EDA9CD">
            <w:pPr>
              <w:adjustRightInd w:val="0"/>
              <w:snapToGrid w:val="0"/>
              <w:spacing w:line="360" w:lineRule="auto"/>
              <w:jc w:val="center"/>
              <w:rPr>
                <w:szCs w:val="21"/>
              </w:rPr>
            </w:pPr>
            <w:r>
              <w:rPr>
                <w:szCs w:val="21"/>
              </w:rPr>
              <w:t>V总=（V</w:t>
            </w:r>
            <w:r>
              <w:rPr>
                <w:szCs w:val="21"/>
                <w:vertAlign w:val="subscript"/>
              </w:rPr>
              <w:t>1</w:t>
            </w:r>
            <w:r>
              <w:rPr>
                <w:szCs w:val="21"/>
              </w:rPr>
              <w:t>+V</w:t>
            </w:r>
            <w:r>
              <w:rPr>
                <w:szCs w:val="21"/>
                <w:vertAlign w:val="subscript"/>
              </w:rPr>
              <w:t>2</w:t>
            </w:r>
            <w:r>
              <w:rPr>
                <w:szCs w:val="21"/>
              </w:rPr>
              <w:t>-V</w:t>
            </w:r>
            <w:r>
              <w:rPr>
                <w:szCs w:val="21"/>
                <w:vertAlign w:val="subscript"/>
              </w:rPr>
              <w:t>3</w:t>
            </w:r>
            <w:r>
              <w:rPr>
                <w:szCs w:val="21"/>
              </w:rPr>
              <w:t>）max+V</w:t>
            </w:r>
            <w:r>
              <w:rPr>
                <w:szCs w:val="21"/>
                <w:vertAlign w:val="subscript"/>
              </w:rPr>
              <w:t>4</w:t>
            </w:r>
            <w:r>
              <w:rPr>
                <w:szCs w:val="21"/>
              </w:rPr>
              <w:t>+V</w:t>
            </w:r>
            <w:r>
              <w:rPr>
                <w:szCs w:val="21"/>
                <w:vertAlign w:val="subscript"/>
              </w:rPr>
              <w:t>5</w:t>
            </w:r>
          </w:p>
          <w:p w14:paraId="6597E2EE">
            <w:pPr>
              <w:adjustRightInd w:val="0"/>
              <w:snapToGrid w:val="0"/>
              <w:spacing w:line="360" w:lineRule="auto"/>
              <w:ind w:firstLine="420" w:firstLineChars="200"/>
              <w:rPr>
                <w:szCs w:val="21"/>
              </w:rPr>
            </w:pPr>
            <w:r>
              <w:rPr>
                <w:szCs w:val="21"/>
              </w:rPr>
              <w:t>注：（V</w:t>
            </w:r>
            <w:r>
              <w:rPr>
                <w:szCs w:val="21"/>
                <w:vertAlign w:val="subscript"/>
              </w:rPr>
              <w:t>1</w:t>
            </w:r>
            <w:r>
              <w:rPr>
                <w:szCs w:val="21"/>
              </w:rPr>
              <w:t>+V</w:t>
            </w:r>
            <w:r>
              <w:rPr>
                <w:szCs w:val="21"/>
                <w:vertAlign w:val="subscript"/>
              </w:rPr>
              <w:t>2</w:t>
            </w:r>
            <w:r>
              <w:rPr>
                <w:szCs w:val="21"/>
              </w:rPr>
              <w:t>-V</w:t>
            </w:r>
            <w:r>
              <w:rPr>
                <w:szCs w:val="21"/>
                <w:vertAlign w:val="subscript"/>
              </w:rPr>
              <w:t>3</w:t>
            </w:r>
            <w:r>
              <w:rPr>
                <w:szCs w:val="21"/>
              </w:rPr>
              <w:t>）max是指对收集系统范围内不同罐组或装置分别计算V</w:t>
            </w:r>
            <w:r>
              <w:rPr>
                <w:szCs w:val="21"/>
                <w:vertAlign w:val="subscript"/>
              </w:rPr>
              <w:t>1</w:t>
            </w:r>
            <w:r>
              <w:rPr>
                <w:szCs w:val="21"/>
              </w:rPr>
              <w:t>+V</w:t>
            </w:r>
            <w:r>
              <w:rPr>
                <w:szCs w:val="21"/>
                <w:vertAlign w:val="subscript"/>
              </w:rPr>
              <w:t>2</w:t>
            </w:r>
            <w:r>
              <w:rPr>
                <w:szCs w:val="21"/>
              </w:rPr>
              <w:t>-V</w:t>
            </w:r>
            <w:r>
              <w:rPr>
                <w:szCs w:val="21"/>
                <w:vertAlign w:val="subscript"/>
              </w:rPr>
              <w:t>3</w:t>
            </w:r>
            <w:r>
              <w:rPr>
                <w:szCs w:val="21"/>
              </w:rPr>
              <w:t>，取其中最大值。</w:t>
            </w:r>
          </w:p>
          <w:p w14:paraId="0EE9ACEA">
            <w:pPr>
              <w:adjustRightInd w:val="0"/>
              <w:snapToGrid w:val="0"/>
              <w:spacing w:line="360" w:lineRule="auto"/>
              <w:ind w:firstLine="420" w:firstLineChars="200"/>
              <w:rPr>
                <w:szCs w:val="21"/>
              </w:rPr>
            </w:pPr>
            <w:r>
              <w:rPr>
                <w:szCs w:val="21"/>
              </w:rPr>
              <w:t>V</w:t>
            </w:r>
            <w:r>
              <w:rPr>
                <w:szCs w:val="21"/>
                <w:vertAlign w:val="subscript"/>
              </w:rPr>
              <w:t>1</w:t>
            </w:r>
            <w:r>
              <w:rPr>
                <w:szCs w:val="21"/>
              </w:rPr>
              <w:t>—收集系统范围内发生事故的物料量（注：储存相同物料的罐组按一个最大储罐计，装置物料量按存留最大物料量的一台反应器或中间储罐计）；本项目不设置储罐，V</w:t>
            </w:r>
            <w:r>
              <w:rPr>
                <w:szCs w:val="21"/>
                <w:vertAlign w:val="subscript"/>
              </w:rPr>
              <w:t>1</w:t>
            </w:r>
            <w:r>
              <w:rPr>
                <w:szCs w:val="21"/>
              </w:rPr>
              <w:t>=0；</w:t>
            </w:r>
          </w:p>
          <w:p w14:paraId="359B486D">
            <w:pPr>
              <w:tabs>
                <w:tab w:val="left" w:pos="1725"/>
              </w:tabs>
              <w:adjustRightInd w:val="0"/>
              <w:snapToGrid w:val="0"/>
              <w:spacing w:line="360" w:lineRule="auto"/>
              <w:ind w:firstLine="420" w:firstLineChars="200"/>
              <w:rPr>
                <w:szCs w:val="21"/>
              </w:rPr>
            </w:pPr>
            <w:r>
              <w:rPr>
                <w:szCs w:val="21"/>
              </w:rPr>
              <w:t>V</w:t>
            </w:r>
            <w:r>
              <w:rPr>
                <w:szCs w:val="21"/>
                <w:vertAlign w:val="subscript"/>
              </w:rPr>
              <w:t>2</w:t>
            </w:r>
            <w:r>
              <w:rPr>
                <w:szCs w:val="21"/>
              </w:rPr>
              <w:t>—发生事故的储罐或装置的消防水量，m</w:t>
            </w:r>
            <w:r>
              <w:rPr>
                <w:szCs w:val="21"/>
                <w:vertAlign w:val="superscript"/>
              </w:rPr>
              <w:t>3</w:t>
            </w:r>
            <w:r>
              <w:rPr>
                <w:szCs w:val="21"/>
              </w:rPr>
              <w:t>；</w:t>
            </w:r>
            <w:r>
              <w:rPr>
                <w:bCs/>
                <w:szCs w:val="21"/>
              </w:rPr>
              <w:t>V</w:t>
            </w:r>
            <w:r>
              <w:rPr>
                <w:bCs/>
                <w:szCs w:val="21"/>
                <w:vertAlign w:val="subscript"/>
              </w:rPr>
              <w:t>2</w:t>
            </w:r>
            <w:r>
              <w:rPr>
                <w:bCs/>
                <w:szCs w:val="21"/>
              </w:rPr>
              <w:t>=∑Q消t消（Q消—发生事故的储罐或装置的同时使用的消防设施给水流量，m</w:t>
            </w:r>
            <w:r>
              <w:rPr>
                <w:bCs/>
                <w:szCs w:val="21"/>
                <w:vertAlign w:val="superscript"/>
              </w:rPr>
              <w:t>3</w:t>
            </w:r>
            <w:r>
              <w:rPr>
                <w:bCs/>
                <w:szCs w:val="21"/>
              </w:rPr>
              <w:t>/h</w:t>
            </w:r>
            <w:r>
              <w:rPr>
                <w:rFonts w:hint="eastAsia"/>
                <w:bCs/>
                <w:szCs w:val="21"/>
              </w:rPr>
              <w:t>;</w:t>
            </w:r>
            <w:r>
              <w:rPr>
                <w:bCs/>
                <w:szCs w:val="21"/>
              </w:rPr>
              <w:t>t消—消防设施对应的设计消防历时，h）</w:t>
            </w:r>
            <w:r>
              <w:rPr>
                <w:rFonts w:hint="eastAsia"/>
                <w:bCs/>
                <w:szCs w:val="21"/>
              </w:rPr>
              <w:t>。</w:t>
            </w:r>
            <w:r>
              <w:rPr>
                <w:kern w:val="0"/>
                <w:szCs w:val="21"/>
              </w:rPr>
              <w:t>根据《消防给水及消火栓系统技术规范》（GB50974-2014），建筑物外消防栓设计流量</w:t>
            </w:r>
            <w:r>
              <w:rPr>
                <w:rFonts w:hint="eastAsia"/>
                <w:kern w:val="0"/>
                <w:szCs w:val="21"/>
              </w:rPr>
              <w:t>20</w:t>
            </w:r>
            <w:r>
              <w:rPr>
                <w:kern w:val="0"/>
                <w:szCs w:val="21"/>
              </w:rPr>
              <w:t>L/s</w:t>
            </w:r>
            <w:r>
              <w:rPr>
                <w:rFonts w:hint="eastAsia"/>
                <w:kern w:val="0"/>
                <w:szCs w:val="21"/>
              </w:rPr>
              <w:t>，</w:t>
            </w:r>
            <w:r>
              <w:rPr>
                <w:kern w:val="0"/>
                <w:szCs w:val="21"/>
              </w:rPr>
              <w:t>厂房设计火灾延续时间</w:t>
            </w:r>
            <w:r>
              <w:rPr>
                <w:rFonts w:hint="eastAsia"/>
                <w:kern w:val="0"/>
                <w:szCs w:val="21"/>
              </w:rPr>
              <w:t>为</w:t>
            </w:r>
            <w:r>
              <w:rPr>
                <w:kern w:val="0"/>
                <w:szCs w:val="21"/>
              </w:rPr>
              <w:t>2h。</w:t>
            </w:r>
            <w:r>
              <w:rPr>
                <w:szCs w:val="21"/>
              </w:rPr>
              <w:t>则本项目消防废水产生量V</w:t>
            </w:r>
            <w:r>
              <w:rPr>
                <w:szCs w:val="21"/>
                <w:vertAlign w:val="subscript"/>
              </w:rPr>
              <w:t>2</w:t>
            </w:r>
            <w:r>
              <w:rPr>
                <w:szCs w:val="21"/>
              </w:rPr>
              <w:t>=</w:t>
            </w:r>
            <w:r>
              <w:rPr>
                <w:rFonts w:hint="eastAsia"/>
                <w:szCs w:val="21"/>
              </w:rPr>
              <w:t>144</w:t>
            </w:r>
            <w:r>
              <w:rPr>
                <w:szCs w:val="21"/>
              </w:rPr>
              <w:t>m</w:t>
            </w:r>
            <w:r>
              <w:rPr>
                <w:szCs w:val="21"/>
                <w:vertAlign w:val="superscript"/>
              </w:rPr>
              <w:t>3</w:t>
            </w:r>
            <w:r>
              <w:rPr>
                <w:szCs w:val="21"/>
              </w:rPr>
              <w:t>；</w:t>
            </w:r>
          </w:p>
          <w:p w14:paraId="21365903">
            <w:pPr>
              <w:tabs>
                <w:tab w:val="left" w:pos="1725"/>
              </w:tabs>
              <w:adjustRightInd w:val="0"/>
              <w:snapToGrid w:val="0"/>
              <w:spacing w:line="360" w:lineRule="auto"/>
              <w:ind w:firstLine="420" w:firstLineChars="200"/>
              <w:rPr>
                <w:szCs w:val="21"/>
              </w:rPr>
            </w:pPr>
            <w:r>
              <w:rPr>
                <w:szCs w:val="21"/>
              </w:rPr>
              <w:t>V</w:t>
            </w:r>
            <w:r>
              <w:rPr>
                <w:szCs w:val="21"/>
                <w:vertAlign w:val="subscript"/>
              </w:rPr>
              <w:t>3</w:t>
            </w:r>
            <w:r>
              <w:rPr>
                <w:szCs w:val="21"/>
              </w:rPr>
              <w:t>—发生事故时可以转输到其他储存或处理设施的物料量，m</w:t>
            </w:r>
            <w:r>
              <w:rPr>
                <w:szCs w:val="21"/>
                <w:vertAlign w:val="superscript"/>
              </w:rPr>
              <w:t>3</w:t>
            </w:r>
            <w:r>
              <w:rPr>
                <w:szCs w:val="21"/>
              </w:rPr>
              <w:t>；事故废水导排管道容量管径为</w:t>
            </w:r>
            <w:r>
              <w:rPr>
                <w:rFonts w:hint="eastAsia"/>
                <w:szCs w:val="21"/>
              </w:rPr>
              <w:t>5</w:t>
            </w:r>
            <w:r>
              <w:rPr>
                <w:szCs w:val="21"/>
              </w:rPr>
              <w:t>00mm，长度约为</w:t>
            </w:r>
            <w:r>
              <w:rPr>
                <w:rFonts w:hint="eastAsia"/>
                <w:szCs w:val="21"/>
              </w:rPr>
              <w:t>350</w:t>
            </w:r>
            <w:r>
              <w:rPr>
                <w:szCs w:val="21"/>
              </w:rPr>
              <w:t>m，故V</w:t>
            </w:r>
            <w:r>
              <w:rPr>
                <w:szCs w:val="21"/>
                <w:vertAlign w:val="subscript"/>
              </w:rPr>
              <w:t>3</w:t>
            </w:r>
            <w:r>
              <w:rPr>
                <w:szCs w:val="21"/>
              </w:rPr>
              <w:t>≈</w:t>
            </w:r>
            <w:r>
              <w:rPr>
                <w:rFonts w:hint="eastAsia"/>
                <w:szCs w:val="21"/>
              </w:rPr>
              <w:t>68.7</w:t>
            </w:r>
            <w:r>
              <w:rPr>
                <w:szCs w:val="21"/>
              </w:rPr>
              <w:t>m</w:t>
            </w:r>
            <w:r>
              <w:rPr>
                <w:szCs w:val="21"/>
                <w:vertAlign w:val="superscript"/>
              </w:rPr>
              <w:t>3</w:t>
            </w:r>
            <w:r>
              <w:rPr>
                <w:szCs w:val="21"/>
              </w:rPr>
              <w:t>。</w:t>
            </w:r>
          </w:p>
          <w:p w14:paraId="3D0192A5">
            <w:pPr>
              <w:adjustRightInd w:val="0"/>
              <w:snapToGrid w:val="0"/>
              <w:spacing w:line="360" w:lineRule="auto"/>
              <w:ind w:firstLine="420" w:firstLineChars="200"/>
              <w:rPr>
                <w:szCs w:val="21"/>
              </w:rPr>
            </w:pPr>
            <w:r>
              <w:rPr>
                <w:szCs w:val="21"/>
              </w:rPr>
              <w:t>V</w:t>
            </w:r>
            <w:r>
              <w:rPr>
                <w:szCs w:val="21"/>
                <w:vertAlign w:val="subscript"/>
              </w:rPr>
              <w:t>4</w:t>
            </w:r>
            <w:r>
              <w:rPr>
                <w:szCs w:val="21"/>
              </w:rPr>
              <w:t>—发生事故时仍必须进入该收集系统的生产废水量，m</w:t>
            </w:r>
            <w:r>
              <w:rPr>
                <w:szCs w:val="21"/>
                <w:vertAlign w:val="superscript"/>
              </w:rPr>
              <w:t>3</w:t>
            </w:r>
            <w:r>
              <w:rPr>
                <w:szCs w:val="21"/>
              </w:rPr>
              <w:t>；V</w:t>
            </w:r>
            <w:r>
              <w:rPr>
                <w:szCs w:val="21"/>
                <w:vertAlign w:val="subscript"/>
              </w:rPr>
              <w:t>4</w:t>
            </w:r>
            <w:r>
              <w:rPr>
                <w:szCs w:val="21"/>
              </w:rPr>
              <w:t>＝</w:t>
            </w:r>
            <w:r>
              <w:rPr>
                <w:rFonts w:hint="eastAsia"/>
                <w:szCs w:val="21"/>
              </w:rPr>
              <w:t>0</w:t>
            </w:r>
            <w:r>
              <w:rPr>
                <w:szCs w:val="21"/>
              </w:rPr>
              <w:t>。</w:t>
            </w:r>
          </w:p>
          <w:p w14:paraId="00639385">
            <w:pPr>
              <w:tabs>
                <w:tab w:val="left" w:pos="1725"/>
              </w:tabs>
              <w:adjustRightInd w:val="0"/>
              <w:snapToGrid w:val="0"/>
              <w:spacing w:line="360" w:lineRule="auto"/>
              <w:ind w:firstLine="420" w:firstLineChars="200"/>
              <w:rPr>
                <w:bCs/>
                <w:szCs w:val="21"/>
              </w:rPr>
            </w:pPr>
            <w:r>
              <w:rPr>
                <w:szCs w:val="21"/>
              </w:rPr>
              <w:t>V</w:t>
            </w:r>
            <w:r>
              <w:rPr>
                <w:szCs w:val="21"/>
                <w:vertAlign w:val="subscript"/>
              </w:rPr>
              <w:t>5</w:t>
            </w:r>
            <w:r>
              <w:rPr>
                <w:szCs w:val="21"/>
              </w:rPr>
              <w:t>—发生事故时可能进入该收集系统的降雨量，m</w:t>
            </w:r>
            <w:r>
              <w:rPr>
                <w:szCs w:val="21"/>
                <w:vertAlign w:val="superscript"/>
              </w:rPr>
              <w:t>3</w:t>
            </w:r>
            <w:r>
              <w:rPr>
                <w:szCs w:val="21"/>
              </w:rPr>
              <w:t>；</w:t>
            </w:r>
            <w:r>
              <w:rPr>
                <w:position w:val="-12"/>
                <w:szCs w:val="21"/>
              </w:rPr>
              <w:object>
                <v:shape id="_x0000_i1039" o:spt="75" type="#_x0000_t75" style="height:18pt;width:61pt;" o:ole="t" filled="f" o:preferrelative="t" stroked="f" coordsize="21600,21600">
                  <v:path/>
                  <v:fill on="f" focussize="0,0"/>
                  <v:stroke on="f" joinstyle="miter"/>
                  <v:imagedata r:id="rId56" o:title=""/>
                  <o:lock v:ext="edit" aspectratio="t"/>
                  <w10:wrap type="none"/>
                  <w10:anchorlock/>
                </v:shape>
                <o:OLEObject Type="Embed" ProgID="Equation.3" ShapeID="_x0000_i1039" DrawAspect="Content" ObjectID="_1468075739" r:id="rId55">
                  <o:LockedField>false</o:LockedField>
                </o:OLEObject>
              </w:object>
            </w:r>
            <w:r>
              <w:rPr>
                <w:bCs/>
                <w:szCs w:val="21"/>
              </w:rPr>
              <w:t>，q=q</w:t>
            </w:r>
            <w:r>
              <w:rPr>
                <w:bCs/>
                <w:szCs w:val="21"/>
                <w:vertAlign w:val="subscript"/>
              </w:rPr>
              <w:t>n</w:t>
            </w:r>
            <w:r>
              <w:rPr>
                <w:bCs/>
                <w:szCs w:val="21"/>
              </w:rPr>
              <w:t>/n</w:t>
            </w:r>
            <w:r>
              <w:rPr>
                <w:rFonts w:hint="eastAsia"/>
                <w:bCs/>
                <w:iCs/>
                <w:szCs w:val="21"/>
              </w:rPr>
              <w:t>,</w:t>
            </w:r>
            <w:r>
              <w:rPr>
                <w:bCs/>
                <w:iCs/>
                <w:szCs w:val="21"/>
              </w:rPr>
              <w:t>q</w:t>
            </w:r>
            <w:r>
              <w:rPr>
                <w:bCs/>
                <w:szCs w:val="21"/>
              </w:rPr>
              <w:t>—</w:t>
            </w:r>
            <w:r>
              <w:rPr>
                <w:bCs/>
                <w:iCs/>
                <w:szCs w:val="21"/>
              </w:rPr>
              <w:t>降雨强度，按平均日降雨量，mm</w:t>
            </w:r>
            <w:r>
              <w:rPr>
                <w:rFonts w:hint="eastAsia"/>
                <w:bCs/>
                <w:iCs/>
                <w:szCs w:val="21"/>
              </w:rPr>
              <w:t>;</w:t>
            </w:r>
            <w:r>
              <w:rPr>
                <w:bCs/>
                <w:iCs/>
                <w:szCs w:val="21"/>
              </w:rPr>
              <w:t>q</w:t>
            </w:r>
            <w:r>
              <w:rPr>
                <w:bCs/>
                <w:iCs/>
                <w:szCs w:val="21"/>
                <w:vertAlign w:val="subscript"/>
              </w:rPr>
              <w:t>n</w:t>
            </w:r>
            <w:r>
              <w:rPr>
                <w:bCs/>
                <w:szCs w:val="21"/>
              </w:rPr>
              <w:t>—年平均降雨量，mm</w:t>
            </w:r>
            <w:r>
              <w:rPr>
                <w:rFonts w:hint="eastAsia"/>
                <w:bCs/>
                <w:szCs w:val="21"/>
              </w:rPr>
              <w:t>;</w:t>
            </w:r>
            <w:r>
              <w:rPr>
                <w:bCs/>
                <w:szCs w:val="21"/>
              </w:rPr>
              <w:t>n—年平均降雨日数；f—必须进入事故废水收集系统的雨水汇水面积，</w:t>
            </w:r>
            <w:r>
              <w:rPr>
                <w:rFonts w:hint="eastAsia"/>
                <w:bCs/>
                <w:szCs w:val="21"/>
              </w:rPr>
              <w:t>0.28</w:t>
            </w:r>
            <w:r>
              <w:rPr>
                <w:bCs/>
                <w:szCs w:val="21"/>
              </w:rPr>
              <w:t>hm</w:t>
            </w:r>
            <w:r>
              <w:rPr>
                <w:bCs/>
                <w:szCs w:val="21"/>
                <w:vertAlign w:val="superscript"/>
              </w:rPr>
              <w:t>2</w:t>
            </w:r>
            <w:r>
              <w:rPr>
                <w:bCs/>
                <w:szCs w:val="21"/>
              </w:rPr>
              <w:t>；年降水量平均1021.9mm，年雨日平均117天，故V</w:t>
            </w:r>
            <w:r>
              <w:rPr>
                <w:bCs/>
                <w:szCs w:val="21"/>
                <w:vertAlign w:val="subscript"/>
              </w:rPr>
              <w:t>5</w:t>
            </w:r>
            <w:r>
              <w:rPr>
                <w:bCs/>
                <w:szCs w:val="21"/>
              </w:rPr>
              <w:t>≈</w:t>
            </w:r>
            <w:r>
              <w:rPr>
                <w:rFonts w:hint="eastAsia"/>
                <w:bCs/>
                <w:szCs w:val="21"/>
              </w:rPr>
              <w:t>25</w:t>
            </w:r>
            <w:r>
              <w:rPr>
                <w:bCs/>
                <w:szCs w:val="21"/>
              </w:rPr>
              <w:t>m</w:t>
            </w:r>
            <w:r>
              <w:rPr>
                <w:bCs/>
                <w:szCs w:val="21"/>
                <w:vertAlign w:val="superscript"/>
              </w:rPr>
              <w:t>3</w:t>
            </w:r>
            <w:r>
              <w:rPr>
                <w:bCs/>
                <w:szCs w:val="21"/>
              </w:rPr>
              <w:t>。</w:t>
            </w:r>
          </w:p>
          <w:p w14:paraId="071F050D">
            <w:pPr>
              <w:adjustRightInd w:val="0"/>
              <w:snapToGrid w:val="0"/>
              <w:spacing w:line="360" w:lineRule="auto"/>
              <w:ind w:firstLine="420" w:firstLineChars="200"/>
              <w:rPr>
                <w:szCs w:val="21"/>
              </w:rPr>
            </w:pPr>
            <w:r>
              <w:rPr>
                <w:szCs w:val="21"/>
              </w:rPr>
              <w:t>通过以上基础数据可计算得本项目的事故池容积约为：</w:t>
            </w:r>
          </w:p>
          <w:p w14:paraId="4C116BE3">
            <w:pPr>
              <w:adjustRightInd w:val="0"/>
              <w:snapToGrid w:val="0"/>
              <w:spacing w:line="360" w:lineRule="auto"/>
              <w:ind w:firstLine="420" w:firstLineChars="200"/>
              <w:rPr>
                <w:szCs w:val="21"/>
              </w:rPr>
            </w:pPr>
            <w:r>
              <w:rPr>
                <w:szCs w:val="21"/>
              </w:rPr>
              <w:t>V总＝（V</w:t>
            </w:r>
            <w:r>
              <w:rPr>
                <w:szCs w:val="21"/>
                <w:vertAlign w:val="subscript"/>
              </w:rPr>
              <w:t>1</w:t>
            </w:r>
            <w:r>
              <w:rPr>
                <w:szCs w:val="21"/>
              </w:rPr>
              <w:t>+V</w:t>
            </w:r>
            <w:r>
              <w:rPr>
                <w:szCs w:val="21"/>
                <w:vertAlign w:val="subscript"/>
              </w:rPr>
              <w:t>2</w:t>
            </w:r>
            <w:r>
              <w:rPr>
                <w:szCs w:val="21"/>
              </w:rPr>
              <w:t>-V</w:t>
            </w:r>
            <w:r>
              <w:rPr>
                <w:szCs w:val="21"/>
                <w:vertAlign w:val="subscript"/>
              </w:rPr>
              <w:t>3</w:t>
            </w:r>
            <w:r>
              <w:rPr>
                <w:szCs w:val="21"/>
              </w:rPr>
              <w:t>）max+V</w:t>
            </w:r>
            <w:r>
              <w:rPr>
                <w:szCs w:val="21"/>
                <w:vertAlign w:val="subscript"/>
              </w:rPr>
              <w:t>4</w:t>
            </w:r>
            <w:r>
              <w:rPr>
                <w:szCs w:val="21"/>
              </w:rPr>
              <w:t>+V</w:t>
            </w:r>
            <w:r>
              <w:rPr>
                <w:szCs w:val="21"/>
                <w:vertAlign w:val="subscript"/>
              </w:rPr>
              <w:t>5</w:t>
            </w:r>
            <w:r>
              <w:rPr>
                <w:szCs w:val="21"/>
              </w:rPr>
              <w:t>＝0+</w:t>
            </w:r>
            <w:r>
              <w:rPr>
                <w:rFonts w:hint="eastAsia"/>
                <w:szCs w:val="21"/>
              </w:rPr>
              <w:t>144</w:t>
            </w:r>
            <w:r>
              <w:rPr>
                <w:szCs w:val="21"/>
              </w:rPr>
              <w:t>–</w:t>
            </w:r>
            <w:r>
              <w:rPr>
                <w:rFonts w:hint="eastAsia"/>
                <w:szCs w:val="21"/>
              </w:rPr>
              <w:t>68.7+0</w:t>
            </w:r>
            <w:r>
              <w:rPr>
                <w:szCs w:val="21"/>
              </w:rPr>
              <w:t>+</w:t>
            </w:r>
            <w:r>
              <w:rPr>
                <w:rFonts w:hint="eastAsia"/>
                <w:szCs w:val="21"/>
              </w:rPr>
              <w:t>25</w:t>
            </w:r>
            <w:r>
              <w:rPr>
                <w:szCs w:val="21"/>
              </w:rPr>
              <w:t>＝</w:t>
            </w:r>
            <w:r>
              <w:rPr>
                <w:rFonts w:hint="eastAsia"/>
                <w:szCs w:val="21"/>
              </w:rPr>
              <w:t>100.3</w:t>
            </w:r>
            <w:r>
              <w:rPr>
                <w:szCs w:val="21"/>
              </w:rPr>
              <w:t>m³</w:t>
            </w:r>
          </w:p>
          <w:p w14:paraId="5364B31A">
            <w:pPr>
              <w:spacing w:line="360" w:lineRule="auto"/>
              <w:ind w:firstLine="420" w:firstLineChars="200"/>
              <w:jc w:val="left"/>
              <w:rPr>
                <w:szCs w:val="21"/>
              </w:rPr>
            </w:pPr>
            <w:r>
              <w:rPr>
                <w:szCs w:val="21"/>
              </w:rPr>
              <w:t>项目</w:t>
            </w:r>
            <w:r>
              <w:rPr>
                <w:rFonts w:hint="eastAsia"/>
                <w:szCs w:val="20"/>
              </w:rPr>
              <w:t>依托租赁方现有的</w:t>
            </w:r>
            <w:r>
              <w:rPr>
                <w:szCs w:val="21"/>
              </w:rPr>
              <w:t>一个容积</w:t>
            </w:r>
            <w:r>
              <w:rPr>
                <w:rFonts w:hint="eastAsia"/>
                <w:szCs w:val="21"/>
              </w:rPr>
              <w:t>150</w:t>
            </w:r>
            <w:r>
              <w:rPr>
                <w:szCs w:val="21"/>
              </w:rPr>
              <w:t>m</w:t>
            </w:r>
            <w:r>
              <w:rPr>
                <w:szCs w:val="21"/>
                <w:vertAlign w:val="superscript"/>
              </w:rPr>
              <w:t>3</w:t>
            </w:r>
            <w:r>
              <w:rPr>
                <w:szCs w:val="21"/>
              </w:rPr>
              <w:t>的事故应急池，因此项目事故池满足事故状况下水环境风险防控要求。</w:t>
            </w:r>
          </w:p>
          <w:p w14:paraId="472C235F">
            <w:pPr>
              <w:pStyle w:val="22"/>
              <w:spacing w:line="360" w:lineRule="auto"/>
            </w:pPr>
            <w:r>
              <w:t>综上分析，在各项环境风险防范措施落实到位的情况下，本项目环境风险可控。</w:t>
            </w:r>
          </w:p>
          <w:p w14:paraId="3387F649">
            <w:pPr>
              <w:numPr>
                <w:ilvl w:val="0"/>
                <w:numId w:val="6"/>
              </w:numPr>
              <w:adjustRightInd w:val="0"/>
              <w:snapToGrid w:val="0"/>
              <w:spacing w:line="360" w:lineRule="auto"/>
              <w:ind w:left="0" w:leftChars="0" w:firstLine="420" w:firstLineChars="0"/>
              <w:rPr>
                <w:rFonts w:hint="eastAsia"/>
                <w:color w:val="0000FF"/>
                <w:szCs w:val="21"/>
                <w:lang w:val="en-US" w:eastAsia="zh-CN"/>
              </w:rPr>
            </w:pPr>
            <w:r>
              <w:rPr>
                <w:rFonts w:hint="eastAsia"/>
                <w:color w:val="0000FF"/>
                <w:szCs w:val="21"/>
                <w:lang w:val="en-US" w:eastAsia="zh-CN"/>
              </w:rPr>
              <w:t>应急物资配备</w:t>
            </w:r>
          </w:p>
          <w:p w14:paraId="676274CB">
            <w:pPr>
              <w:numPr>
                <w:numId w:val="0"/>
              </w:numPr>
              <w:adjustRightInd w:val="0"/>
              <w:snapToGrid w:val="0"/>
              <w:spacing w:line="360" w:lineRule="auto"/>
              <w:ind w:firstLine="420" w:firstLineChars="200"/>
              <w:rPr>
                <w:rFonts w:hint="default"/>
                <w:color w:val="0000FF"/>
                <w:szCs w:val="21"/>
                <w:lang w:val="en-US" w:eastAsia="zh-CN"/>
              </w:rPr>
            </w:pPr>
            <w:r>
              <w:rPr>
                <w:rFonts w:hint="eastAsia"/>
                <w:color w:val="0000FF"/>
                <w:szCs w:val="21"/>
                <w:lang w:val="en-US" w:eastAsia="zh-CN"/>
              </w:rPr>
              <w:t>项目根据《危险化学品单位应急救援物资配备要求》（GB30077-2023）配备正压空气呼吸器、化学防护服、自吸过滤式防毒面具、气体检测仪、手电筒、对讲机、急救箱、水带、多功能水枪、危化品收容输转器具、吸附材料、洗消设施或清洗剂、应急处置工具箱等。</w:t>
            </w:r>
          </w:p>
          <w:p w14:paraId="0355D932">
            <w:pPr>
              <w:adjustRightInd w:val="0"/>
              <w:snapToGrid w:val="0"/>
              <w:spacing w:line="360" w:lineRule="auto"/>
              <w:ind w:firstLine="420" w:firstLineChars="200"/>
              <w:rPr>
                <w:szCs w:val="21"/>
              </w:rPr>
            </w:pPr>
            <w:r>
              <w:rPr>
                <w:rFonts w:hint="eastAsia"/>
                <w:szCs w:val="21"/>
                <w:lang w:eastAsia="zh-CN"/>
              </w:rPr>
              <w:t>（</w:t>
            </w:r>
            <w:r>
              <w:rPr>
                <w:rFonts w:hint="eastAsia"/>
                <w:szCs w:val="21"/>
                <w:lang w:val="en-US" w:eastAsia="zh-CN"/>
              </w:rPr>
              <w:t>6）</w:t>
            </w:r>
            <w:r>
              <w:rPr>
                <w:szCs w:val="21"/>
              </w:rPr>
              <w:t>环境风险分析小结</w:t>
            </w:r>
          </w:p>
          <w:p w14:paraId="308C644D">
            <w:pPr>
              <w:adjustRightInd w:val="0"/>
              <w:snapToGrid w:val="0"/>
              <w:spacing w:line="360" w:lineRule="auto"/>
              <w:ind w:firstLine="420" w:firstLineChars="200"/>
              <w:rPr>
                <w:szCs w:val="21"/>
              </w:rPr>
            </w:pPr>
            <w:r>
              <w:rPr>
                <w:rFonts w:hint="eastAsia"/>
                <w:szCs w:val="21"/>
              </w:rPr>
              <w:t xml:space="preserve">建设单位环境风险防范应建立与租赁方、园区对接、联动的风险防范体系。可从以下几个方面进行建设： </w:t>
            </w:r>
          </w:p>
          <w:p w14:paraId="73F92C86">
            <w:pPr>
              <w:adjustRightInd w:val="0"/>
              <w:snapToGrid w:val="0"/>
              <w:spacing w:line="360" w:lineRule="auto"/>
              <w:ind w:firstLine="420" w:firstLineChars="200"/>
              <w:rPr>
                <w:szCs w:val="21"/>
              </w:rPr>
            </w:pPr>
            <w:r>
              <w:rPr>
                <w:rFonts w:hint="eastAsia"/>
                <w:szCs w:val="21"/>
              </w:rPr>
              <w:t>建设单位应建立厂内各部门的联动体系，并在预案中予以体现。一旦某部门发生燃爆等事故，相邻部门乃至全厂可根据事故发生的性质、大小，决定是否需要立即停产，是否需要切断污染源、风险源，防止造成连锁反应，甚至多米诺骨牌效应。建设畅通的信息通道，使建设单位应急指挥部必须与周边企业、园区、李堡镇保持24小时的电话联系。</w:t>
            </w:r>
          </w:p>
          <w:p w14:paraId="22D82E78">
            <w:pPr>
              <w:adjustRightInd w:val="0"/>
              <w:snapToGrid w:val="0"/>
              <w:spacing w:line="360" w:lineRule="auto"/>
              <w:ind w:firstLine="420" w:firstLineChars="200"/>
              <w:rPr>
                <w:szCs w:val="21"/>
              </w:rPr>
            </w:pPr>
            <w:r>
              <w:rPr>
                <w:rFonts w:hint="eastAsia"/>
                <w:szCs w:val="21"/>
              </w:rPr>
              <w:t xml:space="preserve">建设单位所使用的原料情况应及时上报园区救援中心，并将可能发生的事故类型及对应的救援方案纳入园区风险管理体系。 </w:t>
            </w:r>
          </w:p>
          <w:p w14:paraId="036CF105">
            <w:pPr>
              <w:adjustRightInd w:val="0"/>
              <w:snapToGrid w:val="0"/>
              <w:spacing w:line="360" w:lineRule="auto"/>
              <w:ind w:firstLine="420" w:firstLineChars="200"/>
              <w:rPr>
                <w:szCs w:val="21"/>
              </w:rPr>
            </w:pPr>
            <w:r>
              <w:rPr>
                <w:rFonts w:hint="eastAsia"/>
                <w:szCs w:val="21"/>
              </w:rPr>
              <w:t xml:space="preserve">园区救援中心应建立入区企业事故类型、应急物资数据库，一旦区内某一家企业发生风险事故，可立即调配其余企业的同类型救援物资进行救援，构筑“一家有难，集体联动”的防范体系。 </w:t>
            </w:r>
          </w:p>
          <w:p w14:paraId="73E68270">
            <w:pPr>
              <w:adjustRightInd w:val="0"/>
              <w:snapToGrid w:val="0"/>
              <w:spacing w:line="360" w:lineRule="auto"/>
              <w:ind w:firstLine="420" w:firstLineChars="200"/>
              <w:rPr>
                <w:szCs w:val="21"/>
              </w:rPr>
            </w:pPr>
            <w:r>
              <w:rPr>
                <w:rFonts w:hint="eastAsia"/>
                <w:szCs w:val="21"/>
              </w:rPr>
              <w:t xml:space="preserve">极端事故风险防控及应急处置应结合所在园区/区域环境风险防控体系统筹考虑，按分级响应要求及时启动园区/区域环境风险防范措施，实现厂内与园区/区域环境风险防控设施及管理有效联动，有效防控环境风险。 </w:t>
            </w:r>
          </w:p>
          <w:p w14:paraId="0F79F2F0">
            <w:pPr>
              <w:adjustRightInd w:val="0"/>
              <w:snapToGrid w:val="0"/>
              <w:spacing w:line="360" w:lineRule="auto"/>
              <w:ind w:firstLine="420" w:firstLineChars="200"/>
              <w:rPr>
                <w:szCs w:val="21"/>
              </w:rPr>
            </w:pPr>
            <w:r>
              <w:rPr>
                <w:szCs w:val="21"/>
              </w:rPr>
              <w:t>综上分析，在各项环境风险防范措施落实到位的情况下，可降低本项目的环境风险，最大程度减少对环境可能造成的危害，项目对环境的风险</w:t>
            </w:r>
            <w:r>
              <w:rPr>
                <w:rFonts w:hint="eastAsia"/>
                <w:szCs w:val="21"/>
              </w:rPr>
              <w:t>可控</w:t>
            </w:r>
            <w:r>
              <w:rPr>
                <w:szCs w:val="21"/>
              </w:rPr>
              <w:t>。</w:t>
            </w:r>
          </w:p>
          <w:p w14:paraId="54699543">
            <w:pPr>
              <w:widowControl/>
              <w:shd w:val="clear" w:color="auto" w:fill="FFFFFF"/>
              <w:spacing w:line="360" w:lineRule="auto"/>
              <w:ind w:firstLine="454" w:firstLineChars="200"/>
              <w:jc w:val="left"/>
              <w:rPr>
                <w:b/>
                <w:bCs/>
                <w:spacing w:val="8"/>
                <w:kern w:val="0"/>
                <w:szCs w:val="21"/>
              </w:rPr>
            </w:pPr>
            <w:r>
              <w:rPr>
                <w:b/>
                <w:bCs/>
                <w:spacing w:val="8"/>
                <w:kern w:val="0"/>
                <w:szCs w:val="21"/>
              </w:rPr>
              <w:t>7.</w:t>
            </w:r>
            <w:r>
              <w:rPr>
                <w:rFonts w:hint="eastAsia"/>
                <w:b/>
                <w:bCs/>
                <w:spacing w:val="8"/>
                <w:kern w:val="0"/>
                <w:szCs w:val="21"/>
              </w:rPr>
              <w:t>项目“三同时”验收及环境应急监测方案</w:t>
            </w:r>
          </w:p>
          <w:p w14:paraId="71900E64">
            <w:pPr>
              <w:adjustRightInd w:val="0"/>
              <w:snapToGrid w:val="0"/>
              <w:spacing w:line="360" w:lineRule="auto"/>
              <w:ind w:firstLine="420" w:firstLineChars="200"/>
              <w:rPr>
                <w:szCs w:val="21"/>
              </w:rPr>
            </w:pPr>
            <w:r>
              <w:rPr>
                <w:szCs w:val="21"/>
              </w:rPr>
              <w:t>（1）</w:t>
            </w:r>
            <w:r>
              <w:rPr>
                <w:rFonts w:hint="eastAsia"/>
                <w:szCs w:val="21"/>
              </w:rPr>
              <w:t>“</w:t>
            </w:r>
            <w:r>
              <w:rPr>
                <w:szCs w:val="21"/>
              </w:rPr>
              <w:t>三同时</w:t>
            </w:r>
            <w:r>
              <w:rPr>
                <w:rFonts w:hint="eastAsia"/>
                <w:szCs w:val="21"/>
              </w:rPr>
              <w:t>”</w:t>
            </w:r>
            <w:r>
              <w:rPr>
                <w:szCs w:val="21"/>
              </w:rPr>
              <w:t>验收一览表</w:t>
            </w:r>
          </w:p>
          <w:p w14:paraId="3E85177A">
            <w:pPr>
              <w:adjustRightInd w:val="0"/>
              <w:snapToGrid w:val="0"/>
              <w:ind w:firstLine="482"/>
              <w:jc w:val="center"/>
              <w:rPr>
                <w:b/>
                <w:bCs/>
                <w:kern w:val="0"/>
              </w:rPr>
            </w:pPr>
            <w:r>
              <w:rPr>
                <w:b/>
                <w:bCs/>
                <w:kern w:val="0"/>
              </w:rPr>
              <w:t>表4-3</w:t>
            </w:r>
            <w:r>
              <w:rPr>
                <w:rFonts w:hint="eastAsia"/>
                <w:b/>
                <w:bCs/>
                <w:kern w:val="0"/>
                <w:lang w:val="en-US" w:eastAsia="zh-CN"/>
              </w:rPr>
              <w:t>6</w:t>
            </w:r>
            <w:r>
              <w:rPr>
                <w:b/>
                <w:bCs/>
                <w:kern w:val="0"/>
              </w:rPr>
              <w:t xml:space="preserve">  建设项目“三同时”验收监测建议清单</w:t>
            </w:r>
          </w:p>
          <w:tbl>
            <w:tblPr>
              <w:tblStyle w:val="23"/>
              <w:tblW w:w="84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57" w:type="dxa"/>
                <w:left w:w="0" w:type="dxa"/>
                <w:bottom w:w="57" w:type="dxa"/>
                <w:right w:w="0" w:type="dxa"/>
              </w:tblCellMar>
            </w:tblPr>
            <w:tblGrid>
              <w:gridCol w:w="837"/>
              <w:gridCol w:w="976"/>
              <w:gridCol w:w="1373"/>
              <w:gridCol w:w="1887"/>
              <w:gridCol w:w="2636"/>
              <w:gridCol w:w="767"/>
            </w:tblGrid>
            <w:tr w14:paraId="163A6C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0" w:type="dxa"/>
                  <w:bottom w:w="57" w:type="dxa"/>
                  <w:right w:w="0" w:type="dxa"/>
                </w:tblCellMar>
              </w:tblPrEx>
              <w:trPr>
                <w:trHeight w:val="284" w:hRule="atLeast"/>
              </w:trPr>
              <w:tc>
                <w:tcPr>
                  <w:tcW w:w="837" w:type="dxa"/>
                  <w:vAlign w:val="center"/>
                </w:tcPr>
                <w:p w14:paraId="12E2749F">
                  <w:pPr>
                    <w:adjustRightInd w:val="0"/>
                    <w:snapToGrid w:val="0"/>
                    <w:jc w:val="center"/>
                    <w:rPr>
                      <w:b/>
                      <w:bCs/>
                      <w:sz w:val="18"/>
                      <w:szCs w:val="18"/>
                    </w:rPr>
                  </w:pPr>
                  <w:r>
                    <w:rPr>
                      <w:b/>
                      <w:bCs/>
                      <w:sz w:val="18"/>
                      <w:szCs w:val="18"/>
                    </w:rPr>
                    <w:t>类别</w:t>
                  </w:r>
                </w:p>
              </w:tc>
              <w:tc>
                <w:tcPr>
                  <w:tcW w:w="976" w:type="dxa"/>
                  <w:vAlign w:val="center"/>
                </w:tcPr>
                <w:p w14:paraId="14A0AE50">
                  <w:pPr>
                    <w:adjustRightInd w:val="0"/>
                    <w:snapToGrid w:val="0"/>
                    <w:jc w:val="center"/>
                    <w:rPr>
                      <w:b/>
                      <w:bCs/>
                      <w:sz w:val="18"/>
                      <w:szCs w:val="18"/>
                    </w:rPr>
                  </w:pPr>
                  <w:r>
                    <w:rPr>
                      <w:b/>
                      <w:bCs/>
                      <w:sz w:val="18"/>
                      <w:szCs w:val="18"/>
                    </w:rPr>
                    <w:t>污染源</w:t>
                  </w:r>
                </w:p>
              </w:tc>
              <w:tc>
                <w:tcPr>
                  <w:tcW w:w="1373" w:type="dxa"/>
                  <w:vAlign w:val="center"/>
                </w:tcPr>
                <w:p w14:paraId="734BEF87">
                  <w:pPr>
                    <w:adjustRightInd w:val="0"/>
                    <w:snapToGrid w:val="0"/>
                    <w:jc w:val="center"/>
                    <w:rPr>
                      <w:b/>
                      <w:bCs/>
                      <w:sz w:val="18"/>
                      <w:szCs w:val="18"/>
                    </w:rPr>
                  </w:pPr>
                  <w:r>
                    <w:rPr>
                      <w:b/>
                      <w:bCs/>
                      <w:sz w:val="18"/>
                      <w:szCs w:val="18"/>
                    </w:rPr>
                    <w:t>污染物</w:t>
                  </w:r>
                </w:p>
              </w:tc>
              <w:tc>
                <w:tcPr>
                  <w:tcW w:w="1887" w:type="dxa"/>
                  <w:vAlign w:val="center"/>
                </w:tcPr>
                <w:p w14:paraId="4330FE49">
                  <w:pPr>
                    <w:adjustRightInd w:val="0"/>
                    <w:snapToGrid w:val="0"/>
                    <w:jc w:val="center"/>
                    <w:rPr>
                      <w:b/>
                      <w:bCs/>
                      <w:sz w:val="18"/>
                      <w:szCs w:val="18"/>
                    </w:rPr>
                  </w:pPr>
                  <w:r>
                    <w:rPr>
                      <w:b/>
                      <w:bCs/>
                      <w:sz w:val="18"/>
                      <w:szCs w:val="18"/>
                    </w:rPr>
                    <w:t>治理措施（建设数量、规模、处理能力等）</w:t>
                  </w:r>
                </w:p>
              </w:tc>
              <w:tc>
                <w:tcPr>
                  <w:tcW w:w="2636" w:type="dxa"/>
                  <w:vAlign w:val="center"/>
                </w:tcPr>
                <w:p w14:paraId="49981441">
                  <w:pPr>
                    <w:adjustRightInd w:val="0"/>
                    <w:snapToGrid w:val="0"/>
                    <w:jc w:val="center"/>
                    <w:rPr>
                      <w:b/>
                      <w:bCs/>
                      <w:sz w:val="18"/>
                      <w:szCs w:val="18"/>
                    </w:rPr>
                  </w:pPr>
                  <w:r>
                    <w:rPr>
                      <w:b/>
                      <w:bCs/>
                      <w:sz w:val="18"/>
                      <w:szCs w:val="18"/>
                    </w:rPr>
                    <w:t>处理效果、执行标准或</w:t>
                  </w:r>
                </w:p>
                <w:p w14:paraId="6A4DE45E">
                  <w:pPr>
                    <w:adjustRightInd w:val="0"/>
                    <w:snapToGrid w:val="0"/>
                    <w:jc w:val="center"/>
                    <w:rPr>
                      <w:b/>
                      <w:bCs/>
                      <w:sz w:val="18"/>
                      <w:szCs w:val="18"/>
                    </w:rPr>
                  </w:pPr>
                  <w:r>
                    <w:rPr>
                      <w:b/>
                      <w:bCs/>
                      <w:sz w:val="18"/>
                      <w:szCs w:val="18"/>
                    </w:rPr>
                    <w:t>拟达要求</w:t>
                  </w:r>
                </w:p>
              </w:tc>
              <w:tc>
                <w:tcPr>
                  <w:tcW w:w="767" w:type="dxa"/>
                  <w:vAlign w:val="center"/>
                </w:tcPr>
                <w:p w14:paraId="493ED36C">
                  <w:pPr>
                    <w:adjustRightInd w:val="0"/>
                    <w:snapToGrid w:val="0"/>
                    <w:jc w:val="center"/>
                    <w:rPr>
                      <w:b/>
                      <w:bCs/>
                      <w:sz w:val="18"/>
                      <w:szCs w:val="18"/>
                    </w:rPr>
                  </w:pPr>
                  <w:r>
                    <w:rPr>
                      <w:b/>
                      <w:bCs/>
                      <w:sz w:val="18"/>
                      <w:szCs w:val="18"/>
                    </w:rPr>
                    <w:t>完成</w:t>
                  </w:r>
                </w:p>
                <w:p w14:paraId="0A41B7F2">
                  <w:pPr>
                    <w:adjustRightInd w:val="0"/>
                    <w:snapToGrid w:val="0"/>
                    <w:jc w:val="center"/>
                    <w:rPr>
                      <w:b/>
                      <w:bCs/>
                      <w:sz w:val="18"/>
                      <w:szCs w:val="18"/>
                    </w:rPr>
                  </w:pPr>
                  <w:r>
                    <w:rPr>
                      <w:b/>
                      <w:bCs/>
                      <w:sz w:val="18"/>
                      <w:szCs w:val="18"/>
                    </w:rPr>
                    <w:t>时间</w:t>
                  </w:r>
                </w:p>
              </w:tc>
            </w:tr>
            <w:tr w14:paraId="3DE633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0" w:type="dxa"/>
                  <w:bottom w:w="57" w:type="dxa"/>
                  <w:right w:w="0" w:type="dxa"/>
                </w:tblCellMar>
              </w:tblPrEx>
              <w:trPr>
                <w:trHeight w:val="284" w:hRule="atLeast"/>
              </w:trPr>
              <w:tc>
                <w:tcPr>
                  <w:tcW w:w="837" w:type="dxa"/>
                  <w:vAlign w:val="center"/>
                </w:tcPr>
                <w:p w14:paraId="5A74414F">
                  <w:pPr>
                    <w:adjustRightInd w:val="0"/>
                    <w:snapToGrid w:val="0"/>
                    <w:jc w:val="center"/>
                    <w:rPr>
                      <w:sz w:val="18"/>
                      <w:szCs w:val="18"/>
                    </w:rPr>
                  </w:pPr>
                  <w:r>
                    <w:rPr>
                      <w:sz w:val="18"/>
                      <w:szCs w:val="18"/>
                    </w:rPr>
                    <w:t>废水</w:t>
                  </w:r>
                </w:p>
              </w:tc>
              <w:tc>
                <w:tcPr>
                  <w:tcW w:w="976" w:type="dxa"/>
                  <w:vAlign w:val="center"/>
                </w:tcPr>
                <w:p w14:paraId="38FA6943">
                  <w:pPr>
                    <w:adjustRightInd w:val="0"/>
                    <w:snapToGrid w:val="0"/>
                    <w:jc w:val="center"/>
                    <w:rPr>
                      <w:sz w:val="18"/>
                      <w:szCs w:val="18"/>
                    </w:rPr>
                  </w:pPr>
                  <w:r>
                    <w:rPr>
                      <w:sz w:val="18"/>
                      <w:szCs w:val="18"/>
                    </w:rPr>
                    <w:t>生活污水</w:t>
                  </w:r>
                </w:p>
              </w:tc>
              <w:tc>
                <w:tcPr>
                  <w:tcW w:w="1373" w:type="dxa"/>
                  <w:vAlign w:val="center"/>
                </w:tcPr>
                <w:p w14:paraId="79A508F3">
                  <w:pPr>
                    <w:adjustRightInd w:val="0"/>
                    <w:snapToGrid w:val="0"/>
                    <w:jc w:val="center"/>
                    <w:rPr>
                      <w:sz w:val="18"/>
                      <w:szCs w:val="18"/>
                    </w:rPr>
                  </w:pPr>
                  <w:r>
                    <w:rPr>
                      <w:rFonts w:hint="eastAsia"/>
                      <w:sz w:val="18"/>
                      <w:szCs w:val="18"/>
                    </w:rPr>
                    <w:t>p</w:t>
                  </w:r>
                  <w:r>
                    <w:rPr>
                      <w:sz w:val="18"/>
                      <w:szCs w:val="18"/>
                    </w:rPr>
                    <w:t>H</w:t>
                  </w:r>
                  <w:r>
                    <w:rPr>
                      <w:rFonts w:hint="eastAsia"/>
                      <w:sz w:val="18"/>
                      <w:szCs w:val="18"/>
                    </w:rPr>
                    <w:t>、</w:t>
                  </w:r>
                  <w:r>
                    <w:rPr>
                      <w:sz w:val="18"/>
                      <w:szCs w:val="18"/>
                    </w:rPr>
                    <w:t>COD、SS、氨氮、总氮、TP</w:t>
                  </w:r>
                </w:p>
              </w:tc>
              <w:tc>
                <w:tcPr>
                  <w:tcW w:w="1887" w:type="dxa"/>
                  <w:vAlign w:val="center"/>
                </w:tcPr>
                <w:p w14:paraId="4B555BC5">
                  <w:pPr>
                    <w:adjustRightInd w:val="0"/>
                    <w:snapToGrid w:val="0"/>
                    <w:jc w:val="center"/>
                    <w:rPr>
                      <w:sz w:val="18"/>
                      <w:szCs w:val="18"/>
                    </w:rPr>
                  </w:pPr>
                  <w:r>
                    <w:rPr>
                      <w:rFonts w:hint="eastAsia"/>
                      <w:sz w:val="18"/>
                      <w:szCs w:val="18"/>
                    </w:rPr>
                    <w:t>1个5</w:t>
                  </w:r>
                  <w:r>
                    <w:rPr>
                      <w:sz w:val="18"/>
                      <w:szCs w:val="18"/>
                    </w:rPr>
                    <w:t>m</w:t>
                  </w:r>
                  <w:r>
                    <w:rPr>
                      <w:sz w:val="18"/>
                      <w:szCs w:val="18"/>
                      <w:vertAlign w:val="superscript"/>
                    </w:rPr>
                    <w:t>3</w:t>
                  </w:r>
                  <w:r>
                    <w:rPr>
                      <w:sz w:val="18"/>
                      <w:szCs w:val="18"/>
                    </w:rPr>
                    <w:t>化粪池</w:t>
                  </w:r>
                </w:p>
              </w:tc>
              <w:tc>
                <w:tcPr>
                  <w:tcW w:w="2636" w:type="dxa"/>
                  <w:vAlign w:val="center"/>
                </w:tcPr>
                <w:p w14:paraId="24AE7A65">
                  <w:pPr>
                    <w:autoSpaceDE w:val="0"/>
                    <w:autoSpaceDN w:val="0"/>
                    <w:adjustRightInd w:val="0"/>
                    <w:snapToGrid w:val="0"/>
                    <w:jc w:val="center"/>
                    <w:rPr>
                      <w:sz w:val="18"/>
                      <w:szCs w:val="18"/>
                    </w:rPr>
                  </w:pPr>
                  <w:r>
                    <w:rPr>
                      <w:sz w:val="18"/>
                      <w:szCs w:val="18"/>
                    </w:rPr>
                    <w:t>满足</w:t>
                  </w:r>
                  <w:r>
                    <w:rPr>
                      <w:rFonts w:hint="eastAsia"/>
                      <w:sz w:val="18"/>
                      <w:szCs w:val="18"/>
                    </w:rPr>
                    <w:t>海安李堡滇池水务有限公司设计进水标准</w:t>
                  </w:r>
                </w:p>
              </w:tc>
              <w:tc>
                <w:tcPr>
                  <w:tcW w:w="767" w:type="dxa"/>
                  <w:vMerge w:val="restart"/>
                  <w:vAlign w:val="center"/>
                </w:tcPr>
                <w:p w14:paraId="549A48C3">
                  <w:pPr>
                    <w:adjustRightInd w:val="0"/>
                    <w:snapToGrid w:val="0"/>
                    <w:jc w:val="center"/>
                    <w:rPr>
                      <w:sz w:val="18"/>
                      <w:szCs w:val="18"/>
                    </w:rPr>
                  </w:pPr>
                  <w:r>
                    <w:rPr>
                      <w:rFonts w:hint="eastAsia"/>
                      <w:sz w:val="18"/>
                      <w:szCs w:val="18"/>
                    </w:rPr>
                    <w:t>与主体工程同时设计、同时施工、同时投产使用</w:t>
                  </w:r>
                </w:p>
              </w:tc>
            </w:tr>
            <w:tr w14:paraId="46AFC9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0" w:type="dxa"/>
                  <w:bottom w:w="57" w:type="dxa"/>
                  <w:right w:w="0" w:type="dxa"/>
                </w:tblCellMar>
              </w:tblPrEx>
              <w:trPr>
                <w:trHeight w:val="420" w:hRule="atLeast"/>
              </w:trPr>
              <w:tc>
                <w:tcPr>
                  <w:tcW w:w="837" w:type="dxa"/>
                  <w:vMerge w:val="restart"/>
                  <w:vAlign w:val="center"/>
                </w:tcPr>
                <w:p w14:paraId="4340C413">
                  <w:pPr>
                    <w:adjustRightInd w:val="0"/>
                    <w:snapToGrid w:val="0"/>
                    <w:jc w:val="center"/>
                    <w:rPr>
                      <w:sz w:val="18"/>
                      <w:szCs w:val="18"/>
                    </w:rPr>
                  </w:pPr>
                  <w:r>
                    <w:rPr>
                      <w:rFonts w:hint="eastAsia"/>
                      <w:sz w:val="18"/>
                      <w:szCs w:val="18"/>
                    </w:rPr>
                    <w:t>废气</w:t>
                  </w:r>
                </w:p>
              </w:tc>
              <w:tc>
                <w:tcPr>
                  <w:tcW w:w="976" w:type="dxa"/>
                  <w:vMerge w:val="restart"/>
                  <w:vAlign w:val="center"/>
                </w:tcPr>
                <w:p w14:paraId="26AEE4A5">
                  <w:pPr>
                    <w:adjustRightInd w:val="0"/>
                    <w:snapToGrid w:val="0"/>
                    <w:jc w:val="center"/>
                    <w:rPr>
                      <w:sz w:val="18"/>
                      <w:szCs w:val="18"/>
                    </w:rPr>
                  </w:pPr>
                  <w:r>
                    <w:rPr>
                      <w:rFonts w:hint="eastAsia"/>
                      <w:sz w:val="18"/>
                      <w:szCs w:val="18"/>
                    </w:rPr>
                    <w:t>D</w:t>
                  </w:r>
                  <w:r>
                    <w:rPr>
                      <w:sz w:val="18"/>
                      <w:szCs w:val="18"/>
                    </w:rPr>
                    <w:t>A001</w:t>
                  </w:r>
                </w:p>
              </w:tc>
              <w:tc>
                <w:tcPr>
                  <w:tcW w:w="1373" w:type="dxa"/>
                  <w:vAlign w:val="center"/>
                </w:tcPr>
                <w:p w14:paraId="1E865C52">
                  <w:pPr>
                    <w:adjustRightInd w:val="0"/>
                    <w:snapToGrid w:val="0"/>
                    <w:jc w:val="center"/>
                    <w:rPr>
                      <w:rFonts w:hint="default" w:eastAsia="宋体"/>
                      <w:color w:val="0000FF"/>
                      <w:sz w:val="18"/>
                      <w:szCs w:val="18"/>
                      <w:lang w:val="en-US" w:eastAsia="zh-CN"/>
                    </w:rPr>
                  </w:pPr>
                  <w:r>
                    <w:rPr>
                      <w:rFonts w:hint="default"/>
                      <w:color w:val="0000FF"/>
                      <w:sz w:val="18"/>
                      <w:szCs w:val="18"/>
                      <w:lang w:val="en-US" w:eastAsia="zh-CN"/>
                    </w:rPr>
                    <w:t>苯系物、氮氧化物、</w:t>
                  </w:r>
                  <w:r>
                    <w:rPr>
                      <w:rFonts w:hint="default"/>
                      <w:color w:val="0000FF"/>
                      <w:sz w:val="18"/>
                      <w:szCs w:val="18"/>
                    </w:rPr>
                    <w:t>非甲烷总烃、二甲苯、</w:t>
                  </w:r>
                  <w:r>
                    <w:rPr>
                      <w:rFonts w:hint="default"/>
                      <w:color w:val="0000FF"/>
                      <w:sz w:val="18"/>
                      <w:szCs w:val="18"/>
                      <w:lang w:val="en-US" w:eastAsia="zh-CN"/>
                    </w:rPr>
                    <w:t>氯化氢、硫酸雾</w:t>
                  </w:r>
                  <w:r>
                    <w:rPr>
                      <w:rFonts w:hint="default"/>
                      <w:color w:val="0000FF"/>
                      <w:sz w:val="18"/>
                      <w:szCs w:val="18"/>
                      <w:lang w:eastAsia="zh-CN"/>
                    </w:rPr>
                    <w:t>、</w:t>
                  </w:r>
                  <w:r>
                    <w:rPr>
                      <w:rFonts w:hint="default"/>
                      <w:color w:val="0000FF"/>
                      <w:sz w:val="18"/>
                      <w:szCs w:val="18"/>
                      <w:lang w:val="en-US" w:eastAsia="zh-CN"/>
                    </w:rPr>
                    <w:t>氯苯类、苯胺类、酚类、</w:t>
                  </w:r>
                  <w:r>
                    <w:rPr>
                      <w:rFonts w:hint="default"/>
                      <w:color w:val="0000FF"/>
                      <w:sz w:val="18"/>
                      <w:szCs w:val="18"/>
                    </w:rPr>
                    <w:t>甲醇</w:t>
                  </w:r>
                  <w:r>
                    <w:rPr>
                      <w:rFonts w:hint="eastAsia"/>
                      <w:color w:val="0000FF"/>
                      <w:sz w:val="18"/>
                      <w:szCs w:val="18"/>
                      <w:lang w:eastAsia="zh-CN"/>
                    </w:rPr>
                    <w:t>；</w:t>
                  </w:r>
                  <w:r>
                    <w:rPr>
                      <w:rFonts w:hint="eastAsia"/>
                      <w:color w:val="0000FF"/>
                      <w:sz w:val="18"/>
                      <w:szCs w:val="18"/>
                      <w:lang w:val="en-US" w:eastAsia="zh-CN"/>
                    </w:rPr>
                    <w:t>去除率</w:t>
                  </w:r>
                </w:p>
              </w:tc>
              <w:tc>
                <w:tcPr>
                  <w:tcW w:w="1887" w:type="dxa"/>
                  <w:vMerge w:val="restart"/>
                  <w:vAlign w:val="center"/>
                </w:tcPr>
                <w:p w14:paraId="2390691E">
                  <w:pPr>
                    <w:adjustRightInd w:val="0"/>
                    <w:snapToGrid w:val="0"/>
                    <w:jc w:val="center"/>
                    <w:rPr>
                      <w:sz w:val="18"/>
                      <w:szCs w:val="18"/>
                    </w:rPr>
                  </w:pPr>
                  <w:r>
                    <w:rPr>
                      <w:rFonts w:hint="eastAsia"/>
                      <w:sz w:val="18"/>
                      <w:szCs w:val="18"/>
                    </w:rPr>
                    <w:t>1套水喷淋+除雾器+二级活性炭吸附装置</w:t>
                  </w:r>
                </w:p>
              </w:tc>
              <w:tc>
                <w:tcPr>
                  <w:tcW w:w="2636" w:type="dxa"/>
                  <w:vAlign w:val="center"/>
                </w:tcPr>
                <w:p w14:paraId="761D67A1">
                  <w:pPr>
                    <w:autoSpaceDE w:val="0"/>
                    <w:autoSpaceDN w:val="0"/>
                    <w:adjustRightInd w:val="0"/>
                    <w:snapToGrid w:val="0"/>
                    <w:jc w:val="center"/>
                    <w:rPr>
                      <w:sz w:val="18"/>
                      <w:szCs w:val="18"/>
                    </w:rPr>
                  </w:pPr>
                  <w:r>
                    <w:rPr>
                      <w:sz w:val="18"/>
                      <w:szCs w:val="18"/>
                    </w:rPr>
                    <w:t>《大气污染物综合排放标准》（DB32/4041-2021）</w:t>
                  </w:r>
                </w:p>
              </w:tc>
              <w:tc>
                <w:tcPr>
                  <w:tcW w:w="767" w:type="dxa"/>
                  <w:vMerge w:val="continue"/>
                  <w:vAlign w:val="center"/>
                </w:tcPr>
                <w:p w14:paraId="611D937B">
                  <w:pPr>
                    <w:adjustRightInd w:val="0"/>
                    <w:snapToGrid w:val="0"/>
                    <w:jc w:val="center"/>
                    <w:rPr>
                      <w:sz w:val="18"/>
                      <w:szCs w:val="18"/>
                    </w:rPr>
                  </w:pPr>
                </w:p>
              </w:tc>
            </w:tr>
            <w:tr w14:paraId="714422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0" w:type="dxa"/>
                  <w:bottom w:w="57" w:type="dxa"/>
                  <w:right w:w="0" w:type="dxa"/>
                </w:tblCellMar>
              </w:tblPrEx>
              <w:trPr>
                <w:trHeight w:val="420" w:hRule="atLeast"/>
              </w:trPr>
              <w:tc>
                <w:tcPr>
                  <w:tcW w:w="837" w:type="dxa"/>
                  <w:vMerge w:val="continue"/>
                  <w:vAlign w:val="center"/>
                </w:tcPr>
                <w:p w14:paraId="5DEDF08A">
                  <w:pPr>
                    <w:adjustRightInd w:val="0"/>
                    <w:snapToGrid w:val="0"/>
                    <w:jc w:val="center"/>
                    <w:rPr>
                      <w:rFonts w:hint="eastAsia"/>
                      <w:sz w:val="18"/>
                      <w:szCs w:val="18"/>
                    </w:rPr>
                  </w:pPr>
                </w:p>
              </w:tc>
              <w:tc>
                <w:tcPr>
                  <w:tcW w:w="976" w:type="dxa"/>
                  <w:vMerge w:val="continue"/>
                  <w:vAlign w:val="center"/>
                </w:tcPr>
                <w:p w14:paraId="7995A823">
                  <w:pPr>
                    <w:adjustRightInd w:val="0"/>
                    <w:snapToGrid w:val="0"/>
                    <w:jc w:val="center"/>
                    <w:rPr>
                      <w:rFonts w:hint="eastAsia"/>
                      <w:sz w:val="18"/>
                      <w:szCs w:val="18"/>
                    </w:rPr>
                  </w:pPr>
                </w:p>
              </w:tc>
              <w:tc>
                <w:tcPr>
                  <w:tcW w:w="1373" w:type="dxa"/>
                  <w:vAlign w:val="center"/>
                </w:tcPr>
                <w:p w14:paraId="4F91F614">
                  <w:pPr>
                    <w:adjustRightInd w:val="0"/>
                    <w:snapToGrid w:val="0"/>
                    <w:jc w:val="center"/>
                    <w:rPr>
                      <w:color w:val="0000FF"/>
                      <w:sz w:val="18"/>
                      <w:szCs w:val="18"/>
                    </w:rPr>
                  </w:pPr>
                  <w:r>
                    <w:rPr>
                      <w:rFonts w:hint="eastAsia"/>
                      <w:color w:val="0000FF"/>
                      <w:sz w:val="18"/>
                      <w:szCs w:val="18"/>
                      <w:lang w:val="en-US" w:eastAsia="zh-CN"/>
                    </w:rPr>
                    <w:t>乙腈</w:t>
                  </w:r>
                  <w:r>
                    <w:rPr>
                      <w:rFonts w:hint="eastAsia"/>
                      <w:color w:val="0000FF"/>
                      <w:sz w:val="18"/>
                      <w:szCs w:val="18"/>
                      <w:lang w:eastAsia="zh-CN"/>
                    </w:rPr>
                    <w:t>；</w:t>
                  </w:r>
                  <w:r>
                    <w:rPr>
                      <w:rFonts w:hint="eastAsia"/>
                      <w:color w:val="0000FF"/>
                      <w:sz w:val="18"/>
                      <w:szCs w:val="18"/>
                      <w:lang w:val="en-US" w:eastAsia="zh-CN"/>
                    </w:rPr>
                    <w:t>去除率</w:t>
                  </w:r>
                </w:p>
              </w:tc>
              <w:tc>
                <w:tcPr>
                  <w:tcW w:w="1887" w:type="dxa"/>
                  <w:vMerge w:val="continue"/>
                  <w:vAlign w:val="center"/>
                </w:tcPr>
                <w:p w14:paraId="6A999786">
                  <w:pPr>
                    <w:adjustRightInd w:val="0"/>
                    <w:snapToGrid w:val="0"/>
                    <w:jc w:val="center"/>
                    <w:rPr>
                      <w:rFonts w:hint="eastAsia"/>
                      <w:sz w:val="18"/>
                      <w:szCs w:val="18"/>
                    </w:rPr>
                  </w:pPr>
                </w:p>
              </w:tc>
              <w:tc>
                <w:tcPr>
                  <w:tcW w:w="2636" w:type="dxa"/>
                  <w:vAlign w:val="center"/>
                </w:tcPr>
                <w:p w14:paraId="6432AA12">
                  <w:pPr>
                    <w:autoSpaceDE w:val="0"/>
                    <w:autoSpaceDN w:val="0"/>
                    <w:adjustRightInd w:val="0"/>
                    <w:snapToGrid w:val="0"/>
                    <w:jc w:val="center"/>
                    <w:rPr>
                      <w:sz w:val="18"/>
                      <w:szCs w:val="18"/>
                    </w:rPr>
                  </w:pPr>
                  <w:r>
                    <w:rPr>
                      <w:rFonts w:hint="default"/>
                      <w:sz w:val="18"/>
                      <w:szCs w:val="18"/>
                      <w:lang w:val="en-US" w:eastAsia="zh-CN"/>
                    </w:rPr>
                    <w:t>《化学工业挥发性有机物排放标准》（DB32/3151-2016）</w:t>
                  </w:r>
                </w:p>
              </w:tc>
              <w:tc>
                <w:tcPr>
                  <w:tcW w:w="767" w:type="dxa"/>
                  <w:vMerge w:val="continue"/>
                  <w:vAlign w:val="center"/>
                </w:tcPr>
                <w:p w14:paraId="5AC6450E">
                  <w:pPr>
                    <w:adjustRightInd w:val="0"/>
                    <w:snapToGrid w:val="0"/>
                    <w:jc w:val="center"/>
                    <w:rPr>
                      <w:sz w:val="18"/>
                      <w:szCs w:val="18"/>
                    </w:rPr>
                  </w:pPr>
                </w:p>
              </w:tc>
            </w:tr>
            <w:tr w14:paraId="1FD2FE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0" w:type="dxa"/>
                  <w:bottom w:w="57" w:type="dxa"/>
                  <w:right w:w="0" w:type="dxa"/>
                </w:tblCellMar>
              </w:tblPrEx>
              <w:trPr>
                <w:trHeight w:val="90" w:hRule="atLeast"/>
              </w:trPr>
              <w:tc>
                <w:tcPr>
                  <w:tcW w:w="837" w:type="dxa"/>
                  <w:vMerge w:val="continue"/>
                  <w:vAlign w:val="center"/>
                </w:tcPr>
                <w:p w14:paraId="46D96D1B">
                  <w:pPr>
                    <w:adjustRightInd w:val="0"/>
                    <w:snapToGrid w:val="0"/>
                    <w:jc w:val="center"/>
                    <w:rPr>
                      <w:sz w:val="18"/>
                      <w:szCs w:val="18"/>
                    </w:rPr>
                  </w:pPr>
                </w:p>
              </w:tc>
              <w:tc>
                <w:tcPr>
                  <w:tcW w:w="976" w:type="dxa"/>
                  <w:vMerge w:val="continue"/>
                  <w:vAlign w:val="center"/>
                </w:tcPr>
                <w:p w14:paraId="050D3D0A">
                  <w:pPr>
                    <w:adjustRightInd w:val="0"/>
                    <w:snapToGrid w:val="0"/>
                    <w:jc w:val="center"/>
                    <w:rPr>
                      <w:sz w:val="18"/>
                      <w:szCs w:val="18"/>
                    </w:rPr>
                  </w:pPr>
                </w:p>
              </w:tc>
              <w:tc>
                <w:tcPr>
                  <w:tcW w:w="1373" w:type="dxa"/>
                  <w:vAlign w:val="center"/>
                </w:tcPr>
                <w:p w14:paraId="67EB5FC7">
                  <w:pPr>
                    <w:adjustRightInd w:val="0"/>
                    <w:snapToGrid w:val="0"/>
                    <w:jc w:val="center"/>
                    <w:rPr>
                      <w:rFonts w:hint="default" w:eastAsia="宋体"/>
                      <w:color w:val="0000FF"/>
                      <w:sz w:val="18"/>
                      <w:szCs w:val="18"/>
                      <w:lang w:val="en-US" w:eastAsia="zh-CN"/>
                    </w:rPr>
                  </w:pPr>
                  <w:r>
                    <w:rPr>
                      <w:color w:val="0000FF"/>
                      <w:sz w:val="18"/>
                      <w:szCs w:val="18"/>
                    </w:rPr>
                    <w:t>臭气浓度</w:t>
                  </w:r>
                  <w:r>
                    <w:rPr>
                      <w:rFonts w:hint="eastAsia"/>
                      <w:color w:val="0000FF"/>
                      <w:sz w:val="18"/>
                      <w:szCs w:val="18"/>
                    </w:rPr>
                    <w:t>、氨气</w:t>
                  </w:r>
                  <w:r>
                    <w:rPr>
                      <w:rFonts w:hint="eastAsia"/>
                      <w:color w:val="0000FF"/>
                      <w:sz w:val="18"/>
                      <w:szCs w:val="18"/>
                      <w:lang w:eastAsia="zh-CN"/>
                    </w:rPr>
                    <w:t>、</w:t>
                  </w:r>
                  <w:r>
                    <w:rPr>
                      <w:rFonts w:hint="eastAsia"/>
                      <w:color w:val="0000FF"/>
                      <w:sz w:val="18"/>
                      <w:szCs w:val="18"/>
                      <w:lang w:val="en-US" w:eastAsia="zh-CN"/>
                    </w:rPr>
                    <w:t>苯乙烯</w:t>
                  </w:r>
                  <w:r>
                    <w:rPr>
                      <w:rFonts w:hint="eastAsia"/>
                      <w:color w:val="0000FF"/>
                      <w:sz w:val="18"/>
                      <w:szCs w:val="18"/>
                      <w:lang w:eastAsia="zh-CN"/>
                    </w:rPr>
                    <w:t>；</w:t>
                  </w:r>
                  <w:r>
                    <w:rPr>
                      <w:rFonts w:hint="eastAsia"/>
                      <w:color w:val="0000FF"/>
                      <w:sz w:val="18"/>
                      <w:szCs w:val="18"/>
                      <w:lang w:val="en-US" w:eastAsia="zh-CN"/>
                    </w:rPr>
                    <w:t>去除率</w:t>
                  </w:r>
                </w:p>
              </w:tc>
              <w:tc>
                <w:tcPr>
                  <w:tcW w:w="1887" w:type="dxa"/>
                  <w:vMerge w:val="continue"/>
                  <w:vAlign w:val="center"/>
                </w:tcPr>
                <w:p w14:paraId="4BC64982">
                  <w:pPr>
                    <w:adjustRightInd w:val="0"/>
                    <w:snapToGrid w:val="0"/>
                    <w:jc w:val="center"/>
                    <w:rPr>
                      <w:sz w:val="18"/>
                      <w:szCs w:val="18"/>
                    </w:rPr>
                  </w:pPr>
                </w:p>
              </w:tc>
              <w:tc>
                <w:tcPr>
                  <w:tcW w:w="2636" w:type="dxa"/>
                  <w:vAlign w:val="center"/>
                </w:tcPr>
                <w:p w14:paraId="10FECF81">
                  <w:pPr>
                    <w:autoSpaceDE w:val="0"/>
                    <w:autoSpaceDN w:val="0"/>
                    <w:adjustRightInd w:val="0"/>
                    <w:snapToGrid w:val="0"/>
                    <w:jc w:val="center"/>
                    <w:rPr>
                      <w:sz w:val="18"/>
                      <w:szCs w:val="18"/>
                    </w:rPr>
                  </w:pPr>
                  <w:r>
                    <w:rPr>
                      <w:sz w:val="18"/>
                      <w:szCs w:val="18"/>
                    </w:rPr>
                    <w:t>《恶臭污染物排放标准》（GB</w:t>
                  </w:r>
                  <w:r>
                    <w:rPr>
                      <w:rFonts w:hint="eastAsia"/>
                      <w:sz w:val="18"/>
                      <w:szCs w:val="18"/>
                    </w:rPr>
                    <w:t>14554</w:t>
                  </w:r>
                  <w:r>
                    <w:rPr>
                      <w:sz w:val="18"/>
                      <w:szCs w:val="18"/>
                    </w:rPr>
                    <w:t>-93）</w:t>
                  </w:r>
                </w:p>
              </w:tc>
              <w:tc>
                <w:tcPr>
                  <w:tcW w:w="767" w:type="dxa"/>
                  <w:vMerge w:val="continue"/>
                  <w:vAlign w:val="center"/>
                </w:tcPr>
                <w:p w14:paraId="1A6B4216">
                  <w:pPr>
                    <w:adjustRightInd w:val="0"/>
                    <w:snapToGrid w:val="0"/>
                    <w:jc w:val="center"/>
                    <w:rPr>
                      <w:sz w:val="18"/>
                      <w:szCs w:val="18"/>
                    </w:rPr>
                  </w:pPr>
                </w:p>
              </w:tc>
            </w:tr>
            <w:tr w14:paraId="4DB8D6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0" w:type="dxa"/>
                  <w:bottom w:w="57" w:type="dxa"/>
                  <w:right w:w="0" w:type="dxa"/>
                </w:tblCellMar>
              </w:tblPrEx>
              <w:trPr>
                <w:trHeight w:val="90" w:hRule="atLeast"/>
              </w:trPr>
              <w:tc>
                <w:tcPr>
                  <w:tcW w:w="837" w:type="dxa"/>
                  <w:vMerge w:val="continue"/>
                  <w:vAlign w:val="center"/>
                </w:tcPr>
                <w:p w14:paraId="7C7F9957">
                  <w:pPr>
                    <w:adjustRightInd w:val="0"/>
                    <w:snapToGrid w:val="0"/>
                    <w:jc w:val="center"/>
                    <w:rPr>
                      <w:sz w:val="18"/>
                      <w:szCs w:val="18"/>
                    </w:rPr>
                  </w:pPr>
                </w:p>
              </w:tc>
              <w:tc>
                <w:tcPr>
                  <w:tcW w:w="976" w:type="dxa"/>
                  <w:vAlign w:val="center"/>
                </w:tcPr>
                <w:p w14:paraId="462A8E8C">
                  <w:pPr>
                    <w:adjustRightInd w:val="0"/>
                    <w:snapToGrid w:val="0"/>
                    <w:jc w:val="center"/>
                    <w:rPr>
                      <w:sz w:val="18"/>
                      <w:szCs w:val="18"/>
                    </w:rPr>
                  </w:pPr>
                  <w:r>
                    <w:rPr>
                      <w:rFonts w:hint="eastAsia"/>
                      <w:sz w:val="18"/>
                      <w:szCs w:val="18"/>
                    </w:rPr>
                    <w:t>DA002</w:t>
                  </w:r>
                </w:p>
              </w:tc>
              <w:tc>
                <w:tcPr>
                  <w:tcW w:w="1373" w:type="dxa"/>
                  <w:vAlign w:val="center"/>
                </w:tcPr>
                <w:p w14:paraId="69AB7915">
                  <w:pPr>
                    <w:adjustRightInd w:val="0"/>
                    <w:snapToGrid w:val="0"/>
                    <w:jc w:val="center"/>
                    <w:rPr>
                      <w:sz w:val="18"/>
                      <w:szCs w:val="18"/>
                    </w:rPr>
                  </w:pPr>
                  <w:r>
                    <w:rPr>
                      <w:sz w:val="18"/>
                      <w:szCs w:val="18"/>
                    </w:rPr>
                    <w:t>非甲烷总烃</w:t>
                  </w:r>
                  <w:r>
                    <w:rPr>
                      <w:rFonts w:hint="eastAsia"/>
                      <w:color w:val="0000FF"/>
                      <w:sz w:val="18"/>
                      <w:szCs w:val="18"/>
                      <w:lang w:eastAsia="zh-CN"/>
                    </w:rPr>
                    <w:t>；</w:t>
                  </w:r>
                  <w:r>
                    <w:rPr>
                      <w:rFonts w:hint="eastAsia"/>
                      <w:color w:val="0000FF"/>
                      <w:sz w:val="18"/>
                      <w:szCs w:val="18"/>
                      <w:lang w:val="en-US" w:eastAsia="zh-CN"/>
                    </w:rPr>
                    <w:t>去除率</w:t>
                  </w:r>
                </w:p>
              </w:tc>
              <w:tc>
                <w:tcPr>
                  <w:tcW w:w="1887" w:type="dxa"/>
                  <w:vAlign w:val="center"/>
                </w:tcPr>
                <w:p w14:paraId="72510DDE">
                  <w:pPr>
                    <w:adjustRightInd w:val="0"/>
                    <w:snapToGrid w:val="0"/>
                    <w:jc w:val="center"/>
                    <w:rPr>
                      <w:sz w:val="18"/>
                      <w:szCs w:val="18"/>
                    </w:rPr>
                  </w:pPr>
                  <w:r>
                    <w:rPr>
                      <w:rFonts w:hint="eastAsia"/>
                      <w:sz w:val="18"/>
                      <w:szCs w:val="18"/>
                    </w:rPr>
                    <w:t>1套活性炭吸附装置</w:t>
                  </w:r>
                </w:p>
              </w:tc>
              <w:tc>
                <w:tcPr>
                  <w:tcW w:w="2636" w:type="dxa"/>
                  <w:vAlign w:val="center"/>
                </w:tcPr>
                <w:p w14:paraId="2A8DE56D">
                  <w:pPr>
                    <w:autoSpaceDE w:val="0"/>
                    <w:autoSpaceDN w:val="0"/>
                    <w:adjustRightInd w:val="0"/>
                    <w:snapToGrid w:val="0"/>
                    <w:jc w:val="center"/>
                    <w:rPr>
                      <w:sz w:val="18"/>
                      <w:szCs w:val="18"/>
                    </w:rPr>
                  </w:pPr>
                  <w:r>
                    <w:rPr>
                      <w:sz w:val="18"/>
                      <w:szCs w:val="18"/>
                    </w:rPr>
                    <w:t>《大气污染物综合排放标准》（DB32/4041-2021）</w:t>
                  </w:r>
                </w:p>
              </w:tc>
              <w:tc>
                <w:tcPr>
                  <w:tcW w:w="767" w:type="dxa"/>
                  <w:vMerge w:val="continue"/>
                  <w:vAlign w:val="center"/>
                </w:tcPr>
                <w:p w14:paraId="20A7501B">
                  <w:pPr>
                    <w:adjustRightInd w:val="0"/>
                    <w:snapToGrid w:val="0"/>
                    <w:jc w:val="center"/>
                    <w:rPr>
                      <w:sz w:val="18"/>
                      <w:szCs w:val="18"/>
                    </w:rPr>
                  </w:pPr>
                </w:p>
              </w:tc>
            </w:tr>
            <w:tr w14:paraId="60BECB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0" w:type="dxa"/>
                  <w:bottom w:w="57" w:type="dxa"/>
                  <w:right w:w="0" w:type="dxa"/>
                </w:tblCellMar>
              </w:tblPrEx>
              <w:trPr>
                <w:trHeight w:val="284" w:hRule="atLeast"/>
              </w:trPr>
              <w:tc>
                <w:tcPr>
                  <w:tcW w:w="837" w:type="dxa"/>
                  <w:vMerge w:val="continue"/>
                  <w:vAlign w:val="center"/>
                </w:tcPr>
                <w:p w14:paraId="470BC8A6">
                  <w:pPr>
                    <w:adjustRightInd w:val="0"/>
                    <w:snapToGrid w:val="0"/>
                    <w:jc w:val="center"/>
                    <w:rPr>
                      <w:sz w:val="18"/>
                      <w:szCs w:val="18"/>
                    </w:rPr>
                  </w:pPr>
                </w:p>
              </w:tc>
              <w:tc>
                <w:tcPr>
                  <w:tcW w:w="976" w:type="dxa"/>
                  <w:vAlign w:val="center"/>
                </w:tcPr>
                <w:p w14:paraId="2A1D5196">
                  <w:pPr>
                    <w:adjustRightInd w:val="0"/>
                    <w:snapToGrid w:val="0"/>
                    <w:jc w:val="center"/>
                    <w:rPr>
                      <w:sz w:val="18"/>
                      <w:szCs w:val="18"/>
                    </w:rPr>
                  </w:pPr>
                  <w:r>
                    <w:rPr>
                      <w:rFonts w:hint="eastAsia"/>
                      <w:sz w:val="18"/>
                      <w:szCs w:val="18"/>
                    </w:rPr>
                    <w:t>厂界</w:t>
                  </w:r>
                </w:p>
              </w:tc>
              <w:tc>
                <w:tcPr>
                  <w:tcW w:w="1373" w:type="dxa"/>
                  <w:vAlign w:val="center"/>
                </w:tcPr>
                <w:p w14:paraId="41CFB3B2">
                  <w:pPr>
                    <w:adjustRightInd w:val="0"/>
                    <w:snapToGrid w:val="0"/>
                    <w:jc w:val="center"/>
                    <w:rPr>
                      <w:rFonts w:hint="eastAsia" w:eastAsia="宋体"/>
                      <w:sz w:val="18"/>
                      <w:szCs w:val="18"/>
                      <w:lang w:eastAsia="zh-CN"/>
                    </w:rPr>
                  </w:pPr>
                  <w:r>
                    <w:rPr>
                      <w:rFonts w:hint="default"/>
                      <w:color w:val="0000FF"/>
                      <w:sz w:val="18"/>
                      <w:szCs w:val="18"/>
                      <w:lang w:val="en-US" w:eastAsia="zh-CN"/>
                    </w:rPr>
                    <w:t>苯系物、氮氧化物、</w:t>
                  </w:r>
                  <w:r>
                    <w:rPr>
                      <w:rFonts w:hint="default"/>
                      <w:color w:val="0000FF"/>
                      <w:sz w:val="18"/>
                      <w:szCs w:val="18"/>
                    </w:rPr>
                    <w:t>非甲烷总烃、二甲苯、</w:t>
                  </w:r>
                  <w:r>
                    <w:rPr>
                      <w:rFonts w:hint="default"/>
                      <w:color w:val="0000FF"/>
                      <w:sz w:val="18"/>
                      <w:szCs w:val="18"/>
                      <w:lang w:val="en-US" w:eastAsia="zh-CN"/>
                    </w:rPr>
                    <w:t>氯化氢、硫酸雾</w:t>
                  </w:r>
                  <w:r>
                    <w:rPr>
                      <w:rFonts w:hint="default"/>
                      <w:color w:val="0000FF"/>
                      <w:sz w:val="18"/>
                      <w:szCs w:val="18"/>
                      <w:lang w:eastAsia="zh-CN"/>
                    </w:rPr>
                    <w:t>、</w:t>
                  </w:r>
                  <w:r>
                    <w:rPr>
                      <w:rFonts w:hint="default"/>
                      <w:color w:val="0000FF"/>
                      <w:sz w:val="18"/>
                      <w:szCs w:val="18"/>
                      <w:lang w:val="en-US" w:eastAsia="zh-CN"/>
                    </w:rPr>
                    <w:t>氯苯类、苯胺类、酚类、</w:t>
                  </w:r>
                  <w:r>
                    <w:rPr>
                      <w:rFonts w:hint="default"/>
                      <w:color w:val="0000FF"/>
                      <w:sz w:val="18"/>
                      <w:szCs w:val="18"/>
                    </w:rPr>
                    <w:t>甲醇</w:t>
                  </w:r>
                  <w:r>
                    <w:rPr>
                      <w:rFonts w:hint="eastAsia"/>
                      <w:color w:val="0000FF"/>
                      <w:sz w:val="18"/>
                      <w:szCs w:val="18"/>
                      <w:lang w:eastAsia="zh-CN"/>
                    </w:rPr>
                    <w:t>、</w:t>
                  </w:r>
                  <w:r>
                    <w:rPr>
                      <w:rFonts w:hint="eastAsia"/>
                      <w:color w:val="0000FF"/>
                      <w:sz w:val="18"/>
                      <w:szCs w:val="18"/>
                      <w:lang w:val="en-US" w:eastAsia="zh-CN"/>
                    </w:rPr>
                    <w:t>乙腈、</w:t>
                  </w:r>
                  <w:r>
                    <w:rPr>
                      <w:color w:val="0000FF"/>
                      <w:sz w:val="18"/>
                      <w:szCs w:val="18"/>
                    </w:rPr>
                    <w:t>臭气浓度</w:t>
                  </w:r>
                  <w:r>
                    <w:rPr>
                      <w:rFonts w:hint="eastAsia"/>
                      <w:color w:val="0000FF"/>
                      <w:sz w:val="18"/>
                      <w:szCs w:val="18"/>
                    </w:rPr>
                    <w:t>、氨气</w:t>
                  </w:r>
                  <w:r>
                    <w:rPr>
                      <w:rFonts w:hint="eastAsia"/>
                      <w:color w:val="0000FF"/>
                      <w:sz w:val="18"/>
                      <w:szCs w:val="18"/>
                      <w:lang w:eastAsia="zh-CN"/>
                    </w:rPr>
                    <w:t>、</w:t>
                  </w:r>
                  <w:r>
                    <w:rPr>
                      <w:rFonts w:hint="eastAsia"/>
                      <w:color w:val="0000FF"/>
                      <w:sz w:val="18"/>
                      <w:szCs w:val="18"/>
                      <w:lang w:val="en-US" w:eastAsia="zh-CN"/>
                    </w:rPr>
                    <w:t>苯乙烯</w:t>
                  </w:r>
                </w:p>
              </w:tc>
              <w:tc>
                <w:tcPr>
                  <w:tcW w:w="1887" w:type="dxa"/>
                  <w:vAlign w:val="center"/>
                </w:tcPr>
                <w:p w14:paraId="582D8316">
                  <w:pPr>
                    <w:adjustRightInd w:val="0"/>
                    <w:snapToGrid w:val="0"/>
                    <w:jc w:val="center"/>
                    <w:rPr>
                      <w:sz w:val="18"/>
                      <w:szCs w:val="18"/>
                    </w:rPr>
                  </w:pPr>
                  <w:r>
                    <w:rPr>
                      <w:rFonts w:hint="eastAsia"/>
                      <w:sz w:val="18"/>
                      <w:szCs w:val="18"/>
                    </w:rPr>
                    <w:t>/</w:t>
                  </w:r>
                </w:p>
              </w:tc>
              <w:tc>
                <w:tcPr>
                  <w:tcW w:w="2636" w:type="dxa"/>
                  <w:vAlign w:val="center"/>
                </w:tcPr>
                <w:p w14:paraId="650AD182">
                  <w:pPr>
                    <w:autoSpaceDE w:val="0"/>
                    <w:autoSpaceDN w:val="0"/>
                    <w:adjustRightInd w:val="0"/>
                    <w:snapToGrid w:val="0"/>
                    <w:jc w:val="center"/>
                    <w:rPr>
                      <w:sz w:val="18"/>
                      <w:szCs w:val="18"/>
                    </w:rPr>
                  </w:pPr>
                  <w:r>
                    <w:rPr>
                      <w:sz w:val="18"/>
                      <w:szCs w:val="18"/>
                    </w:rPr>
                    <w:t>《大气污染物综合排放标准》（DB32/4041-2021）</w:t>
                  </w:r>
                </w:p>
                <w:p w14:paraId="04132EE5">
                  <w:pPr>
                    <w:autoSpaceDE w:val="0"/>
                    <w:autoSpaceDN w:val="0"/>
                    <w:adjustRightInd w:val="0"/>
                    <w:snapToGrid w:val="0"/>
                    <w:jc w:val="center"/>
                    <w:rPr>
                      <w:sz w:val="18"/>
                      <w:szCs w:val="18"/>
                    </w:rPr>
                  </w:pPr>
                  <w:r>
                    <w:rPr>
                      <w:rFonts w:hint="default"/>
                      <w:sz w:val="18"/>
                      <w:szCs w:val="18"/>
                      <w:lang w:val="en-US" w:eastAsia="zh-CN"/>
                    </w:rPr>
                    <w:t>《化学工业挥发性有机物排放标准》（DB32/3151-2016）</w:t>
                  </w:r>
                </w:p>
                <w:p w14:paraId="6B14655B">
                  <w:pPr>
                    <w:autoSpaceDE w:val="0"/>
                    <w:autoSpaceDN w:val="0"/>
                    <w:adjustRightInd w:val="0"/>
                    <w:snapToGrid w:val="0"/>
                    <w:jc w:val="center"/>
                  </w:pPr>
                  <w:r>
                    <w:rPr>
                      <w:sz w:val="18"/>
                      <w:szCs w:val="18"/>
                    </w:rPr>
                    <w:t>《恶臭污染物排放标准》（GB</w:t>
                  </w:r>
                  <w:r>
                    <w:rPr>
                      <w:rFonts w:hint="eastAsia"/>
                      <w:sz w:val="18"/>
                      <w:szCs w:val="18"/>
                    </w:rPr>
                    <w:t>14554</w:t>
                  </w:r>
                  <w:r>
                    <w:rPr>
                      <w:sz w:val="18"/>
                      <w:szCs w:val="18"/>
                    </w:rPr>
                    <w:t>-93）</w:t>
                  </w:r>
                </w:p>
              </w:tc>
              <w:tc>
                <w:tcPr>
                  <w:tcW w:w="767" w:type="dxa"/>
                  <w:vMerge w:val="continue"/>
                  <w:vAlign w:val="center"/>
                </w:tcPr>
                <w:p w14:paraId="08813AF0">
                  <w:pPr>
                    <w:adjustRightInd w:val="0"/>
                    <w:snapToGrid w:val="0"/>
                    <w:jc w:val="center"/>
                    <w:rPr>
                      <w:sz w:val="18"/>
                      <w:szCs w:val="18"/>
                    </w:rPr>
                  </w:pPr>
                </w:p>
              </w:tc>
            </w:tr>
            <w:tr w14:paraId="6F2C8F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0" w:type="dxa"/>
                  <w:bottom w:w="57" w:type="dxa"/>
                  <w:right w:w="0" w:type="dxa"/>
                </w:tblCellMar>
              </w:tblPrEx>
              <w:trPr>
                <w:trHeight w:val="284" w:hRule="atLeast"/>
              </w:trPr>
              <w:tc>
                <w:tcPr>
                  <w:tcW w:w="837" w:type="dxa"/>
                  <w:vMerge w:val="continue"/>
                  <w:vAlign w:val="center"/>
                </w:tcPr>
                <w:p w14:paraId="129D3D4F">
                  <w:pPr>
                    <w:adjustRightInd w:val="0"/>
                    <w:snapToGrid w:val="0"/>
                    <w:jc w:val="center"/>
                    <w:rPr>
                      <w:sz w:val="18"/>
                      <w:szCs w:val="18"/>
                    </w:rPr>
                  </w:pPr>
                </w:p>
              </w:tc>
              <w:tc>
                <w:tcPr>
                  <w:tcW w:w="976" w:type="dxa"/>
                  <w:vAlign w:val="center"/>
                </w:tcPr>
                <w:p w14:paraId="3545BE44">
                  <w:pPr>
                    <w:adjustRightInd w:val="0"/>
                    <w:snapToGrid w:val="0"/>
                    <w:jc w:val="center"/>
                    <w:rPr>
                      <w:sz w:val="18"/>
                      <w:szCs w:val="18"/>
                    </w:rPr>
                  </w:pPr>
                  <w:r>
                    <w:rPr>
                      <w:rFonts w:hint="eastAsia"/>
                      <w:sz w:val="18"/>
                      <w:szCs w:val="18"/>
                    </w:rPr>
                    <w:t>厂区内</w:t>
                  </w:r>
                </w:p>
              </w:tc>
              <w:tc>
                <w:tcPr>
                  <w:tcW w:w="1373" w:type="dxa"/>
                  <w:vAlign w:val="center"/>
                </w:tcPr>
                <w:p w14:paraId="4FA103E1">
                  <w:pPr>
                    <w:adjustRightInd w:val="0"/>
                    <w:snapToGrid w:val="0"/>
                    <w:jc w:val="center"/>
                    <w:rPr>
                      <w:sz w:val="18"/>
                      <w:szCs w:val="18"/>
                    </w:rPr>
                  </w:pPr>
                  <w:r>
                    <w:rPr>
                      <w:rFonts w:hint="eastAsia"/>
                      <w:sz w:val="18"/>
                      <w:szCs w:val="18"/>
                    </w:rPr>
                    <w:t>非甲烷总烃</w:t>
                  </w:r>
                </w:p>
              </w:tc>
              <w:tc>
                <w:tcPr>
                  <w:tcW w:w="1887" w:type="dxa"/>
                  <w:vAlign w:val="center"/>
                </w:tcPr>
                <w:p w14:paraId="6F1EAC05">
                  <w:pPr>
                    <w:adjustRightInd w:val="0"/>
                    <w:snapToGrid w:val="0"/>
                    <w:jc w:val="center"/>
                    <w:rPr>
                      <w:sz w:val="18"/>
                      <w:szCs w:val="18"/>
                    </w:rPr>
                  </w:pPr>
                  <w:r>
                    <w:rPr>
                      <w:rFonts w:hint="eastAsia"/>
                      <w:sz w:val="18"/>
                      <w:szCs w:val="18"/>
                    </w:rPr>
                    <w:t>/</w:t>
                  </w:r>
                </w:p>
              </w:tc>
              <w:tc>
                <w:tcPr>
                  <w:tcW w:w="2636" w:type="dxa"/>
                  <w:vAlign w:val="center"/>
                </w:tcPr>
                <w:p w14:paraId="06BA417E">
                  <w:pPr>
                    <w:autoSpaceDE w:val="0"/>
                    <w:autoSpaceDN w:val="0"/>
                    <w:adjustRightInd w:val="0"/>
                    <w:snapToGrid w:val="0"/>
                    <w:jc w:val="center"/>
                    <w:rPr>
                      <w:sz w:val="18"/>
                      <w:szCs w:val="18"/>
                    </w:rPr>
                  </w:pPr>
                  <w:r>
                    <w:rPr>
                      <w:sz w:val="18"/>
                      <w:szCs w:val="18"/>
                    </w:rPr>
                    <w:t>《大气污染物综合排放标准》（DB32/4041-2021）</w:t>
                  </w:r>
                </w:p>
              </w:tc>
              <w:tc>
                <w:tcPr>
                  <w:tcW w:w="767" w:type="dxa"/>
                  <w:vMerge w:val="continue"/>
                  <w:vAlign w:val="center"/>
                </w:tcPr>
                <w:p w14:paraId="326F340C">
                  <w:pPr>
                    <w:adjustRightInd w:val="0"/>
                    <w:snapToGrid w:val="0"/>
                    <w:jc w:val="center"/>
                    <w:rPr>
                      <w:sz w:val="18"/>
                      <w:szCs w:val="18"/>
                    </w:rPr>
                  </w:pPr>
                </w:p>
              </w:tc>
            </w:tr>
            <w:tr w14:paraId="41BB2C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0" w:type="dxa"/>
                  <w:bottom w:w="57" w:type="dxa"/>
                  <w:right w:w="0" w:type="dxa"/>
                </w:tblCellMar>
              </w:tblPrEx>
              <w:trPr>
                <w:trHeight w:val="549" w:hRule="atLeast"/>
              </w:trPr>
              <w:tc>
                <w:tcPr>
                  <w:tcW w:w="837" w:type="dxa"/>
                  <w:vAlign w:val="center"/>
                </w:tcPr>
                <w:p w14:paraId="1B962E81">
                  <w:pPr>
                    <w:adjustRightInd w:val="0"/>
                    <w:snapToGrid w:val="0"/>
                    <w:jc w:val="center"/>
                    <w:rPr>
                      <w:sz w:val="18"/>
                      <w:szCs w:val="18"/>
                    </w:rPr>
                  </w:pPr>
                  <w:r>
                    <w:rPr>
                      <w:sz w:val="18"/>
                      <w:szCs w:val="18"/>
                    </w:rPr>
                    <w:t>噪声</w:t>
                  </w:r>
                </w:p>
              </w:tc>
              <w:tc>
                <w:tcPr>
                  <w:tcW w:w="976" w:type="dxa"/>
                  <w:vAlign w:val="center"/>
                </w:tcPr>
                <w:p w14:paraId="6B82BBCA">
                  <w:pPr>
                    <w:adjustRightInd w:val="0"/>
                    <w:snapToGrid w:val="0"/>
                    <w:jc w:val="center"/>
                    <w:rPr>
                      <w:sz w:val="18"/>
                      <w:szCs w:val="18"/>
                    </w:rPr>
                  </w:pPr>
                  <w:r>
                    <w:rPr>
                      <w:sz w:val="18"/>
                      <w:szCs w:val="18"/>
                    </w:rPr>
                    <w:t>噪声设备</w:t>
                  </w:r>
                </w:p>
              </w:tc>
              <w:tc>
                <w:tcPr>
                  <w:tcW w:w="1373" w:type="dxa"/>
                  <w:vAlign w:val="center"/>
                </w:tcPr>
                <w:p w14:paraId="116B25AD">
                  <w:pPr>
                    <w:adjustRightInd w:val="0"/>
                    <w:snapToGrid w:val="0"/>
                    <w:jc w:val="center"/>
                    <w:rPr>
                      <w:sz w:val="18"/>
                      <w:szCs w:val="18"/>
                    </w:rPr>
                  </w:pPr>
                  <w:r>
                    <w:rPr>
                      <w:sz w:val="18"/>
                      <w:szCs w:val="18"/>
                    </w:rPr>
                    <w:t>噪声</w:t>
                  </w:r>
                </w:p>
              </w:tc>
              <w:tc>
                <w:tcPr>
                  <w:tcW w:w="1887" w:type="dxa"/>
                  <w:vAlign w:val="center"/>
                </w:tcPr>
                <w:p w14:paraId="569129E6">
                  <w:pPr>
                    <w:adjustRightInd w:val="0"/>
                    <w:snapToGrid w:val="0"/>
                    <w:jc w:val="center"/>
                    <w:rPr>
                      <w:sz w:val="18"/>
                      <w:szCs w:val="18"/>
                    </w:rPr>
                  </w:pPr>
                  <w:r>
                    <w:rPr>
                      <w:sz w:val="18"/>
                      <w:szCs w:val="18"/>
                    </w:rPr>
                    <w:t>减振、消声、隔声</w:t>
                  </w:r>
                </w:p>
              </w:tc>
              <w:tc>
                <w:tcPr>
                  <w:tcW w:w="2636" w:type="dxa"/>
                  <w:vAlign w:val="center"/>
                </w:tcPr>
                <w:p w14:paraId="1A014468">
                  <w:pPr>
                    <w:adjustRightInd w:val="0"/>
                    <w:snapToGrid w:val="0"/>
                    <w:jc w:val="center"/>
                    <w:rPr>
                      <w:sz w:val="18"/>
                      <w:szCs w:val="18"/>
                    </w:rPr>
                  </w:pPr>
                  <w:r>
                    <w:rPr>
                      <w:sz w:val="18"/>
                      <w:szCs w:val="18"/>
                    </w:rPr>
                    <w:t>《工业企业厂界环境噪声排放标准》（GB12348-2008）中的</w:t>
                  </w:r>
                  <w:r>
                    <w:rPr>
                      <w:rFonts w:hint="eastAsia"/>
                      <w:sz w:val="18"/>
                      <w:szCs w:val="18"/>
                    </w:rPr>
                    <w:t>3</w:t>
                  </w:r>
                  <w:r>
                    <w:rPr>
                      <w:sz w:val="18"/>
                      <w:szCs w:val="18"/>
                    </w:rPr>
                    <w:t>类标准</w:t>
                  </w:r>
                </w:p>
              </w:tc>
              <w:tc>
                <w:tcPr>
                  <w:tcW w:w="767" w:type="dxa"/>
                  <w:vMerge w:val="continue"/>
                  <w:vAlign w:val="center"/>
                </w:tcPr>
                <w:p w14:paraId="3DAA1A2E">
                  <w:pPr>
                    <w:adjustRightInd w:val="0"/>
                    <w:snapToGrid w:val="0"/>
                    <w:jc w:val="center"/>
                    <w:rPr>
                      <w:sz w:val="18"/>
                      <w:szCs w:val="18"/>
                    </w:rPr>
                  </w:pPr>
                </w:p>
              </w:tc>
            </w:tr>
            <w:tr w14:paraId="69A738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0" w:type="dxa"/>
                  <w:bottom w:w="57" w:type="dxa"/>
                  <w:right w:w="0" w:type="dxa"/>
                </w:tblCellMar>
              </w:tblPrEx>
              <w:trPr>
                <w:trHeight w:val="284" w:hRule="atLeast"/>
              </w:trPr>
              <w:tc>
                <w:tcPr>
                  <w:tcW w:w="837" w:type="dxa"/>
                  <w:vAlign w:val="center"/>
                </w:tcPr>
                <w:p w14:paraId="44AFC97D">
                  <w:pPr>
                    <w:adjustRightInd w:val="0"/>
                    <w:snapToGrid w:val="0"/>
                    <w:jc w:val="center"/>
                    <w:rPr>
                      <w:sz w:val="18"/>
                      <w:szCs w:val="18"/>
                    </w:rPr>
                  </w:pPr>
                  <w:r>
                    <w:rPr>
                      <w:sz w:val="18"/>
                      <w:szCs w:val="18"/>
                    </w:rPr>
                    <w:t>固废</w:t>
                  </w:r>
                </w:p>
              </w:tc>
              <w:tc>
                <w:tcPr>
                  <w:tcW w:w="976" w:type="dxa"/>
                  <w:vAlign w:val="center"/>
                </w:tcPr>
                <w:p w14:paraId="26D1AC29">
                  <w:pPr>
                    <w:adjustRightInd w:val="0"/>
                    <w:snapToGrid w:val="0"/>
                    <w:jc w:val="center"/>
                    <w:rPr>
                      <w:sz w:val="18"/>
                      <w:szCs w:val="18"/>
                    </w:rPr>
                  </w:pPr>
                  <w:r>
                    <w:rPr>
                      <w:sz w:val="18"/>
                      <w:szCs w:val="18"/>
                    </w:rPr>
                    <w:t>生产</w:t>
                  </w:r>
                </w:p>
              </w:tc>
              <w:tc>
                <w:tcPr>
                  <w:tcW w:w="1373" w:type="dxa"/>
                  <w:vAlign w:val="center"/>
                </w:tcPr>
                <w:p w14:paraId="54C65C03">
                  <w:pPr>
                    <w:adjustRightInd w:val="0"/>
                    <w:snapToGrid w:val="0"/>
                    <w:jc w:val="center"/>
                    <w:rPr>
                      <w:sz w:val="18"/>
                      <w:szCs w:val="18"/>
                    </w:rPr>
                  </w:pPr>
                  <w:r>
                    <w:rPr>
                      <w:sz w:val="18"/>
                      <w:szCs w:val="18"/>
                    </w:rPr>
                    <w:t>危险废物</w:t>
                  </w:r>
                </w:p>
              </w:tc>
              <w:tc>
                <w:tcPr>
                  <w:tcW w:w="1887" w:type="dxa"/>
                  <w:vAlign w:val="center"/>
                </w:tcPr>
                <w:p w14:paraId="58C4C4FE">
                  <w:pPr>
                    <w:adjustRightInd w:val="0"/>
                    <w:snapToGrid w:val="0"/>
                    <w:jc w:val="center"/>
                    <w:rPr>
                      <w:sz w:val="18"/>
                      <w:szCs w:val="18"/>
                    </w:rPr>
                  </w:pPr>
                  <w:r>
                    <w:rPr>
                      <w:sz w:val="18"/>
                      <w:szCs w:val="18"/>
                    </w:rPr>
                    <w:t>危废暂存库</w:t>
                  </w:r>
                  <w:r>
                    <w:rPr>
                      <w:rFonts w:hint="eastAsia"/>
                      <w:sz w:val="18"/>
                      <w:szCs w:val="18"/>
                      <w:lang w:val="en-US" w:eastAsia="zh-CN"/>
                    </w:rPr>
                    <w:t>9</w:t>
                  </w:r>
                  <w:r>
                    <w:rPr>
                      <w:sz w:val="18"/>
                      <w:szCs w:val="18"/>
                    </w:rPr>
                    <w:t>m</w:t>
                  </w:r>
                  <w:r>
                    <w:rPr>
                      <w:sz w:val="18"/>
                      <w:szCs w:val="18"/>
                      <w:vertAlign w:val="superscript"/>
                    </w:rPr>
                    <w:t>2</w:t>
                  </w:r>
                  <w:r>
                    <w:rPr>
                      <w:sz w:val="18"/>
                      <w:szCs w:val="18"/>
                    </w:rPr>
                    <w:t>，委托资质单位处置</w:t>
                  </w:r>
                </w:p>
              </w:tc>
              <w:tc>
                <w:tcPr>
                  <w:tcW w:w="2636" w:type="dxa"/>
                  <w:vAlign w:val="center"/>
                </w:tcPr>
                <w:p w14:paraId="0FC61F51">
                  <w:pPr>
                    <w:adjustRightInd w:val="0"/>
                    <w:snapToGrid w:val="0"/>
                    <w:jc w:val="center"/>
                    <w:rPr>
                      <w:sz w:val="18"/>
                      <w:szCs w:val="18"/>
                    </w:rPr>
                  </w:pPr>
                  <w:r>
                    <w:rPr>
                      <w:sz w:val="18"/>
                      <w:szCs w:val="18"/>
                    </w:rPr>
                    <w:t>全部得到合理的处理处置，不会产生二次污染</w:t>
                  </w:r>
                </w:p>
              </w:tc>
              <w:tc>
                <w:tcPr>
                  <w:tcW w:w="767" w:type="dxa"/>
                  <w:vMerge w:val="continue"/>
                  <w:vAlign w:val="center"/>
                </w:tcPr>
                <w:p w14:paraId="3EAC0E23">
                  <w:pPr>
                    <w:adjustRightInd w:val="0"/>
                    <w:snapToGrid w:val="0"/>
                    <w:jc w:val="center"/>
                    <w:rPr>
                      <w:sz w:val="18"/>
                      <w:szCs w:val="18"/>
                    </w:rPr>
                  </w:pPr>
                </w:p>
              </w:tc>
            </w:tr>
            <w:tr w14:paraId="2CF667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0" w:type="dxa"/>
                  <w:bottom w:w="57" w:type="dxa"/>
                  <w:right w:w="0" w:type="dxa"/>
                </w:tblCellMar>
              </w:tblPrEx>
              <w:trPr>
                <w:trHeight w:val="284" w:hRule="atLeast"/>
              </w:trPr>
              <w:tc>
                <w:tcPr>
                  <w:tcW w:w="1813" w:type="dxa"/>
                  <w:gridSpan w:val="2"/>
                  <w:vAlign w:val="center"/>
                </w:tcPr>
                <w:p w14:paraId="4F3E7D69">
                  <w:pPr>
                    <w:adjustRightInd w:val="0"/>
                    <w:snapToGrid w:val="0"/>
                    <w:jc w:val="center"/>
                    <w:rPr>
                      <w:sz w:val="18"/>
                      <w:szCs w:val="18"/>
                    </w:rPr>
                  </w:pPr>
                  <w:r>
                    <w:rPr>
                      <w:sz w:val="18"/>
                      <w:szCs w:val="18"/>
                    </w:rPr>
                    <w:t>事故应急措施</w:t>
                  </w:r>
                </w:p>
              </w:tc>
              <w:tc>
                <w:tcPr>
                  <w:tcW w:w="3260" w:type="dxa"/>
                  <w:gridSpan w:val="2"/>
                  <w:vAlign w:val="center"/>
                </w:tcPr>
                <w:p w14:paraId="2B5E0547">
                  <w:pPr>
                    <w:adjustRightInd w:val="0"/>
                    <w:snapToGrid w:val="0"/>
                    <w:jc w:val="center"/>
                    <w:rPr>
                      <w:sz w:val="18"/>
                      <w:szCs w:val="18"/>
                    </w:rPr>
                  </w:pPr>
                  <w:r>
                    <w:rPr>
                      <w:rFonts w:hint="eastAsia"/>
                      <w:sz w:val="18"/>
                      <w:szCs w:val="18"/>
                    </w:rPr>
                    <w:t>150</w:t>
                  </w:r>
                  <w:r>
                    <w:rPr>
                      <w:sz w:val="18"/>
                      <w:szCs w:val="18"/>
                    </w:rPr>
                    <w:t>m</w:t>
                  </w:r>
                  <w:r>
                    <w:rPr>
                      <w:sz w:val="18"/>
                      <w:szCs w:val="18"/>
                      <w:vertAlign w:val="superscript"/>
                    </w:rPr>
                    <w:t>3</w:t>
                  </w:r>
                  <w:r>
                    <w:rPr>
                      <w:sz w:val="18"/>
                      <w:szCs w:val="18"/>
                    </w:rPr>
                    <w:t>应急事故池</w:t>
                  </w:r>
                </w:p>
              </w:tc>
              <w:tc>
                <w:tcPr>
                  <w:tcW w:w="2636" w:type="dxa"/>
                  <w:vAlign w:val="center"/>
                </w:tcPr>
                <w:p w14:paraId="50FD505B">
                  <w:pPr>
                    <w:adjustRightInd w:val="0"/>
                    <w:snapToGrid w:val="0"/>
                    <w:jc w:val="center"/>
                    <w:rPr>
                      <w:sz w:val="18"/>
                      <w:szCs w:val="18"/>
                    </w:rPr>
                  </w:pPr>
                  <w:r>
                    <w:rPr>
                      <w:sz w:val="18"/>
                      <w:szCs w:val="18"/>
                    </w:rPr>
                    <w:t>按要求建设</w:t>
                  </w:r>
                </w:p>
              </w:tc>
              <w:tc>
                <w:tcPr>
                  <w:tcW w:w="767" w:type="dxa"/>
                  <w:vMerge w:val="continue"/>
                  <w:vAlign w:val="center"/>
                </w:tcPr>
                <w:p w14:paraId="21008B8D">
                  <w:pPr>
                    <w:adjustRightInd w:val="0"/>
                    <w:snapToGrid w:val="0"/>
                    <w:jc w:val="center"/>
                    <w:rPr>
                      <w:sz w:val="18"/>
                      <w:szCs w:val="18"/>
                    </w:rPr>
                  </w:pPr>
                </w:p>
              </w:tc>
            </w:tr>
            <w:tr w14:paraId="2B6427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0" w:type="dxa"/>
                  <w:bottom w:w="57" w:type="dxa"/>
                  <w:right w:w="0" w:type="dxa"/>
                </w:tblCellMar>
              </w:tblPrEx>
              <w:trPr>
                <w:trHeight w:val="284" w:hRule="atLeast"/>
              </w:trPr>
              <w:tc>
                <w:tcPr>
                  <w:tcW w:w="1813" w:type="dxa"/>
                  <w:gridSpan w:val="2"/>
                  <w:vAlign w:val="center"/>
                </w:tcPr>
                <w:p w14:paraId="03EF896F">
                  <w:pPr>
                    <w:adjustRightInd w:val="0"/>
                    <w:snapToGrid w:val="0"/>
                    <w:jc w:val="center"/>
                    <w:rPr>
                      <w:sz w:val="18"/>
                      <w:szCs w:val="18"/>
                    </w:rPr>
                  </w:pPr>
                  <w:r>
                    <w:rPr>
                      <w:sz w:val="18"/>
                      <w:szCs w:val="18"/>
                    </w:rPr>
                    <w:t>清污分流、排污口规范化设置（流量计、在线监测仪等）</w:t>
                  </w:r>
                </w:p>
              </w:tc>
              <w:tc>
                <w:tcPr>
                  <w:tcW w:w="3260" w:type="dxa"/>
                  <w:gridSpan w:val="2"/>
                  <w:vAlign w:val="center"/>
                </w:tcPr>
                <w:p w14:paraId="17780872">
                  <w:pPr>
                    <w:adjustRightInd w:val="0"/>
                    <w:snapToGrid w:val="0"/>
                    <w:jc w:val="center"/>
                    <w:rPr>
                      <w:sz w:val="18"/>
                      <w:szCs w:val="18"/>
                    </w:rPr>
                  </w:pPr>
                  <w:r>
                    <w:rPr>
                      <w:sz w:val="18"/>
                      <w:szCs w:val="18"/>
                    </w:rPr>
                    <w:t>雨污分流，排污口规范化设置</w:t>
                  </w:r>
                </w:p>
              </w:tc>
              <w:tc>
                <w:tcPr>
                  <w:tcW w:w="2636" w:type="dxa"/>
                  <w:vAlign w:val="center"/>
                </w:tcPr>
                <w:p w14:paraId="72E8BBD4">
                  <w:pPr>
                    <w:adjustRightInd w:val="0"/>
                    <w:snapToGrid w:val="0"/>
                    <w:jc w:val="center"/>
                    <w:rPr>
                      <w:sz w:val="18"/>
                      <w:szCs w:val="18"/>
                    </w:rPr>
                  </w:pPr>
                  <w:r>
                    <w:rPr>
                      <w:sz w:val="18"/>
                      <w:szCs w:val="18"/>
                    </w:rPr>
                    <w:t>符合环保要求</w:t>
                  </w:r>
                </w:p>
              </w:tc>
              <w:tc>
                <w:tcPr>
                  <w:tcW w:w="767" w:type="dxa"/>
                  <w:vMerge w:val="continue"/>
                  <w:vAlign w:val="center"/>
                </w:tcPr>
                <w:p w14:paraId="657A999E">
                  <w:pPr>
                    <w:adjustRightInd w:val="0"/>
                    <w:snapToGrid w:val="0"/>
                    <w:jc w:val="center"/>
                    <w:rPr>
                      <w:sz w:val="18"/>
                      <w:szCs w:val="18"/>
                    </w:rPr>
                  </w:pPr>
                </w:p>
              </w:tc>
            </w:tr>
            <w:tr w14:paraId="3C8F25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0" w:type="dxa"/>
                  <w:bottom w:w="57" w:type="dxa"/>
                  <w:right w:w="0" w:type="dxa"/>
                </w:tblCellMar>
              </w:tblPrEx>
              <w:trPr>
                <w:trHeight w:val="284" w:hRule="atLeast"/>
              </w:trPr>
              <w:tc>
                <w:tcPr>
                  <w:tcW w:w="1813" w:type="dxa"/>
                  <w:gridSpan w:val="2"/>
                  <w:vAlign w:val="center"/>
                </w:tcPr>
                <w:p w14:paraId="3C5C8DA8">
                  <w:pPr>
                    <w:adjustRightInd w:val="0"/>
                    <w:snapToGrid w:val="0"/>
                    <w:jc w:val="center"/>
                    <w:rPr>
                      <w:sz w:val="18"/>
                      <w:szCs w:val="18"/>
                    </w:rPr>
                  </w:pPr>
                  <w:r>
                    <w:rPr>
                      <w:sz w:val="18"/>
                      <w:szCs w:val="18"/>
                    </w:rPr>
                    <w:t>总量平衡具体方案</w:t>
                  </w:r>
                </w:p>
              </w:tc>
              <w:tc>
                <w:tcPr>
                  <w:tcW w:w="5896" w:type="dxa"/>
                  <w:gridSpan w:val="3"/>
                  <w:vAlign w:val="center"/>
                </w:tcPr>
                <w:p w14:paraId="45B348B6">
                  <w:pPr>
                    <w:adjustRightInd w:val="0"/>
                    <w:snapToGrid w:val="0"/>
                    <w:jc w:val="center"/>
                    <w:rPr>
                      <w:sz w:val="18"/>
                      <w:szCs w:val="18"/>
                    </w:rPr>
                  </w:pPr>
                  <w:r>
                    <w:rPr>
                      <w:rFonts w:hint="eastAsia"/>
                      <w:sz w:val="18"/>
                      <w:szCs w:val="18"/>
                    </w:rPr>
                    <w:t>/</w:t>
                  </w:r>
                </w:p>
              </w:tc>
              <w:tc>
                <w:tcPr>
                  <w:tcW w:w="767" w:type="dxa"/>
                  <w:vMerge w:val="continue"/>
                  <w:vAlign w:val="center"/>
                </w:tcPr>
                <w:p w14:paraId="09F9506D">
                  <w:pPr>
                    <w:adjustRightInd w:val="0"/>
                    <w:snapToGrid w:val="0"/>
                    <w:jc w:val="center"/>
                    <w:rPr>
                      <w:sz w:val="18"/>
                      <w:szCs w:val="18"/>
                    </w:rPr>
                  </w:pPr>
                </w:p>
              </w:tc>
            </w:tr>
          </w:tbl>
          <w:p w14:paraId="5A8DAAE1">
            <w:pPr>
              <w:adjustRightInd w:val="0"/>
              <w:snapToGrid w:val="0"/>
              <w:spacing w:before="120" w:line="360" w:lineRule="auto"/>
              <w:ind w:firstLine="420" w:firstLineChars="200"/>
              <w:rPr>
                <w:szCs w:val="21"/>
              </w:rPr>
            </w:pPr>
            <w:r>
              <w:rPr>
                <w:szCs w:val="21"/>
              </w:rPr>
              <w:t>（2）应急监测计划</w:t>
            </w:r>
          </w:p>
          <w:p w14:paraId="07E1724D">
            <w:pPr>
              <w:adjustRightInd w:val="0"/>
              <w:snapToGrid w:val="0"/>
              <w:spacing w:line="360" w:lineRule="auto"/>
              <w:ind w:firstLine="420" w:firstLineChars="200"/>
              <w:rPr>
                <w:szCs w:val="21"/>
              </w:rPr>
            </w:pPr>
            <w:r>
              <w:rPr>
                <w:szCs w:val="21"/>
              </w:rPr>
              <w:t>根据事故类型等因素确定最终的监测因子，具体应急监测方案如下：</w:t>
            </w:r>
          </w:p>
          <w:p w14:paraId="6EEAB169">
            <w:pPr>
              <w:adjustRightInd w:val="0"/>
              <w:snapToGrid w:val="0"/>
              <w:spacing w:line="360" w:lineRule="auto"/>
              <w:ind w:firstLine="420" w:firstLineChars="200"/>
              <w:rPr>
                <w:szCs w:val="21"/>
              </w:rPr>
            </w:pPr>
            <w:r>
              <w:rPr>
                <w:szCs w:val="21"/>
              </w:rPr>
              <w:t>大气环境监测</w:t>
            </w:r>
          </w:p>
          <w:p w14:paraId="3CA50740">
            <w:pPr>
              <w:adjustRightInd w:val="0"/>
              <w:snapToGrid w:val="0"/>
              <w:spacing w:line="360" w:lineRule="auto"/>
              <w:ind w:firstLine="420" w:firstLineChars="200"/>
              <w:rPr>
                <w:color w:val="0000FF"/>
                <w:szCs w:val="21"/>
              </w:rPr>
            </w:pPr>
            <w:r>
              <w:rPr>
                <w:szCs w:val="21"/>
              </w:rPr>
              <w:t>监测因子：</w:t>
            </w:r>
            <w:r>
              <w:rPr>
                <w:color w:val="0000FF"/>
                <w:szCs w:val="21"/>
              </w:rPr>
              <w:t>CO、</w:t>
            </w:r>
            <w:r>
              <w:rPr>
                <w:rFonts w:hint="eastAsia"/>
                <w:color w:val="0000FF"/>
                <w:szCs w:val="21"/>
              </w:rPr>
              <w:t>颗粒物、</w:t>
            </w:r>
            <w:r>
              <w:rPr>
                <w:color w:val="0000FF"/>
                <w:szCs w:val="21"/>
              </w:rPr>
              <w:t>臭气浓度</w:t>
            </w:r>
            <w:r>
              <w:rPr>
                <w:rFonts w:hint="eastAsia"/>
                <w:color w:val="0000FF"/>
                <w:szCs w:val="21"/>
              </w:rPr>
              <w:t>、氨气</w:t>
            </w:r>
            <w:r>
              <w:rPr>
                <w:rFonts w:hint="eastAsia"/>
                <w:color w:val="0000FF"/>
                <w:szCs w:val="21"/>
                <w:lang w:eastAsia="zh-CN"/>
              </w:rPr>
              <w:t>、</w:t>
            </w:r>
            <w:r>
              <w:rPr>
                <w:rFonts w:hint="eastAsia"/>
                <w:color w:val="0000FF"/>
                <w:szCs w:val="21"/>
                <w:lang w:val="en-US" w:eastAsia="zh-CN"/>
              </w:rPr>
              <w:t>苯乙烯、</w:t>
            </w:r>
            <w:r>
              <w:rPr>
                <w:rFonts w:hint="default" w:ascii="Times New Roman" w:hAnsi="Times New Roman" w:cs="Times New Roman"/>
                <w:color w:val="0000FF"/>
                <w:lang w:val="en-US" w:eastAsia="zh-CN"/>
              </w:rPr>
              <w:t>苯系物、氮氧化物、</w:t>
            </w:r>
            <w:r>
              <w:rPr>
                <w:rFonts w:hint="default" w:ascii="Times New Roman" w:hAnsi="Times New Roman" w:cs="Times New Roman"/>
                <w:color w:val="0000FF"/>
              </w:rPr>
              <w:t>非甲烷总烃、二甲苯、</w:t>
            </w:r>
            <w:r>
              <w:rPr>
                <w:rFonts w:hint="default" w:ascii="Times New Roman" w:hAnsi="Times New Roman" w:cs="Times New Roman"/>
                <w:color w:val="0000FF"/>
                <w:lang w:val="en-US" w:eastAsia="zh-CN"/>
              </w:rPr>
              <w:t>氯化氢、硫酸雾</w:t>
            </w:r>
            <w:r>
              <w:rPr>
                <w:rFonts w:hint="default" w:ascii="Times New Roman" w:hAnsi="Times New Roman" w:cs="Times New Roman"/>
                <w:color w:val="0000FF"/>
                <w:lang w:eastAsia="zh-CN"/>
              </w:rPr>
              <w:t>、</w:t>
            </w:r>
            <w:r>
              <w:rPr>
                <w:rFonts w:hint="default" w:ascii="Times New Roman" w:hAnsi="Times New Roman" w:cs="Times New Roman"/>
                <w:color w:val="0000FF"/>
                <w:lang w:val="en-US" w:eastAsia="zh-CN"/>
              </w:rPr>
              <w:t>氯苯类、苯胺类、酚类、</w:t>
            </w:r>
            <w:r>
              <w:rPr>
                <w:rFonts w:hint="default" w:ascii="Times New Roman" w:hAnsi="Times New Roman" w:cs="Times New Roman"/>
                <w:color w:val="0000FF"/>
              </w:rPr>
              <w:t>甲醇</w:t>
            </w:r>
            <w:r>
              <w:rPr>
                <w:rFonts w:hint="eastAsia" w:ascii="Times New Roman" w:hAnsi="Times New Roman" w:cs="Times New Roman"/>
                <w:color w:val="0000FF"/>
                <w:lang w:eastAsia="zh-CN"/>
              </w:rPr>
              <w:t>、</w:t>
            </w:r>
            <w:r>
              <w:rPr>
                <w:rFonts w:hint="eastAsia" w:ascii="Times New Roman" w:hAnsi="Times New Roman" w:cs="Times New Roman"/>
                <w:color w:val="0000FF"/>
                <w:lang w:val="en-US" w:eastAsia="zh-CN"/>
              </w:rPr>
              <w:t>乙腈、氰化氢、光气、氟化物等</w:t>
            </w:r>
            <w:r>
              <w:rPr>
                <w:rFonts w:hint="eastAsia"/>
                <w:color w:val="0000FF"/>
                <w:szCs w:val="21"/>
              </w:rPr>
              <w:t>。</w:t>
            </w:r>
          </w:p>
          <w:p w14:paraId="2213F0B4">
            <w:pPr>
              <w:adjustRightInd w:val="0"/>
              <w:snapToGrid w:val="0"/>
              <w:spacing w:line="360" w:lineRule="auto"/>
              <w:ind w:firstLine="420" w:firstLineChars="200"/>
              <w:rPr>
                <w:szCs w:val="21"/>
              </w:rPr>
            </w:pPr>
            <w:r>
              <w:rPr>
                <w:szCs w:val="21"/>
              </w:rPr>
              <w:t>监测时间和频次：按照事故持续时间决定监测时间，根据事故严重性决定监测频次。一般情况下每小时取样一次。随事故控制减弱，适当减少监测频次。</w:t>
            </w:r>
          </w:p>
          <w:p w14:paraId="7205E3AF">
            <w:pPr>
              <w:adjustRightInd w:val="0"/>
              <w:snapToGrid w:val="0"/>
              <w:spacing w:line="360" w:lineRule="auto"/>
              <w:ind w:firstLine="420" w:firstLineChars="200"/>
              <w:rPr>
                <w:szCs w:val="21"/>
              </w:rPr>
            </w:pPr>
            <w:r>
              <w:rPr>
                <w:szCs w:val="21"/>
              </w:rPr>
              <w:t>监测布点：按事故发生时的主导风向的下风向，考虑区域功能设置1个测点，厂界设监控点。</w:t>
            </w:r>
          </w:p>
          <w:p w14:paraId="66FC968D">
            <w:pPr>
              <w:adjustRightInd w:val="0"/>
              <w:snapToGrid w:val="0"/>
              <w:spacing w:line="360" w:lineRule="auto"/>
              <w:ind w:firstLine="420" w:firstLineChars="200"/>
              <w:rPr>
                <w:szCs w:val="21"/>
              </w:rPr>
            </w:pPr>
            <w:r>
              <w:rPr>
                <w:rFonts w:hint="eastAsia"/>
                <w:szCs w:val="21"/>
              </w:rPr>
              <w:t>②</w:t>
            </w:r>
            <w:r>
              <w:rPr>
                <w:szCs w:val="21"/>
              </w:rPr>
              <w:t>水环境监测</w:t>
            </w:r>
          </w:p>
          <w:p w14:paraId="0328814F">
            <w:pPr>
              <w:adjustRightInd w:val="0"/>
              <w:snapToGrid w:val="0"/>
              <w:spacing w:line="360" w:lineRule="auto"/>
              <w:ind w:firstLine="420" w:firstLineChars="200"/>
              <w:rPr>
                <w:szCs w:val="21"/>
              </w:rPr>
            </w:pPr>
            <w:r>
              <w:rPr>
                <w:szCs w:val="21"/>
              </w:rPr>
              <w:t>监测因子：pH、COD、BOD</w:t>
            </w:r>
            <w:r>
              <w:rPr>
                <w:szCs w:val="21"/>
                <w:vertAlign w:val="subscript"/>
              </w:rPr>
              <w:t>5</w:t>
            </w:r>
            <w:r>
              <w:rPr>
                <w:szCs w:val="21"/>
              </w:rPr>
              <w:t>、SS、氨氮、总磷、总氮。</w:t>
            </w:r>
          </w:p>
          <w:p w14:paraId="43F55E42">
            <w:pPr>
              <w:adjustRightInd w:val="0"/>
              <w:snapToGrid w:val="0"/>
              <w:spacing w:line="360" w:lineRule="auto"/>
              <w:ind w:firstLine="420" w:firstLineChars="200"/>
              <w:rPr>
                <w:szCs w:val="21"/>
              </w:rPr>
            </w:pPr>
            <w:r>
              <w:rPr>
                <w:szCs w:val="21"/>
              </w:rPr>
              <w:t>监测时间和频次：按照事故持续时间决定监测时间，根据事故严重性决定监测频次。一般情况下每小时取样一次。随事故控制减弱，适当减少监测频次。</w:t>
            </w:r>
          </w:p>
          <w:p w14:paraId="372DEA6A">
            <w:pPr>
              <w:adjustRightInd w:val="0"/>
              <w:snapToGrid w:val="0"/>
              <w:spacing w:line="360" w:lineRule="auto"/>
              <w:ind w:firstLine="420" w:firstLineChars="200"/>
              <w:rPr>
                <w:szCs w:val="21"/>
              </w:rPr>
            </w:pPr>
            <w:r>
              <w:rPr>
                <w:szCs w:val="21"/>
              </w:rPr>
              <w:t>监测布点：污水接管口、雨水排口、可能受影响的河流设1个监测点。</w:t>
            </w:r>
          </w:p>
          <w:p w14:paraId="7786A638">
            <w:pPr>
              <w:adjustRightInd w:val="0"/>
              <w:snapToGrid w:val="0"/>
              <w:spacing w:line="360" w:lineRule="auto"/>
              <w:ind w:firstLine="420" w:firstLineChars="200"/>
              <w:rPr>
                <w:szCs w:val="21"/>
              </w:rPr>
            </w:pPr>
            <w:r>
              <w:rPr>
                <w:szCs w:val="21"/>
              </w:rPr>
              <w:t>事故后期应对可能受污染的土壤和地下水进行环境影响评估和修复。</w:t>
            </w:r>
          </w:p>
          <w:p w14:paraId="4083C078"/>
        </w:tc>
      </w:tr>
    </w:tbl>
    <w:p w14:paraId="3309ED0D">
      <w:pPr>
        <w:pStyle w:val="18"/>
        <w:jc w:val="center"/>
        <w:outlineLvl w:val="0"/>
        <w:rPr>
          <w:rFonts w:ascii="Times New Roman" w:hAnsi="Times New Roman" w:eastAsia="黑体"/>
          <w:snapToGrid w:val="0"/>
          <w:sz w:val="30"/>
          <w:szCs w:val="30"/>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bookmarkStart w:id="20" w:name="PageNo100800079"/>
    </w:p>
    <w:bookmarkEnd w:id="20"/>
    <w:p w14:paraId="1ED7E45D">
      <w:pPr>
        <w:pStyle w:val="18"/>
        <w:spacing w:before="0" w:beforeAutospacing="0" w:after="240" w:afterAutospacing="0"/>
        <w:jc w:val="center"/>
        <w:outlineLvl w:val="0"/>
        <w:rPr>
          <w:rFonts w:ascii="Times New Roman" w:hAnsi="Times New Roman" w:eastAsia="黑体"/>
          <w:snapToGrid w:val="0"/>
          <w:sz w:val="30"/>
          <w:szCs w:val="30"/>
        </w:rPr>
      </w:pPr>
      <w:bookmarkStart w:id="21" w:name="PageNo100810080"/>
      <w:r>
        <w:rPr>
          <w:rFonts w:ascii="Times New Roman" w:hAnsi="Times New Roman" w:eastAsia="黑体"/>
          <w:snapToGrid w:val="0"/>
          <w:sz w:val="30"/>
          <w:szCs w:val="30"/>
        </w:rPr>
        <w:t>五</w:t>
      </w:r>
      <w:bookmarkEnd w:id="21"/>
      <w:r>
        <w:rPr>
          <w:rFonts w:ascii="Times New Roman" w:hAnsi="Times New Roman" w:eastAsia="黑体"/>
          <w:snapToGrid w:val="0"/>
          <w:sz w:val="30"/>
          <w:szCs w:val="30"/>
        </w:rPr>
        <w:t>、环境保护措施监督检查清单</w:t>
      </w:r>
    </w:p>
    <w:tbl>
      <w:tblPr>
        <w:tblStyle w:val="23"/>
        <w:tblW w:w="931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396"/>
        <w:gridCol w:w="1417"/>
        <w:gridCol w:w="1689"/>
        <w:gridCol w:w="1740"/>
        <w:gridCol w:w="3076"/>
      </w:tblGrid>
      <w:tr w14:paraId="36C547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396" w:type="dxa"/>
            <w:tcBorders>
              <w:tl2br w:val="single" w:color="auto" w:sz="4" w:space="0"/>
            </w:tcBorders>
          </w:tcPr>
          <w:p w14:paraId="5B60990D">
            <w:pPr>
              <w:adjustRightInd w:val="0"/>
              <w:snapToGrid w:val="0"/>
              <w:ind w:firstLine="630" w:firstLineChars="300"/>
              <w:rPr>
                <w:szCs w:val="21"/>
              </w:rPr>
            </w:pPr>
            <w:r>
              <w:rPr>
                <w:szCs w:val="21"/>
              </w:rPr>
              <w:t>内容</w:t>
            </w:r>
          </w:p>
          <w:p w14:paraId="23DC7CB0">
            <w:pPr>
              <w:adjustRightInd w:val="0"/>
              <w:snapToGrid w:val="0"/>
              <w:rPr>
                <w:szCs w:val="21"/>
              </w:rPr>
            </w:pPr>
            <w:r>
              <w:rPr>
                <w:szCs w:val="21"/>
              </w:rPr>
              <w:t>要素</w:t>
            </w:r>
          </w:p>
        </w:tc>
        <w:tc>
          <w:tcPr>
            <w:tcW w:w="1417" w:type="dxa"/>
            <w:vAlign w:val="center"/>
          </w:tcPr>
          <w:p w14:paraId="5CA8342B">
            <w:pPr>
              <w:adjustRightInd w:val="0"/>
              <w:snapToGrid w:val="0"/>
              <w:jc w:val="center"/>
              <w:rPr>
                <w:szCs w:val="21"/>
              </w:rPr>
            </w:pPr>
            <w:r>
              <w:rPr>
                <w:szCs w:val="21"/>
              </w:rPr>
              <w:t>排放口(编号、</w:t>
            </w:r>
          </w:p>
          <w:p w14:paraId="3BE6335B">
            <w:pPr>
              <w:adjustRightInd w:val="0"/>
              <w:snapToGrid w:val="0"/>
              <w:jc w:val="center"/>
              <w:rPr>
                <w:szCs w:val="21"/>
              </w:rPr>
            </w:pPr>
            <w:r>
              <w:rPr>
                <w:szCs w:val="21"/>
              </w:rPr>
              <w:t>名称)/污染源</w:t>
            </w:r>
          </w:p>
        </w:tc>
        <w:tc>
          <w:tcPr>
            <w:tcW w:w="1689" w:type="dxa"/>
            <w:vAlign w:val="center"/>
          </w:tcPr>
          <w:p w14:paraId="094D0CD1">
            <w:pPr>
              <w:adjustRightInd w:val="0"/>
              <w:snapToGrid w:val="0"/>
              <w:jc w:val="center"/>
              <w:rPr>
                <w:szCs w:val="21"/>
              </w:rPr>
            </w:pPr>
            <w:r>
              <w:rPr>
                <w:szCs w:val="21"/>
              </w:rPr>
              <w:t>污染物项目</w:t>
            </w:r>
          </w:p>
        </w:tc>
        <w:tc>
          <w:tcPr>
            <w:tcW w:w="1740" w:type="dxa"/>
            <w:vAlign w:val="center"/>
          </w:tcPr>
          <w:p w14:paraId="6BF170D6">
            <w:pPr>
              <w:adjustRightInd w:val="0"/>
              <w:snapToGrid w:val="0"/>
              <w:jc w:val="center"/>
              <w:rPr>
                <w:szCs w:val="21"/>
              </w:rPr>
            </w:pPr>
            <w:r>
              <w:rPr>
                <w:szCs w:val="21"/>
              </w:rPr>
              <w:t>环境保护措施</w:t>
            </w:r>
          </w:p>
        </w:tc>
        <w:tc>
          <w:tcPr>
            <w:tcW w:w="3076" w:type="dxa"/>
            <w:vAlign w:val="center"/>
          </w:tcPr>
          <w:p w14:paraId="2882A373">
            <w:pPr>
              <w:adjustRightInd w:val="0"/>
              <w:snapToGrid w:val="0"/>
              <w:jc w:val="center"/>
              <w:rPr>
                <w:szCs w:val="21"/>
              </w:rPr>
            </w:pPr>
            <w:r>
              <w:rPr>
                <w:szCs w:val="21"/>
              </w:rPr>
              <w:t>执行标准</w:t>
            </w:r>
          </w:p>
        </w:tc>
      </w:tr>
      <w:tr w14:paraId="6B97D8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546" w:hRule="atLeast"/>
          <w:jc w:val="center"/>
        </w:trPr>
        <w:tc>
          <w:tcPr>
            <w:tcW w:w="1396" w:type="dxa"/>
            <w:vMerge w:val="restart"/>
            <w:vAlign w:val="center"/>
          </w:tcPr>
          <w:p w14:paraId="494A2462">
            <w:pPr>
              <w:adjustRightInd w:val="0"/>
              <w:snapToGrid w:val="0"/>
              <w:jc w:val="center"/>
              <w:rPr>
                <w:szCs w:val="21"/>
              </w:rPr>
            </w:pPr>
            <w:r>
              <w:rPr>
                <w:szCs w:val="21"/>
              </w:rPr>
              <w:t>大气环境</w:t>
            </w:r>
          </w:p>
        </w:tc>
        <w:tc>
          <w:tcPr>
            <w:tcW w:w="1417" w:type="dxa"/>
            <w:vAlign w:val="center"/>
          </w:tcPr>
          <w:p w14:paraId="3C6292CD">
            <w:pPr>
              <w:adjustRightInd w:val="0"/>
              <w:snapToGrid w:val="0"/>
              <w:jc w:val="center"/>
              <w:rPr>
                <w:szCs w:val="21"/>
              </w:rPr>
            </w:pPr>
            <w:r>
              <w:rPr>
                <w:szCs w:val="21"/>
              </w:rPr>
              <w:t>DA001</w:t>
            </w:r>
          </w:p>
        </w:tc>
        <w:tc>
          <w:tcPr>
            <w:tcW w:w="1689" w:type="dxa"/>
            <w:vAlign w:val="center"/>
          </w:tcPr>
          <w:p w14:paraId="2CA69C17">
            <w:pPr>
              <w:adjustRightInd w:val="0"/>
              <w:snapToGrid w:val="0"/>
              <w:jc w:val="center"/>
              <w:rPr>
                <w:szCs w:val="21"/>
              </w:rPr>
            </w:pPr>
            <w:r>
              <w:rPr>
                <w:szCs w:val="21"/>
              </w:rPr>
              <w:t>非甲烷总烃</w:t>
            </w:r>
            <w:r>
              <w:rPr>
                <w:rFonts w:hint="eastAsia"/>
                <w:szCs w:val="21"/>
              </w:rPr>
              <w:t>、二甲苯、甲醇、</w:t>
            </w:r>
            <w:r>
              <w:rPr>
                <w:szCs w:val="21"/>
              </w:rPr>
              <w:t>臭气浓度</w:t>
            </w:r>
            <w:r>
              <w:rPr>
                <w:rFonts w:hint="eastAsia"/>
                <w:szCs w:val="21"/>
              </w:rPr>
              <w:t>、氨气</w:t>
            </w:r>
          </w:p>
        </w:tc>
        <w:tc>
          <w:tcPr>
            <w:tcW w:w="1740" w:type="dxa"/>
            <w:vAlign w:val="center"/>
          </w:tcPr>
          <w:p w14:paraId="0EBEDB20">
            <w:pPr>
              <w:adjustRightInd w:val="0"/>
              <w:snapToGrid w:val="0"/>
              <w:jc w:val="center"/>
              <w:rPr>
                <w:szCs w:val="21"/>
              </w:rPr>
            </w:pPr>
            <w:r>
              <w:rPr>
                <w:rFonts w:hint="eastAsia"/>
                <w:szCs w:val="21"/>
              </w:rPr>
              <w:t>水喷淋+除雾器+二级活性炭吸附</w:t>
            </w:r>
          </w:p>
        </w:tc>
        <w:tc>
          <w:tcPr>
            <w:tcW w:w="3076" w:type="dxa"/>
            <w:vAlign w:val="center"/>
          </w:tcPr>
          <w:p w14:paraId="4AE91A04">
            <w:pPr>
              <w:adjustRightInd w:val="0"/>
              <w:snapToGrid w:val="0"/>
              <w:jc w:val="center"/>
              <w:rPr>
                <w:szCs w:val="21"/>
              </w:rPr>
            </w:pPr>
            <w:r>
              <w:rPr>
                <w:szCs w:val="21"/>
              </w:rPr>
              <w:t>《大气污染物综合排放标准》（DB32/4041-2021）</w:t>
            </w:r>
            <w:r>
              <w:rPr>
                <w:rFonts w:hint="eastAsia"/>
                <w:szCs w:val="21"/>
              </w:rPr>
              <w:t>、</w:t>
            </w:r>
            <w:r>
              <w:rPr>
                <w:szCs w:val="21"/>
              </w:rPr>
              <w:t>《恶臭污染物排放标准》（GB</w:t>
            </w:r>
            <w:r>
              <w:rPr>
                <w:rFonts w:hint="eastAsia"/>
                <w:szCs w:val="21"/>
              </w:rPr>
              <w:t>14554</w:t>
            </w:r>
            <w:r>
              <w:rPr>
                <w:szCs w:val="21"/>
              </w:rPr>
              <w:t>-93）</w:t>
            </w:r>
          </w:p>
        </w:tc>
      </w:tr>
      <w:tr w14:paraId="4027A2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41" w:hRule="atLeast"/>
          <w:jc w:val="center"/>
        </w:trPr>
        <w:tc>
          <w:tcPr>
            <w:tcW w:w="1396" w:type="dxa"/>
            <w:vMerge w:val="continue"/>
            <w:vAlign w:val="center"/>
          </w:tcPr>
          <w:p w14:paraId="3B5B95E7">
            <w:pPr>
              <w:adjustRightInd w:val="0"/>
              <w:snapToGrid w:val="0"/>
              <w:jc w:val="center"/>
              <w:rPr>
                <w:szCs w:val="21"/>
              </w:rPr>
            </w:pPr>
          </w:p>
        </w:tc>
        <w:tc>
          <w:tcPr>
            <w:tcW w:w="1417" w:type="dxa"/>
            <w:vAlign w:val="center"/>
          </w:tcPr>
          <w:p w14:paraId="4392A259">
            <w:pPr>
              <w:adjustRightInd w:val="0"/>
              <w:snapToGrid w:val="0"/>
              <w:jc w:val="center"/>
              <w:rPr>
                <w:szCs w:val="21"/>
              </w:rPr>
            </w:pPr>
            <w:r>
              <w:rPr>
                <w:rFonts w:hint="eastAsia"/>
                <w:szCs w:val="21"/>
              </w:rPr>
              <w:t>DA002</w:t>
            </w:r>
          </w:p>
        </w:tc>
        <w:tc>
          <w:tcPr>
            <w:tcW w:w="1689" w:type="dxa"/>
            <w:vAlign w:val="center"/>
          </w:tcPr>
          <w:p w14:paraId="6B6B0B98">
            <w:pPr>
              <w:adjustRightInd w:val="0"/>
              <w:snapToGrid w:val="0"/>
              <w:jc w:val="center"/>
              <w:rPr>
                <w:szCs w:val="21"/>
              </w:rPr>
            </w:pPr>
            <w:r>
              <w:rPr>
                <w:szCs w:val="21"/>
              </w:rPr>
              <w:t>非甲烷总烃</w:t>
            </w:r>
          </w:p>
        </w:tc>
        <w:tc>
          <w:tcPr>
            <w:tcW w:w="1740" w:type="dxa"/>
            <w:vAlign w:val="center"/>
          </w:tcPr>
          <w:p w14:paraId="04A8A934">
            <w:pPr>
              <w:adjustRightInd w:val="0"/>
              <w:snapToGrid w:val="0"/>
              <w:jc w:val="center"/>
              <w:rPr>
                <w:szCs w:val="21"/>
              </w:rPr>
            </w:pPr>
            <w:r>
              <w:rPr>
                <w:rFonts w:hint="eastAsia"/>
                <w:szCs w:val="21"/>
              </w:rPr>
              <w:t>活性炭吸附</w:t>
            </w:r>
          </w:p>
        </w:tc>
        <w:tc>
          <w:tcPr>
            <w:tcW w:w="3076" w:type="dxa"/>
            <w:vAlign w:val="center"/>
          </w:tcPr>
          <w:p w14:paraId="556FE16B">
            <w:pPr>
              <w:adjustRightInd w:val="0"/>
              <w:snapToGrid w:val="0"/>
              <w:jc w:val="center"/>
              <w:rPr>
                <w:szCs w:val="21"/>
              </w:rPr>
            </w:pPr>
            <w:r>
              <w:rPr>
                <w:szCs w:val="21"/>
              </w:rPr>
              <w:t>《大气污染物综合排放标准》（DB32/4041-2021）</w:t>
            </w:r>
          </w:p>
        </w:tc>
      </w:tr>
      <w:tr w14:paraId="00B046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309" w:hRule="atLeast"/>
          <w:jc w:val="center"/>
        </w:trPr>
        <w:tc>
          <w:tcPr>
            <w:tcW w:w="1396" w:type="dxa"/>
            <w:vMerge w:val="continue"/>
            <w:vAlign w:val="center"/>
          </w:tcPr>
          <w:p w14:paraId="4B85B685">
            <w:pPr>
              <w:adjustRightInd w:val="0"/>
              <w:snapToGrid w:val="0"/>
              <w:jc w:val="center"/>
              <w:rPr>
                <w:szCs w:val="21"/>
              </w:rPr>
            </w:pPr>
          </w:p>
        </w:tc>
        <w:tc>
          <w:tcPr>
            <w:tcW w:w="1417" w:type="dxa"/>
            <w:vMerge w:val="restart"/>
            <w:vAlign w:val="center"/>
          </w:tcPr>
          <w:p w14:paraId="63B7F72A">
            <w:pPr>
              <w:adjustRightInd w:val="0"/>
              <w:snapToGrid w:val="0"/>
              <w:jc w:val="center"/>
              <w:rPr>
                <w:szCs w:val="21"/>
              </w:rPr>
            </w:pPr>
            <w:r>
              <w:rPr>
                <w:szCs w:val="21"/>
              </w:rPr>
              <w:t>厂界</w:t>
            </w:r>
          </w:p>
        </w:tc>
        <w:tc>
          <w:tcPr>
            <w:tcW w:w="1689" w:type="dxa"/>
            <w:vAlign w:val="center"/>
          </w:tcPr>
          <w:p w14:paraId="2391E0D9">
            <w:pPr>
              <w:adjustRightInd w:val="0"/>
              <w:snapToGrid w:val="0"/>
              <w:jc w:val="center"/>
              <w:rPr>
                <w:szCs w:val="21"/>
              </w:rPr>
            </w:pPr>
            <w:r>
              <w:rPr>
                <w:szCs w:val="21"/>
              </w:rPr>
              <w:t>非甲烷总烃</w:t>
            </w:r>
            <w:r>
              <w:rPr>
                <w:rFonts w:hint="eastAsia"/>
                <w:szCs w:val="21"/>
              </w:rPr>
              <w:t>、二甲苯、甲醇</w:t>
            </w:r>
          </w:p>
        </w:tc>
        <w:tc>
          <w:tcPr>
            <w:tcW w:w="1740" w:type="dxa"/>
            <w:vMerge w:val="restart"/>
            <w:vAlign w:val="center"/>
          </w:tcPr>
          <w:p w14:paraId="2E6BAF76">
            <w:pPr>
              <w:adjustRightInd w:val="0"/>
              <w:snapToGrid w:val="0"/>
              <w:jc w:val="center"/>
              <w:rPr>
                <w:szCs w:val="21"/>
              </w:rPr>
            </w:pPr>
            <w:r>
              <w:rPr>
                <w:szCs w:val="21"/>
              </w:rPr>
              <w:t>加强通风</w:t>
            </w:r>
          </w:p>
        </w:tc>
        <w:tc>
          <w:tcPr>
            <w:tcW w:w="3076" w:type="dxa"/>
            <w:vAlign w:val="center"/>
          </w:tcPr>
          <w:p w14:paraId="74371868">
            <w:pPr>
              <w:adjustRightInd w:val="0"/>
              <w:snapToGrid w:val="0"/>
              <w:jc w:val="center"/>
              <w:rPr>
                <w:szCs w:val="21"/>
              </w:rPr>
            </w:pPr>
            <w:r>
              <w:rPr>
                <w:szCs w:val="21"/>
              </w:rPr>
              <w:t>《大气污染物综合排放标准》（DB32/4041-2021）</w:t>
            </w:r>
          </w:p>
        </w:tc>
      </w:tr>
      <w:tr w14:paraId="5A206E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64" w:hRule="atLeast"/>
          <w:jc w:val="center"/>
        </w:trPr>
        <w:tc>
          <w:tcPr>
            <w:tcW w:w="1396" w:type="dxa"/>
            <w:vMerge w:val="continue"/>
            <w:vAlign w:val="center"/>
          </w:tcPr>
          <w:p w14:paraId="057EBBF4">
            <w:pPr>
              <w:adjustRightInd w:val="0"/>
              <w:snapToGrid w:val="0"/>
              <w:jc w:val="center"/>
              <w:rPr>
                <w:szCs w:val="21"/>
              </w:rPr>
            </w:pPr>
          </w:p>
        </w:tc>
        <w:tc>
          <w:tcPr>
            <w:tcW w:w="1417" w:type="dxa"/>
            <w:vMerge w:val="continue"/>
            <w:vAlign w:val="center"/>
          </w:tcPr>
          <w:p w14:paraId="69FD24F4">
            <w:pPr>
              <w:adjustRightInd w:val="0"/>
              <w:snapToGrid w:val="0"/>
              <w:jc w:val="center"/>
              <w:rPr>
                <w:szCs w:val="21"/>
              </w:rPr>
            </w:pPr>
          </w:p>
        </w:tc>
        <w:tc>
          <w:tcPr>
            <w:tcW w:w="1689" w:type="dxa"/>
            <w:vAlign w:val="center"/>
          </w:tcPr>
          <w:p w14:paraId="2F7F9B83">
            <w:pPr>
              <w:adjustRightInd w:val="0"/>
              <w:snapToGrid w:val="0"/>
              <w:jc w:val="center"/>
              <w:rPr>
                <w:szCs w:val="21"/>
              </w:rPr>
            </w:pPr>
            <w:r>
              <w:rPr>
                <w:szCs w:val="21"/>
              </w:rPr>
              <w:t>臭气浓度</w:t>
            </w:r>
            <w:r>
              <w:rPr>
                <w:rFonts w:hint="eastAsia"/>
                <w:szCs w:val="21"/>
              </w:rPr>
              <w:t>、氨气</w:t>
            </w:r>
          </w:p>
        </w:tc>
        <w:tc>
          <w:tcPr>
            <w:tcW w:w="1740" w:type="dxa"/>
            <w:vMerge w:val="continue"/>
            <w:vAlign w:val="center"/>
          </w:tcPr>
          <w:p w14:paraId="4D7DB646">
            <w:pPr>
              <w:adjustRightInd w:val="0"/>
              <w:snapToGrid w:val="0"/>
              <w:jc w:val="center"/>
              <w:rPr>
                <w:szCs w:val="21"/>
              </w:rPr>
            </w:pPr>
          </w:p>
        </w:tc>
        <w:tc>
          <w:tcPr>
            <w:tcW w:w="3076" w:type="dxa"/>
            <w:vAlign w:val="center"/>
          </w:tcPr>
          <w:p w14:paraId="6AC6726B">
            <w:pPr>
              <w:adjustRightInd w:val="0"/>
              <w:snapToGrid w:val="0"/>
              <w:jc w:val="center"/>
              <w:rPr>
                <w:szCs w:val="21"/>
              </w:rPr>
            </w:pPr>
            <w:r>
              <w:rPr>
                <w:szCs w:val="21"/>
              </w:rPr>
              <w:t>《恶臭污染物排放标准》（GB</w:t>
            </w:r>
            <w:r>
              <w:rPr>
                <w:rFonts w:hint="eastAsia"/>
                <w:szCs w:val="21"/>
              </w:rPr>
              <w:t>14554</w:t>
            </w:r>
            <w:r>
              <w:rPr>
                <w:szCs w:val="21"/>
              </w:rPr>
              <w:t>-93）</w:t>
            </w:r>
          </w:p>
        </w:tc>
      </w:tr>
      <w:tr w14:paraId="65946C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49" w:hRule="atLeast"/>
          <w:jc w:val="center"/>
        </w:trPr>
        <w:tc>
          <w:tcPr>
            <w:tcW w:w="1396" w:type="dxa"/>
            <w:vMerge w:val="continue"/>
            <w:vAlign w:val="center"/>
          </w:tcPr>
          <w:p w14:paraId="2941D935">
            <w:pPr>
              <w:adjustRightInd w:val="0"/>
              <w:snapToGrid w:val="0"/>
              <w:jc w:val="center"/>
              <w:rPr>
                <w:szCs w:val="21"/>
              </w:rPr>
            </w:pPr>
          </w:p>
        </w:tc>
        <w:tc>
          <w:tcPr>
            <w:tcW w:w="1417" w:type="dxa"/>
            <w:vAlign w:val="center"/>
          </w:tcPr>
          <w:p w14:paraId="5E36863E">
            <w:pPr>
              <w:adjustRightInd w:val="0"/>
              <w:snapToGrid w:val="0"/>
              <w:jc w:val="center"/>
              <w:rPr>
                <w:szCs w:val="21"/>
              </w:rPr>
            </w:pPr>
            <w:r>
              <w:rPr>
                <w:szCs w:val="21"/>
              </w:rPr>
              <w:t>厂区内</w:t>
            </w:r>
          </w:p>
        </w:tc>
        <w:tc>
          <w:tcPr>
            <w:tcW w:w="1689" w:type="dxa"/>
            <w:vAlign w:val="center"/>
          </w:tcPr>
          <w:p w14:paraId="6CC8D701">
            <w:pPr>
              <w:adjustRightInd w:val="0"/>
              <w:snapToGrid w:val="0"/>
              <w:jc w:val="center"/>
              <w:rPr>
                <w:szCs w:val="21"/>
              </w:rPr>
            </w:pPr>
            <w:r>
              <w:rPr>
                <w:szCs w:val="21"/>
              </w:rPr>
              <w:t>非甲烷总烃</w:t>
            </w:r>
          </w:p>
        </w:tc>
        <w:tc>
          <w:tcPr>
            <w:tcW w:w="1740" w:type="dxa"/>
            <w:vAlign w:val="center"/>
          </w:tcPr>
          <w:p w14:paraId="6FED4370">
            <w:pPr>
              <w:adjustRightInd w:val="0"/>
              <w:snapToGrid w:val="0"/>
              <w:jc w:val="center"/>
              <w:rPr>
                <w:szCs w:val="21"/>
              </w:rPr>
            </w:pPr>
            <w:r>
              <w:rPr>
                <w:szCs w:val="21"/>
              </w:rPr>
              <w:t>加强绿化</w:t>
            </w:r>
          </w:p>
        </w:tc>
        <w:tc>
          <w:tcPr>
            <w:tcW w:w="3076" w:type="dxa"/>
            <w:vAlign w:val="center"/>
          </w:tcPr>
          <w:p w14:paraId="7C41061C">
            <w:pPr>
              <w:adjustRightInd w:val="0"/>
              <w:snapToGrid w:val="0"/>
              <w:jc w:val="center"/>
              <w:rPr>
                <w:szCs w:val="21"/>
              </w:rPr>
            </w:pPr>
            <w:r>
              <w:rPr>
                <w:szCs w:val="21"/>
              </w:rPr>
              <w:t>《大气污染物综合排放标准》（DB32/4041-2021）</w:t>
            </w:r>
          </w:p>
        </w:tc>
      </w:tr>
      <w:tr w14:paraId="0089CC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08" w:hRule="atLeast"/>
          <w:jc w:val="center"/>
        </w:trPr>
        <w:tc>
          <w:tcPr>
            <w:tcW w:w="1396" w:type="dxa"/>
            <w:vMerge w:val="restart"/>
            <w:vAlign w:val="center"/>
          </w:tcPr>
          <w:p w14:paraId="0A028073">
            <w:pPr>
              <w:adjustRightInd w:val="0"/>
              <w:snapToGrid w:val="0"/>
              <w:jc w:val="center"/>
              <w:rPr>
                <w:szCs w:val="21"/>
              </w:rPr>
            </w:pPr>
            <w:r>
              <w:rPr>
                <w:szCs w:val="21"/>
              </w:rPr>
              <w:t>地表水环境</w:t>
            </w:r>
          </w:p>
        </w:tc>
        <w:tc>
          <w:tcPr>
            <w:tcW w:w="1417" w:type="dxa"/>
            <w:vAlign w:val="center"/>
          </w:tcPr>
          <w:p w14:paraId="1D067F11">
            <w:pPr>
              <w:adjustRightInd w:val="0"/>
              <w:snapToGrid w:val="0"/>
              <w:jc w:val="center"/>
              <w:rPr>
                <w:szCs w:val="21"/>
              </w:rPr>
            </w:pPr>
            <w:r>
              <w:rPr>
                <w:szCs w:val="21"/>
              </w:rPr>
              <w:t>生活污水</w:t>
            </w:r>
          </w:p>
        </w:tc>
        <w:tc>
          <w:tcPr>
            <w:tcW w:w="1689" w:type="dxa"/>
            <w:vAlign w:val="center"/>
          </w:tcPr>
          <w:p w14:paraId="1D456700">
            <w:pPr>
              <w:adjustRightInd w:val="0"/>
              <w:snapToGrid w:val="0"/>
              <w:jc w:val="center"/>
              <w:rPr>
                <w:szCs w:val="21"/>
              </w:rPr>
            </w:pPr>
            <w:r>
              <w:rPr>
                <w:szCs w:val="21"/>
              </w:rPr>
              <w:t>COD、SS、氨氮、TP、TN</w:t>
            </w:r>
          </w:p>
        </w:tc>
        <w:tc>
          <w:tcPr>
            <w:tcW w:w="1740" w:type="dxa"/>
            <w:vAlign w:val="center"/>
          </w:tcPr>
          <w:p w14:paraId="0A8D2AD8">
            <w:pPr>
              <w:adjustRightInd w:val="0"/>
              <w:snapToGrid w:val="0"/>
              <w:jc w:val="center"/>
              <w:rPr>
                <w:szCs w:val="21"/>
              </w:rPr>
            </w:pPr>
            <w:r>
              <w:rPr>
                <w:szCs w:val="21"/>
              </w:rPr>
              <w:t>化粪池，</w:t>
            </w:r>
            <w:r>
              <w:rPr>
                <w:rFonts w:hint="eastAsia"/>
                <w:szCs w:val="21"/>
              </w:rPr>
              <w:t>5</w:t>
            </w:r>
            <w:r>
              <w:rPr>
                <w:szCs w:val="21"/>
              </w:rPr>
              <w:t>m</w:t>
            </w:r>
            <w:r>
              <w:rPr>
                <w:szCs w:val="21"/>
                <w:vertAlign w:val="superscript"/>
              </w:rPr>
              <w:t>3</w:t>
            </w:r>
          </w:p>
        </w:tc>
        <w:tc>
          <w:tcPr>
            <w:tcW w:w="3076" w:type="dxa"/>
            <w:vMerge w:val="restart"/>
            <w:vAlign w:val="center"/>
          </w:tcPr>
          <w:p w14:paraId="64B14AA7">
            <w:pPr>
              <w:adjustRightInd w:val="0"/>
              <w:snapToGrid w:val="0"/>
              <w:jc w:val="center"/>
              <w:rPr>
                <w:szCs w:val="21"/>
              </w:rPr>
            </w:pPr>
            <w:r>
              <w:rPr>
                <w:rFonts w:hint="eastAsia"/>
                <w:szCs w:val="21"/>
              </w:rPr>
              <w:t>《污水综合排放标准》（GB8978-1996）表4中三级标准、《污水排入城镇下水道水质标准》（GB/T31962-2015）表1中B等级标准、海安李堡滇池水务有限公司设计进水标准</w:t>
            </w:r>
          </w:p>
        </w:tc>
      </w:tr>
      <w:tr w14:paraId="3820B7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08" w:hRule="atLeast"/>
          <w:jc w:val="center"/>
        </w:trPr>
        <w:tc>
          <w:tcPr>
            <w:tcW w:w="1396" w:type="dxa"/>
            <w:vMerge w:val="continue"/>
            <w:vAlign w:val="center"/>
          </w:tcPr>
          <w:p w14:paraId="58DA501C">
            <w:pPr>
              <w:adjustRightInd w:val="0"/>
              <w:snapToGrid w:val="0"/>
              <w:jc w:val="center"/>
              <w:rPr>
                <w:szCs w:val="21"/>
              </w:rPr>
            </w:pPr>
          </w:p>
        </w:tc>
        <w:tc>
          <w:tcPr>
            <w:tcW w:w="1417" w:type="dxa"/>
            <w:vAlign w:val="center"/>
          </w:tcPr>
          <w:p w14:paraId="459349FC">
            <w:pPr>
              <w:adjustRightInd w:val="0"/>
              <w:snapToGrid w:val="0"/>
              <w:jc w:val="center"/>
              <w:rPr>
                <w:rFonts w:hint="default" w:eastAsia="宋体"/>
                <w:szCs w:val="21"/>
                <w:lang w:val="en-US" w:eastAsia="zh-CN"/>
              </w:rPr>
            </w:pPr>
            <w:r>
              <w:rPr>
                <w:rFonts w:hint="eastAsia"/>
                <w:szCs w:val="21"/>
                <w:lang w:val="en-US" w:eastAsia="zh-CN"/>
              </w:rPr>
              <w:t>后道清洗废水</w:t>
            </w:r>
          </w:p>
        </w:tc>
        <w:tc>
          <w:tcPr>
            <w:tcW w:w="1689" w:type="dxa"/>
            <w:vAlign w:val="center"/>
          </w:tcPr>
          <w:p w14:paraId="7B405ABD">
            <w:pPr>
              <w:adjustRightInd w:val="0"/>
              <w:snapToGrid w:val="0"/>
              <w:jc w:val="center"/>
              <w:rPr>
                <w:szCs w:val="21"/>
              </w:rPr>
            </w:pPr>
            <w:r>
              <w:rPr>
                <w:szCs w:val="21"/>
              </w:rPr>
              <w:t>COD、SS、氨氮、TP、TN</w:t>
            </w:r>
          </w:p>
        </w:tc>
        <w:tc>
          <w:tcPr>
            <w:tcW w:w="1740" w:type="dxa"/>
            <w:vAlign w:val="center"/>
          </w:tcPr>
          <w:p w14:paraId="33131AF2">
            <w:pPr>
              <w:adjustRightInd w:val="0"/>
              <w:snapToGrid w:val="0"/>
              <w:jc w:val="center"/>
              <w:rPr>
                <w:szCs w:val="21"/>
              </w:rPr>
            </w:pPr>
            <w:r>
              <w:rPr>
                <w:rFonts w:hint="eastAsia"/>
                <w:szCs w:val="21"/>
                <w:lang w:val="en-US" w:eastAsia="zh-CN"/>
              </w:rPr>
              <w:t>酸碱中和+多介质过滤吸附</w:t>
            </w:r>
          </w:p>
        </w:tc>
        <w:tc>
          <w:tcPr>
            <w:tcW w:w="3076" w:type="dxa"/>
            <w:vMerge w:val="continue"/>
            <w:vAlign w:val="center"/>
          </w:tcPr>
          <w:p w14:paraId="2900ED3B">
            <w:pPr>
              <w:adjustRightInd w:val="0"/>
              <w:snapToGrid w:val="0"/>
              <w:jc w:val="center"/>
              <w:rPr>
                <w:rFonts w:hint="eastAsia"/>
                <w:szCs w:val="21"/>
              </w:rPr>
            </w:pPr>
          </w:p>
        </w:tc>
      </w:tr>
      <w:tr w14:paraId="2D67EA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244" w:hRule="atLeast"/>
          <w:jc w:val="center"/>
        </w:trPr>
        <w:tc>
          <w:tcPr>
            <w:tcW w:w="1396" w:type="dxa"/>
            <w:vAlign w:val="center"/>
          </w:tcPr>
          <w:p w14:paraId="417BD571">
            <w:pPr>
              <w:adjustRightInd w:val="0"/>
              <w:snapToGrid w:val="0"/>
              <w:jc w:val="center"/>
              <w:rPr>
                <w:szCs w:val="21"/>
              </w:rPr>
            </w:pPr>
            <w:r>
              <w:rPr>
                <w:szCs w:val="21"/>
              </w:rPr>
              <w:t>声环境</w:t>
            </w:r>
          </w:p>
        </w:tc>
        <w:tc>
          <w:tcPr>
            <w:tcW w:w="1417" w:type="dxa"/>
            <w:vAlign w:val="center"/>
          </w:tcPr>
          <w:p w14:paraId="46B8162F">
            <w:pPr>
              <w:adjustRightInd w:val="0"/>
              <w:snapToGrid w:val="0"/>
              <w:jc w:val="center"/>
              <w:rPr>
                <w:szCs w:val="21"/>
              </w:rPr>
            </w:pPr>
            <w:r>
              <w:rPr>
                <w:bCs/>
                <w:kern w:val="0"/>
                <w:szCs w:val="21"/>
              </w:rPr>
              <w:t>设备噪声</w:t>
            </w:r>
          </w:p>
        </w:tc>
        <w:tc>
          <w:tcPr>
            <w:tcW w:w="1689" w:type="dxa"/>
            <w:vAlign w:val="center"/>
          </w:tcPr>
          <w:p w14:paraId="1F37EEFB">
            <w:pPr>
              <w:adjustRightInd w:val="0"/>
              <w:snapToGrid w:val="0"/>
              <w:jc w:val="center"/>
              <w:rPr>
                <w:szCs w:val="21"/>
              </w:rPr>
            </w:pPr>
            <w:r>
              <w:rPr>
                <w:szCs w:val="21"/>
              </w:rPr>
              <w:t>Leq(A)</w:t>
            </w:r>
          </w:p>
        </w:tc>
        <w:tc>
          <w:tcPr>
            <w:tcW w:w="1740" w:type="dxa"/>
            <w:vAlign w:val="center"/>
          </w:tcPr>
          <w:p w14:paraId="3FD7C7DC">
            <w:pPr>
              <w:adjustRightInd w:val="0"/>
              <w:snapToGrid w:val="0"/>
              <w:jc w:val="center"/>
              <w:rPr>
                <w:szCs w:val="21"/>
              </w:rPr>
            </w:pPr>
            <w:r>
              <w:rPr>
                <w:szCs w:val="21"/>
              </w:rPr>
              <w:t>合理布局、选用低噪声设备、厂房隔声、</w:t>
            </w:r>
            <w:r>
              <w:rPr>
                <w:rFonts w:hint="eastAsia"/>
                <w:szCs w:val="21"/>
              </w:rPr>
              <w:t>消声、</w:t>
            </w:r>
            <w:r>
              <w:rPr>
                <w:szCs w:val="21"/>
              </w:rPr>
              <w:t>加强管理等</w:t>
            </w:r>
          </w:p>
        </w:tc>
        <w:tc>
          <w:tcPr>
            <w:tcW w:w="3076" w:type="dxa"/>
            <w:vAlign w:val="center"/>
          </w:tcPr>
          <w:p w14:paraId="541B10FF">
            <w:pPr>
              <w:adjustRightInd w:val="0"/>
              <w:snapToGrid w:val="0"/>
              <w:jc w:val="center"/>
              <w:rPr>
                <w:szCs w:val="21"/>
              </w:rPr>
            </w:pPr>
            <w:r>
              <w:rPr>
                <w:szCs w:val="21"/>
              </w:rPr>
              <w:t>《工业企业厂界环境噪声排放标准》（GB12348-2008）中</w:t>
            </w:r>
            <w:r>
              <w:rPr>
                <w:rFonts w:hint="eastAsia"/>
                <w:szCs w:val="21"/>
              </w:rPr>
              <w:t>3</w:t>
            </w:r>
            <w:r>
              <w:rPr>
                <w:szCs w:val="21"/>
              </w:rPr>
              <w:t>类标准</w:t>
            </w:r>
          </w:p>
        </w:tc>
      </w:tr>
      <w:tr w14:paraId="0E797D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50" w:hRule="atLeast"/>
          <w:jc w:val="center"/>
        </w:trPr>
        <w:tc>
          <w:tcPr>
            <w:tcW w:w="1396" w:type="dxa"/>
            <w:vAlign w:val="center"/>
          </w:tcPr>
          <w:p w14:paraId="06A82826">
            <w:pPr>
              <w:adjustRightInd w:val="0"/>
              <w:snapToGrid w:val="0"/>
              <w:jc w:val="center"/>
              <w:rPr>
                <w:szCs w:val="21"/>
              </w:rPr>
            </w:pPr>
            <w:r>
              <w:rPr>
                <w:szCs w:val="21"/>
              </w:rPr>
              <w:t>电磁辐射</w:t>
            </w:r>
          </w:p>
        </w:tc>
        <w:tc>
          <w:tcPr>
            <w:tcW w:w="1417" w:type="dxa"/>
            <w:vAlign w:val="center"/>
          </w:tcPr>
          <w:p w14:paraId="7C18F392">
            <w:pPr>
              <w:adjustRightInd w:val="0"/>
              <w:snapToGrid w:val="0"/>
              <w:jc w:val="center"/>
              <w:rPr>
                <w:szCs w:val="21"/>
              </w:rPr>
            </w:pPr>
            <w:r>
              <w:rPr>
                <w:szCs w:val="21"/>
              </w:rPr>
              <w:t>/</w:t>
            </w:r>
          </w:p>
        </w:tc>
        <w:tc>
          <w:tcPr>
            <w:tcW w:w="1689" w:type="dxa"/>
            <w:vAlign w:val="center"/>
          </w:tcPr>
          <w:p w14:paraId="644529F6">
            <w:pPr>
              <w:adjustRightInd w:val="0"/>
              <w:snapToGrid w:val="0"/>
              <w:jc w:val="center"/>
              <w:rPr>
                <w:szCs w:val="21"/>
              </w:rPr>
            </w:pPr>
            <w:r>
              <w:rPr>
                <w:szCs w:val="21"/>
              </w:rPr>
              <w:t>/</w:t>
            </w:r>
          </w:p>
        </w:tc>
        <w:tc>
          <w:tcPr>
            <w:tcW w:w="1740" w:type="dxa"/>
            <w:vAlign w:val="center"/>
          </w:tcPr>
          <w:p w14:paraId="4C67C15F">
            <w:pPr>
              <w:adjustRightInd w:val="0"/>
              <w:snapToGrid w:val="0"/>
              <w:jc w:val="center"/>
              <w:rPr>
                <w:szCs w:val="21"/>
              </w:rPr>
            </w:pPr>
            <w:r>
              <w:rPr>
                <w:szCs w:val="21"/>
              </w:rPr>
              <w:t>/</w:t>
            </w:r>
          </w:p>
        </w:tc>
        <w:tc>
          <w:tcPr>
            <w:tcW w:w="3076" w:type="dxa"/>
            <w:vAlign w:val="center"/>
          </w:tcPr>
          <w:p w14:paraId="43722EC8">
            <w:pPr>
              <w:adjustRightInd w:val="0"/>
              <w:snapToGrid w:val="0"/>
              <w:jc w:val="center"/>
              <w:rPr>
                <w:szCs w:val="21"/>
              </w:rPr>
            </w:pPr>
            <w:r>
              <w:rPr>
                <w:szCs w:val="21"/>
              </w:rPr>
              <w:t>/</w:t>
            </w:r>
          </w:p>
        </w:tc>
      </w:tr>
      <w:tr w14:paraId="2C99A6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845" w:hRule="atLeast"/>
          <w:jc w:val="center"/>
        </w:trPr>
        <w:tc>
          <w:tcPr>
            <w:tcW w:w="1396" w:type="dxa"/>
            <w:vAlign w:val="center"/>
          </w:tcPr>
          <w:p w14:paraId="65C71535">
            <w:pPr>
              <w:adjustRightInd w:val="0"/>
              <w:snapToGrid w:val="0"/>
              <w:jc w:val="center"/>
              <w:rPr>
                <w:szCs w:val="21"/>
              </w:rPr>
            </w:pPr>
            <w:r>
              <w:rPr>
                <w:szCs w:val="21"/>
              </w:rPr>
              <w:t>固体废物</w:t>
            </w:r>
          </w:p>
        </w:tc>
        <w:tc>
          <w:tcPr>
            <w:tcW w:w="7922" w:type="dxa"/>
            <w:gridSpan w:val="4"/>
            <w:vAlign w:val="center"/>
          </w:tcPr>
          <w:p w14:paraId="21856FFE">
            <w:pPr>
              <w:adjustRightInd w:val="0"/>
              <w:snapToGrid w:val="0"/>
              <w:spacing w:line="276" w:lineRule="auto"/>
              <w:ind w:firstLine="420" w:firstLineChars="200"/>
              <w:rPr>
                <w:szCs w:val="21"/>
              </w:rPr>
            </w:pPr>
            <w:r>
              <w:rPr>
                <w:szCs w:val="21"/>
              </w:rPr>
              <w:t>1.设置一座危废仓库</w:t>
            </w:r>
            <w:r>
              <w:rPr>
                <w:rFonts w:hint="eastAsia"/>
                <w:szCs w:val="21"/>
                <w:lang w:val="en-US" w:eastAsia="zh-CN"/>
              </w:rPr>
              <w:t>9</w:t>
            </w:r>
            <w:r>
              <w:rPr>
                <w:szCs w:val="21"/>
              </w:rPr>
              <w:t>m</w:t>
            </w:r>
            <w:r>
              <w:rPr>
                <w:szCs w:val="21"/>
                <w:vertAlign w:val="superscript"/>
              </w:rPr>
              <w:t>2</w:t>
            </w:r>
            <w:r>
              <w:rPr>
                <w:szCs w:val="21"/>
              </w:rPr>
              <w:t>,危险废物贮存按照《危险废物贮存污染控制标准》（GB18597-2023）要求、《危险废物收集</w:t>
            </w:r>
            <w:r>
              <w:rPr>
                <w:rFonts w:hint="eastAsia"/>
                <w:szCs w:val="21"/>
              </w:rPr>
              <w:t xml:space="preserve"> 贮存 </w:t>
            </w:r>
            <w:r>
              <w:rPr>
                <w:szCs w:val="21"/>
              </w:rPr>
              <w:t>运输技术规范》（HJ2025-2012）相关规定要求进行危险废物的贮存；</w:t>
            </w:r>
          </w:p>
          <w:p w14:paraId="17261FAB">
            <w:pPr>
              <w:adjustRightInd w:val="0"/>
              <w:snapToGrid w:val="0"/>
              <w:spacing w:line="276" w:lineRule="auto"/>
              <w:ind w:firstLine="420" w:firstLineChars="200"/>
              <w:rPr>
                <w:szCs w:val="21"/>
              </w:rPr>
            </w:pPr>
            <w:r>
              <w:rPr>
                <w:szCs w:val="21"/>
              </w:rPr>
              <w:t>2.建设项目产生的生活垃圾委托环卫部门清运处理；</w:t>
            </w:r>
            <w:r>
              <w:rPr>
                <w:rFonts w:hint="eastAsia"/>
                <w:szCs w:val="21"/>
              </w:rPr>
              <w:t>废试剂包装、</w:t>
            </w:r>
            <w:r>
              <w:rPr>
                <w:rFonts w:hint="eastAsia"/>
                <w:szCs w:val="21"/>
                <w:lang w:eastAsia="zh-CN"/>
              </w:rPr>
              <w:t>实验废液、</w:t>
            </w:r>
            <w:r>
              <w:rPr>
                <w:rFonts w:hint="eastAsia"/>
                <w:szCs w:val="21"/>
                <w:lang w:val="en-US" w:eastAsia="zh-CN"/>
              </w:rPr>
              <w:t>初道</w:t>
            </w:r>
            <w:r>
              <w:rPr>
                <w:rFonts w:hint="eastAsia"/>
                <w:szCs w:val="21"/>
                <w:lang w:eastAsia="zh-CN"/>
              </w:rPr>
              <w:t>清洗废水、喷淋废液</w:t>
            </w:r>
            <w:r>
              <w:rPr>
                <w:rFonts w:hint="eastAsia"/>
                <w:szCs w:val="21"/>
              </w:rPr>
              <w:t>、废活性炭、废实验耗材等</w:t>
            </w:r>
            <w:r>
              <w:rPr>
                <w:szCs w:val="21"/>
              </w:rPr>
              <w:t>危险废物交由有资质单位</w:t>
            </w:r>
            <w:r>
              <w:rPr>
                <w:rFonts w:hint="eastAsia"/>
                <w:szCs w:val="21"/>
              </w:rPr>
              <w:t>处置</w:t>
            </w:r>
            <w:r>
              <w:rPr>
                <w:szCs w:val="21"/>
              </w:rPr>
              <w:t>。</w:t>
            </w:r>
          </w:p>
        </w:tc>
      </w:tr>
      <w:tr w14:paraId="225D1E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276" w:hRule="atLeast"/>
          <w:jc w:val="center"/>
        </w:trPr>
        <w:tc>
          <w:tcPr>
            <w:tcW w:w="1396" w:type="dxa"/>
            <w:vAlign w:val="center"/>
          </w:tcPr>
          <w:p w14:paraId="1D83629D">
            <w:pPr>
              <w:adjustRightInd w:val="0"/>
              <w:snapToGrid w:val="0"/>
              <w:jc w:val="center"/>
              <w:rPr>
                <w:szCs w:val="21"/>
              </w:rPr>
            </w:pPr>
            <w:r>
              <w:rPr>
                <w:szCs w:val="21"/>
              </w:rPr>
              <w:t>土壤及地下水</w:t>
            </w:r>
          </w:p>
          <w:p w14:paraId="546AF57A">
            <w:pPr>
              <w:adjustRightInd w:val="0"/>
              <w:snapToGrid w:val="0"/>
              <w:jc w:val="center"/>
              <w:rPr>
                <w:szCs w:val="21"/>
              </w:rPr>
            </w:pPr>
            <w:r>
              <w:rPr>
                <w:szCs w:val="21"/>
              </w:rPr>
              <w:t>污染防治措施</w:t>
            </w:r>
          </w:p>
        </w:tc>
        <w:tc>
          <w:tcPr>
            <w:tcW w:w="7922" w:type="dxa"/>
            <w:gridSpan w:val="4"/>
            <w:vAlign w:val="center"/>
          </w:tcPr>
          <w:p w14:paraId="26583E5C">
            <w:pPr>
              <w:adjustRightInd w:val="0"/>
              <w:snapToGrid w:val="0"/>
              <w:spacing w:line="276" w:lineRule="auto"/>
              <w:ind w:firstLine="420" w:firstLineChars="200"/>
              <w:rPr>
                <w:szCs w:val="21"/>
              </w:rPr>
            </w:pPr>
            <w:r>
              <w:rPr>
                <w:szCs w:val="21"/>
              </w:rPr>
              <w:t>本项目厂区应划分为</w:t>
            </w:r>
            <w:r>
              <w:rPr>
                <w:rFonts w:hint="eastAsia"/>
                <w:szCs w:val="21"/>
              </w:rPr>
              <w:t>简单</w:t>
            </w:r>
            <w:r>
              <w:rPr>
                <w:szCs w:val="21"/>
              </w:rPr>
              <w:t>防渗区和一般防渗区，不同的污染物区，采取不同等级的防渗措施，并确保其可靠性和有效性。</w:t>
            </w:r>
          </w:p>
        </w:tc>
      </w:tr>
      <w:tr w14:paraId="1C1FE5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141" w:hRule="atLeast"/>
          <w:jc w:val="center"/>
        </w:trPr>
        <w:tc>
          <w:tcPr>
            <w:tcW w:w="1396" w:type="dxa"/>
            <w:vAlign w:val="center"/>
          </w:tcPr>
          <w:p w14:paraId="696C9360">
            <w:pPr>
              <w:adjustRightInd w:val="0"/>
              <w:snapToGrid w:val="0"/>
              <w:jc w:val="center"/>
              <w:rPr>
                <w:szCs w:val="21"/>
              </w:rPr>
            </w:pPr>
            <w:r>
              <w:rPr>
                <w:szCs w:val="21"/>
              </w:rPr>
              <w:t>生态保护措施</w:t>
            </w:r>
          </w:p>
        </w:tc>
        <w:tc>
          <w:tcPr>
            <w:tcW w:w="7922" w:type="dxa"/>
            <w:gridSpan w:val="4"/>
            <w:vAlign w:val="center"/>
          </w:tcPr>
          <w:p w14:paraId="055EAD02">
            <w:pPr>
              <w:adjustRightInd w:val="0"/>
              <w:snapToGrid w:val="0"/>
              <w:jc w:val="center"/>
              <w:rPr>
                <w:szCs w:val="21"/>
              </w:rPr>
            </w:pPr>
            <w:r>
              <w:rPr>
                <w:spacing w:val="8"/>
                <w:szCs w:val="21"/>
                <w:shd w:val="clear" w:color="auto" w:fill="FFFFFF"/>
              </w:rPr>
              <w:t>/</w:t>
            </w:r>
          </w:p>
        </w:tc>
      </w:tr>
      <w:tr w14:paraId="739740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478" w:hRule="atLeast"/>
          <w:jc w:val="center"/>
        </w:trPr>
        <w:tc>
          <w:tcPr>
            <w:tcW w:w="1396" w:type="dxa"/>
            <w:vAlign w:val="center"/>
          </w:tcPr>
          <w:p w14:paraId="0EA57D01">
            <w:pPr>
              <w:adjustRightInd w:val="0"/>
              <w:snapToGrid w:val="0"/>
              <w:jc w:val="center"/>
              <w:rPr>
                <w:spacing w:val="-8"/>
                <w:szCs w:val="21"/>
              </w:rPr>
            </w:pPr>
            <w:r>
              <w:rPr>
                <w:spacing w:val="-8"/>
                <w:szCs w:val="21"/>
              </w:rPr>
              <w:t>环境风险</w:t>
            </w:r>
          </w:p>
          <w:p w14:paraId="7DB93F50">
            <w:pPr>
              <w:adjustRightInd w:val="0"/>
              <w:snapToGrid w:val="0"/>
              <w:jc w:val="center"/>
              <w:rPr>
                <w:spacing w:val="-8"/>
                <w:szCs w:val="21"/>
              </w:rPr>
            </w:pPr>
            <w:r>
              <w:rPr>
                <w:spacing w:val="-8"/>
                <w:szCs w:val="21"/>
              </w:rPr>
              <w:t>防范措施</w:t>
            </w:r>
          </w:p>
        </w:tc>
        <w:tc>
          <w:tcPr>
            <w:tcW w:w="7922" w:type="dxa"/>
            <w:gridSpan w:val="4"/>
            <w:vAlign w:val="center"/>
          </w:tcPr>
          <w:p w14:paraId="46BEE9DB">
            <w:pPr>
              <w:adjustRightInd w:val="0"/>
              <w:snapToGrid w:val="0"/>
              <w:spacing w:line="276" w:lineRule="auto"/>
              <w:ind w:firstLine="420" w:firstLineChars="200"/>
              <w:rPr>
                <w:szCs w:val="21"/>
              </w:rPr>
            </w:pPr>
            <w:r>
              <w:rPr>
                <w:rFonts w:hint="eastAsia"/>
                <w:szCs w:val="21"/>
              </w:rPr>
              <w:t>①建立健全各种有关消防与安全生产的规章制度，建立岗位责任制。试剂室、实验室严禁明火。实验室、公用工程、仓库等场所配置足量的泡沫、干粉等灭火器，并保持完好状态。</w:t>
            </w:r>
          </w:p>
          <w:p w14:paraId="251E51E6">
            <w:pPr>
              <w:adjustRightInd w:val="0"/>
              <w:snapToGrid w:val="0"/>
              <w:spacing w:line="276" w:lineRule="auto"/>
              <w:ind w:firstLine="420" w:firstLineChars="200"/>
              <w:rPr>
                <w:szCs w:val="21"/>
              </w:rPr>
            </w:pPr>
            <w:r>
              <w:rPr>
                <w:rFonts w:hint="eastAsia"/>
                <w:szCs w:val="21"/>
              </w:rPr>
              <w:t>②厂区留有足够的消防通道。生产车间、仓库设置消防给水管道和消防栓。厂部要组织义务消防员，并进行定期的培训和训练。对有火灾危险的场所设置自动报警系统，一旦发生火灾，立即做出应急反应。</w:t>
            </w:r>
          </w:p>
          <w:p w14:paraId="1738A825">
            <w:pPr>
              <w:adjustRightInd w:val="0"/>
              <w:snapToGrid w:val="0"/>
              <w:spacing w:line="276" w:lineRule="auto"/>
              <w:ind w:firstLine="420" w:firstLineChars="200"/>
              <w:rPr>
                <w:szCs w:val="21"/>
              </w:rPr>
            </w:pPr>
            <w:r>
              <w:rPr>
                <w:rFonts w:hint="eastAsia"/>
                <w:szCs w:val="21"/>
              </w:rPr>
              <w:t>③对于危废仓库，建设单位拟设置监控系统，主要在仓库出入口、仓库内、厂门口等关键位置安装视频监控设施，进行实时监控，并与中控室联网。厂区门口拟设置危废信息公开栏，危废仓库外墙及各类危废贮存处墙面设置贮存设施警示标志牌。贮存过程建设单位拟在危险废物贮存容器下方设置不锈钢托盘，或在危废暂存场所设置地沟等，发生少量泄漏立即将容器内剩余溶液转移，并收集托盘、地沟内泄漏液体，防止泄漏物料挥发到大气中。</w:t>
            </w:r>
          </w:p>
        </w:tc>
      </w:tr>
      <w:tr w14:paraId="14D584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436" w:hRule="atLeast"/>
          <w:jc w:val="center"/>
        </w:trPr>
        <w:tc>
          <w:tcPr>
            <w:tcW w:w="1396" w:type="dxa"/>
            <w:vAlign w:val="center"/>
          </w:tcPr>
          <w:p w14:paraId="0C9CC1A7">
            <w:pPr>
              <w:adjustRightInd w:val="0"/>
              <w:snapToGrid w:val="0"/>
              <w:jc w:val="center"/>
              <w:rPr>
                <w:spacing w:val="-8"/>
                <w:szCs w:val="21"/>
              </w:rPr>
            </w:pPr>
            <w:r>
              <w:rPr>
                <w:spacing w:val="-8"/>
                <w:szCs w:val="21"/>
              </w:rPr>
              <w:t>其他环境</w:t>
            </w:r>
          </w:p>
          <w:p w14:paraId="74BDCF59">
            <w:pPr>
              <w:adjustRightInd w:val="0"/>
              <w:snapToGrid w:val="0"/>
              <w:jc w:val="center"/>
              <w:rPr>
                <w:spacing w:val="-8"/>
                <w:szCs w:val="21"/>
              </w:rPr>
            </w:pPr>
            <w:r>
              <w:rPr>
                <w:spacing w:val="-8"/>
                <w:szCs w:val="21"/>
              </w:rPr>
              <w:t>管理要求</w:t>
            </w:r>
          </w:p>
        </w:tc>
        <w:tc>
          <w:tcPr>
            <w:tcW w:w="7922" w:type="dxa"/>
            <w:gridSpan w:val="4"/>
            <w:vAlign w:val="center"/>
          </w:tcPr>
          <w:p w14:paraId="30C88590">
            <w:pPr>
              <w:pStyle w:val="8"/>
              <w:adjustRightInd w:val="0"/>
              <w:spacing w:before="0" w:after="0" w:line="276" w:lineRule="auto"/>
              <w:ind w:right="0" w:firstLine="420" w:firstLineChars="200"/>
              <w:rPr>
                <w:sz w:val="21"/>
                <w:szCs w:val="21"/>
              </w:rPr>
            </w:pPr>
            <w:r>
              <w:rPr>
                <w:rFonts w:hint="eastAsia" w:ascii="宋体" w:hAnsi="宋体" w:cs="宋体"/>
                <w:sz w:val="21"/>
                <w:szCs w:val="21"/>
              </w:rPr>
              <w:t>①</w:t>
            </w:r>
            <w:r>
              <w:rPr>
                <w:sz w:val="21"/>
                <w:szCs w:val="21"/>
              </w:rPr>
              <w:t>项目的建设应切实履行配套的环境保护设施与主体工程同时设计、同时施工、同时投产使用的“三同时”制度。</w:t>
            </w:r>
          </w:p>
          <w:p w14:paraId="17B8C573">
            <w:pPr>
              <w:adjustRightInd w:val="0"/>
              <w:snapToGrid w:val="0"/>
              <w:spacing w:line="276" w:lineRule="auto"/>
              <w:ind w:firstLine="420" w:firstLineChars="200"/>
              <w:rPr>
                <w:szCs w:val="21"/>
                <w:lang w:eastAsia="ja-JP"/>
              </w:rPr>
            </w:pPr>
            <w:r>
              <w:rPr>
                <w:rFonts w:hint="eastAsia" w:ascii="宋体" w:hAnsi="宋体" w:cs="宋体"/>
                <w:szCs w:val="21"/>
                <w:lang w:eastAsia="ja-JP"/>
              </w:rPr>
              <w:t>②</w:t>
            </w:r>
            <w:r>
              <w:rPr>
                <w:szCs w:val="21"/>
              </w:rPr>
              <w:t>项目雨水排放口前段设置明渠（排放井），便于日常检查，采样检测，排放口安装截止阀。</w:t>
            </w:r>
          </w:p>
          <w:p w14:paraId="267B81FA">
            <w:pPr>
              <w:adjustRightInd w:val="0"/>
              <w:snapToGrid w:val="0"/>
              <w:spacing w:line="276" w:lineRule="auto"/>
              <w:ind w:firstLine="420" w:firstLineChars="200"/>
              <w:rPr>
                <w:szCs w:val="21"/>
              </w:rPr>
            </w:pPr>
            <w:r>
              <w:rPr>
                <w:szCs w:val="21"/>
              </w:rPr>
              <w:fldChar w:fldCharType="begin"/>
            </w:r>
            <w:r>
              <w:rPr>
                <w:szCs w:val="21"/>
              </w:rPr>
              <w:instrText xml:space="preserve"> </w:instrText>
            </w:r>
            <w:r>
              <w:rPr>
                <w:rFonts w:hint="eastAsia"/>
                <w:szCs w:val="21"/>
              </w:rPr>
              <w:instrText xml:space="preserve">= 3 \* GB3</w:instrText>
            </w:r>
            <w:r>
              <w:rPr>
                <w:szCs w:val="21"/>
              </w:rPr>
              <w:instrText xml:space="preserve"> </w:instrText>
            </w:r>
            <w:r>
              <w:rPr>
                <w:szCs w:val="21"/>
              </w:rPr>
              <w:fldChar w:fldCharType="separate"/>
            </w:r>
            <w:r>
              <w:rPr>
                <w:rFonts w:hint="eastAsia"/>
                <w:szCs w:val="21"/>
              </w:rPr>
              <w:t>③</w:t>
            </w:r>
            <w:r>
              <w:rPr>
                <w:szCs w:val="21"/>
              </w:rPr>
              <w:fldChar w:fldCharType="end"/>
            </w:r>
            <w:r>
              <w:rPr>
                <w:szCs w:val="21"/>
              </w:rPr>
              <w:t>应按有关法规的要求，严格执行排污许可制度。</w:t>
            </w:r>
            <w:r>
              <w:rPr>
                <w:rFonts w:hint="eastAsia"/>
                <w:spacing w:val="8"/>
                <w:kern w:val="0"/>
                <w:szCs w:val="21"/>
              </w:rPr>
              <w:t>本项目不在</w:t>
            </w:r>
            <w:r>
              <w:rPr>
                <w:rFonts w:hint="eastAsia"/>
                <w:szCs w:val="21"/>
              </w:rPr>
              <w:t>《固定污染源排污许可分类管理名录》范围内，不纳入排污许可管理</w:t>
            </w:r>
            <w:r>
              <w:rPr>
                <w:kern w:val="0"/>
                <w:szCs w:val="21"/>
              </w:rPr>
              <w:t>。</w:t>
            </w:r>
          </w:p>
          <w:p w14:paraId="6B362C4F">
            <w:pPr>
              <w:pStyle w:val="8"/>
              <w:adjustRightInd w:val="0"/>
              <w:spacing w:before="0" w:after="0" w:line="276" w:lineRule="auto"/>
              <w:ind w:right="0" w:firstLine="420" w:firstLineChars="200"/>
              <w:rPr>
                <w:sz w:val="21"/>
                <w:szCs w:val="21"/>
              </w:rPr>
            </w:pPr>
            <w:r>
              <w:rPr>
                <w:rFonts w:hint="eastAsia" w:ascii="宋体" w:hAnsi="宋体" w:cs="宋体"/>
                <w:sz w:val="21"/>
                <w:szCs w:val="21"/>
              </w:rPr>
              <w:t>④</w:t>
            </w:r>
            <w:r>
              <w:rPr>
                <w:sz w:val="21"/>
                <w:szCs w:val="21"/>
              </w:rPr>
              <w:t>本项目配套建设的环境保护设施必须与主体工程同时建成和投产使用，并按规定程序实施竣工环境保护验收，验收合格方可投入生产。</w:t>
            </w:r>
          </w:p>
          <w:p w14:paraId="184EC066">
            <w:pPr>
              <w:pStyle w:val="8"/>
              <w:adjustRightInd w:val="0"/>
              <w:spacing w:before="0" w:after="0" w:line="276" w:lineRule="auto"/>
              <w:ind w:right="0" w:firstLine="420" w:firstLineChars="200"/>
              <w:rPr>
                <w:sz w:val="21"/>
                <w:szCs w:val="21"/>
              </w:rPr>
            </w:pPr>
            <w:r>
              <w:rPr>
                <w:rFonts w:hint="eastAsia" w:ascii="宋体" w:hAnsi="宋体" w:cs="宋体"/>
                <w:sz w:val="21"/>
                <w:szCs w:val="21"/>
              </w:rPr>
              <w:t>⑤</w:t>
            </w:r>
            <w:r>
              <w:rPr>
                <w:sz w:val="21"/>
                <w:szCs w:val="21"/>
              </w:rPr>
              <w:t>项目的性质、规模、地点、采用的生产工艺或者防治污染、防止生态破坏的措施发生重大变动的应当重新报批环境影响报告表。自环评批复之日起超过5年，方决定项目开工建设的，其环境影响报告表应重新报批审核。</w:t>
            </w:r>
          </w:p>
          <w:p w14:paraId="2037B989">
            <w:pPr>
              <w:adjustRightInd w:val="0"/>
              <w:snapToGrid w:val="0"/>
              <w:spacing w:line="276" w:lineRule="auto"/>
              <w:ind w:firstLine="420" w:firstLineChars="200"/>
              <w:rPr>
                <w:szCs w:val="21"/>
              </w:rPr>
            </w:pPr>
            <w:r>
              <w:rPr>
                <w:rFonts w:hint="eastAsia" w:ascii="宋体" w:hAnsi="宋体" w:cs="宋体"/>
                <w:szCs w:val="21"/>
              </w:rPr>
              <w:t>⑥</w:t>
            </w:r>
            <w:r>
              <w:rPr>
                <w:szCs w:val="21"/>
              </w:rPr>
              <w:t>建设单位应根据《关于做好生态环境和应急管理部门联动工作的意见》（苏环办〔2020〕101号），开展环保设施安全风险辨识，健全内部污染防治设施稳定运行和管理责任制度，严格依据标准规范建设环境治理设施，确保环境治理设施安全、稳定、有效运行。</w:t>
            </w:r>
          </w:p>
        </w:tc>
      </w:tr>
    </w:tbl>
    <w:p w14:paraId="5E3F7007">
      <w:pPr>
        <w:pStyle w:val="18"/>
        <w:spacing w:before="0" w:beforeAutospacing="0" w:after="240" w:afterAutospacing="0"/>
        <w:jc w:val="center"/>
        <w:outlineLvl w:val="0"/>
        <w:rPr>
          <w:rFonts w:ascii="Times New Roman" w:hAnsi="Times New Roman" w:eastAsia="黑体"/>
          <w:snapToGrid w:val="0"/>
          <w:sz w:val="30"/>
          <w:szCs w:val="30"/>
        </w:rPr>
      </w:pPr>
      <w:bookmarkStart w:id="22" w:name="PageNo100820081"/>
      <w:r>
        <w:rPr>
          <w:rFonts w:ascii="Times New Roman" w:hAnsi="Times New Roman"/>
          <w:snapToGrid w:val="0"/>
        </w:rPr>
        <w:br w:type="page"/>
      </w:r>
      <w:bookmarkEnd w:id="22"/>
      <w:bookmarkStart w:id="23" w:name="PageNo100830082"/>
      <w:r>
        <w:rPr>
          <w:rFonts w:ascii="Times New Roman" w:hAnsi="Times New Roman" w:eastAsia="黑体"/>
          <w:snapToGrid w:val="0"/>
          <w:sz w:val="30"/>
          <w:szCs w:val="30"/>
        </w:rPr>
        <w:t>六</w:t>
      </w:r>
      <w:bookmarkEnd w:id="23"/>
      <w:r>
        <w:rPr>
          <w:rFonts w:ascii="Times New Roman" w:hAnsi="Times New Roman" w:eastAsia="黑体"/>
          <w:snapToGrid w:val="0"/>
          <w:sz w:val="30"/>
          <w:szCs w:val="30"/>
        </w:rPr>
        <w:t>、结论</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68E4A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42B9A225">
            <w:pPr>
              <w:widowControl/>
              <w:shd w:val="clear" w:color="auto" w:fill="FFFFFF"/>
              <w:spacing w:before="120" w:beforeLines="50" w:line="360" w:lineRule="auto"/>
              <w:ind w:firstLine="420" w:firstLineChars="200"/>
              <w:rPr>
                <w:spacing w:val="8"/>
                <w:kern w:val="0"/>
                <w:szCs w:val="21"/>
              </w:rPr>
            </w:pPr>
            <w:r>
              <w:rPr>
                <w:szCs w:val="21"/>
              </w:rPr>
              <w:t>本项目符合国家及地方产业政策，地址选择符合用地规划要求；项目生产过程中产生的污染在采取有效的治理措施之后，对周围环境影响较小，不会改变当地环境质量现状；同时本项目对周边环境产生的影响较小，</w:t>
            </w:r>
            <w:r>
              <w:rPr>
                <w:rFonts w:hint="eastAsia"/>
                <w:szCs w:val="21"/>
              </w:rPr>
              <w:t>突发环境</w:t>
            </w:r>
            <w:r>
              <w:rPr>
                <w:szCs w:val="21"/>
              </w:rPr>
              <w:t>事故风险</w:t>
            </w:r>
            <w:r>
              <w:rPr>
                <w:rFonts w:hint="eastAsia"/>
                <w:szCs w:val="21"/>
              </w:rPr>
              <w:t>可控</w:t>
            </w:r>
            <w:r>
              <w:rPr>
                <w:szCs w:val="21"/>
              </w:rPr>
              <w:t>。因此，从环保的角度出发，该项目在坚持“三同时”原则并按照本报告中提出的各项环保措施治理后环境影响是可行的。</w:t>
            </w:r>
          </w:p>
        </w:tc>
      </w:tr>
    </w:tbl>
    <w:p w14:paraId="7BDEEAA6">
      <w:p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1DCEB5A">
      <w:pPr>
        <w:pStyle w:val="18"/>
        <w:adjustRightInd w:val="0"/>
        <w:snapToGrid w:val="0"/>
        <w:spacing w:before="0" w:beforeAutospacing="0" w:after="0" w:afterAutospacing="0" w:line="360" w:lineRule="auto"/>
        <w:outlineLvl w:val="0"/>
        <w:rPr>
          <w:rFonts w:ascii="Times New Roman" w:hAnsi="Times New Roman" w:eastAsia="黑体"/>
          <w:snapToGrid w:val="0"/>
          <w:sz w:val="32"/>
          <w:szCs w:val="32"/>
        </w:rPr>
      </w:pPr>
      <w:bookmarkStart w:id="24" w:name="PageNo100840083"/>
      <w:r>
        <w:rPr>
          <w:rFonts w:ascii="Times New Roman" w:hAnsi="Times New Roman" w:eastAsia="黑体"/>
          <w:snapToGrid w:val="0"/>
          <w:sz w:val="32"/>
          <w:szCs w:val="32"/>
        </w:rPr>
        <w:t>附</w:t>
      </w:r>
      <w:bookmarkEnd w:id="24"/>
      <w:r>
        <w:rPr>
          <w:rFonts w:ascii="Times New Roman" w:hAnsi="Times New Roman" w:eastAsia="黑体"/>
          <w:snapToGrid w:val="0"/>
          <w:sz w:val="32"/>
          <w:szCs w:val="32"/>
        </w:rPr>
        <w:t>表</w:t>
      </w:r>
    </w:p>
    <w:p w14:paraId="033D97B8">
      <w:pPr>
        <w:pStyle w:val="18"/>
        <w:adjustRightInd w:val="0"/>
        <w:snapToGrid w:val="0"/>
        <w:spacing w:before="0" w:beforeAutospacing="0" w:after="0" w:afterAutospacing="0"/>
        <w:jc w:val="center"/>
        <w:rPr>
          <w:rFonts w:ascii="Times New Roman" w:hAnsi="Times New Roman" w:eastAsia="方正小标宋_GBK"/>
          <w:snapToGrid w:val="0"/>
          <w:sz w:val="32"/>
          <w:szCs w:val="32"/>
        </w:rPr>
      </w:pPr>
      <w:r>
        <w:rPr>
          <w:rFonts w:ascii="Times New Roman" w:hAnsi="Times New Roman" w:eastAsia="方正小标宋_GBK"/>
          <w:snapToGrid w:val="0"/>
          <w:sz w:val="32"/>
          <w:szCs w:val="32"/>
        </w:rPr>
        <w:t>建设项目污染物排放量汇总表</w:t>
      </w:r>
    </w:p>
    <w:tbl>
      <w:tblPr>
        <w:tblStyle w:val="23"/>
        <w:tblW w:w="5076"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54"/>
        <w:gridCol w:w="2322"/>
        <w:gridCol w:w="1457"/>
        <w:gridCol w:w="1308"/>
        <w:gridCol w:w="1602"/>
        <w:gridCol w:w="1602"/>
        <w:gridCol w:w="1605"/>
        <w:gridCol w:w="1748"/>
        <w:gridCol w:w="1574"/>
      </w:tblGrid>
      <w:tr w14:paraId="57E2CC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369" w:type="pct"/>
            <w:tcBorders>
              <w:tl2br w:val="single" w:color="auto" w:sz="4" w:space="0"/>
            </w:tcBorders>
            <w:tcMar>
              <w:left w:w="28" w:type="dxa"/>
              <w:right w:w="28" w:type="dxa"/>
            </w:tcMar>
            <w:vAlign w:val="center"/>
          </w:tcPr>
          <w:p w14:paraId="6CF20DE9">
            <w:pPr>
              <w:pStyle w:val="55"/>
              <w:spacing w:beforeLines="0" w:afterLines="0" w:line="240" w:lineRule="auto"/>
              <w:jc w:val="right"/>
              <w:rPr>
                <w:rFonts w:ascii="Times New Roman"/>
                <w:snapToGrid w:val="0"/>
                <w:spacing w:val="-6"/>
                <w:kern w:val="21"/>
                <w:sz w:val="18"/>
                <w:szCs w:val="18"/>
              </w:rPr>
            </w:pPr>
            <w:r>
              <w:rPr>
                <w:rFonts w:ascii="Times New Roman"/>
                <w:snapToGrid w:val="0"/>
                <w:spacing w:val="-6"/>
                <w:kern w:val="21"/>
                <w:sz w:val="18"/>
                <w:szCs w:val="18"/>
              </w:rPr>
              <w:t>项目</w:t>
            </w:r>
          </w:p>
          <w:p w14:paraId="1D0C99F6">
            <w:pPr>
              <w:pStyle w:val="55"/>
              <w:spacing w:beforeLines="0" w:afterLines="0" w:line="240" w:lineRule="auto"/>
              <w:jc w:val="left"/>
              <w:rPr>
                <w:rFonts w:ascii="Times New Roman"/>
                <w:snapToGrid w:val="0"/>
                <w:spacing w:val="-6"/>
                <w:kern w:val="21"/>
                <w:sz w:val="18"/>
                <w:szCs w:val="18"/>
              </w:rPr>
            </w:pPr>
            <w:r>
              <w:rPr>
                <w:rFonts w:ascii="Times New Roman"/>
                <w:snapToGrid w:val="0"/>
                <w:spacing w:val="-6"/>
                <w:kern w:val="21"/>
                <w:sz w:val="18"/>
                <w:szCs w:val="18"/>
              </w:rPr>
              <w:t>分类</w:t>
            </w:r>
          </w:p>
        </w:tc>
        <w:tc>
          <w:tcPr>
            <w:tcW w:w="813" w:type="pct"/>
            <w:tcMar>
              <w:left w:w="28" w:type="dxa"/>
              <w:right w:w="28" w:type="dxa"/>
            </w:tcMar>
            <w:vAlign w:val="center"/>
          </w:tcPr>
          <w:p w14:paraId="077B3595">
            <w:pPr>
              <w:pStyle w:val="55"/>
              <w:spacing w:beforeLines="0" w:afterLines="0" w:line="240" w:lineRule="auto"/>
              <w:rPr>
                <w:rFonts w:ascii="Times New Roman"/>
                <w:snapToGrid w:val="0"/>
                <w:spacing w:val="-6"/>
                <w:kern w:val="21"/>
                <w:sz w:val="18"/>
                <w:szCs w:val="18"/>
              </w:rPr>
            </w:pPr>
            <w:r>
              <w:rPr>
                <w:rFonts w:ascii="Times New Roman"/>
                <w:snapToGrid w:val="0"/>
                <w:spacing w:val="-6"/>
                <w:kern w:val="21"/>
                <w:sz w:val="18"/>
                <w:szCs w:val="18"/>
              </w:rPr>
              <w:t>污染物名称</w:t>
            </w:r>
          </w:p>
        </w:tc>
        <w:tc>
          <w:tcPr>
            <w:tcW w:w="510" w:type="pct"/>
            <w:tcMar>
              <w:left w:w="28" w:type="dxa"/>
              <w:right w:w="28" w:type="dxa"/>
            </w:tcMar>
            <w:vAlign w:val="center"/>
          </w:tcPr>
          <w:p w14:paraId="1CC345FC">
            <w:pPr>
              <w:pStyle w:val="55"/>
              <w:spacing w:beforeLines="0" w:afterLines="0" w:line="240" w:lineRule="auto"/>
              <w:rPr>
                <w:rFonts w:ascii="Times New Roman"/>
                <w:snapToGrid w:val="0"/>
                <w:spacing w:val="-6"/>
                <w:kern w:val="21"/>
                <w:sz w:val="18"/>
                <w:szCs w:val="18"/>
              </w:rPr>
            </w:pPr>
            <w:r>
              <w:rPr>
                <w:rFonts w:ascii="Times New Roman"/>
                <w:snapToGrid w:val="0"/>
                <w:spacing w:val="-6"/>
                <w:kern w:val="21"/>
                <w:sz w:val="18"/>
                <w:szCs w:val="18"/>
              </w:rPr>
              <w:t>现有工程</w:t>
            </w:r>
          </w:p>
          <w:p w14:paraId="0A609883">
            <w:pPr>
              <w:pStyle w:val="55"/>
              <w:spacing w:beforeLines="0" w:afterLines="0" w:line="240" w:lineRule="auto"/>
              <w:rPr>
                <w:rFonts w:ascii="Times New Roman"/>
                <w:snapToGrid w:val="0"/>
                <w:spacing w:val="-6"/>
                <w:kern w:val="21"/>
                <w:sz w:val="18"/>
                <w:szCs w:val="18"/>
              </w:rPr>
            </w:pPr>
            <w:r>
              <w:rPr>
                <w:rFonts w:ascii="Times New Roman"/>
                <w:snapToGrid w:val="0"/>
                <w:spacing w:val="-6"/>
                <w:kern w:val="21"/>
                <w:sz w:val="18"/>
                <w:szCs w:val="18"/>
              </w:rPr>
              <w:t>排放量（固体废物产生量）</w:t>
            </w:r>
            <w:r>
              <w:rPr>
                <w:rFonts w:ascii="Times New Roman"/>
                <w:snapToGrid w:val="0"/>
                <w:spacing w:val="-6"/>
                <w:kern w:val="21"/>
                <w:sz w:val="18"/>
                <w:szCs w:val="18"/>
              </w:rPr>
              <w:fldChar w:fldCharType="begin"/>
            </w:r>
            <w:r>
              <w:rPr>
                <w:rFonts w:ascii="Times New Roman"/>
                <w:snapToGrid w:val="0"/>
                <w:spacing w:val="-6"/>
                <w:kern w:val="21"/>
                <w:sz w:val="18"/>
                <w:szCs w:val="18"/>
              </w:rPr>
              <w:instrText xml:space="preserve"> = 1 \* GB3 \* MERGEFORMAT </w:instrText>
            </w:r>
            <w:r>
              <w:rPr>
                <w:rFonts w:ascii="Times New Roman"/>
                <w:snapToGrid w:val="0"/>
                <w:spacing w:val="-6"/>
                <w:kern w:val="21"/>
                <w:sz w:val="18"/>
                <w:szCs w:val="18"/>
              </w:rPr>
              <w:fldChar w:fldCharType="separate"/>
            </w:r>
            <w:r>
              <w:rPr>
                <w:rFonts w:hint="eastAsia" w:hAnsi="宋体" w:cs="宋体"/>
                <w:kern w:val="2"/>
                <w:sz w:val="18"/>
                <w:szCs w:val="18"/>
              </w:rPr>
              <w:t>①</w:t>
            </w:r>
            <w:r>
              <w:rPr>
                <w:rFonts w:ascii="Times New Roman"/>
                <w:snapToGrid w:val="0"/>
                <w:spacing w:val="-6"/>
                <w:kern w:val="21"/>
                <w:sz w:val="18"/>
                <w:szCs w:val="18"/>
              </w:rPr>
              <w:fldChar w:fldCharType="end"/>
            </w:r>
          </w:p>
        </w:tc>
        <w:tc>
          <w:tcPr>
            <w:tcW w:w="458" w:type="pct"/>
            <w:tcMar>
              <w:left w:w="28" w:type="dxa"/>
              <w:right w:w="28" w:type="dxa"/>
            </w:tcMar>
            <w:vAlign w:val="center"/>
          </w:tcPr>
          <w:p w14:paraId="36C78367">
            <w:pPr>
              <w:pStyle w:val="55"/>
              <w:spacing w:beforeLines="0" w:afterLines="0" w:line="240" w:lineRule="auto"/>
              <w:rPr>
                <w:rFonts w:ascii="Times New Roman"/>
                <w:snapToGrid w:val="0"/>
                <w:spacing w:val="-6"/>
                <w:kern w:val="21"/>
                <w:sz w:val="18"/>
                <w:szCs w:val="18"/>
              </w:rPr>
            </w:pPr>
            <w:r>
              <w:rPr>
                <w:rFonts w:ascii="Times New Roman"/>
                <w:snapToGrid w:val="0"/>
                <w:spacing w:val="-6"/>
                <w:kern w:val="21"/>
                <w:sz w:val="18"/>
                <w:szCs w:val="18"/>
              </w:rPr>
              <w:t>现有工程</w:t>
            </w:r>
          </w:p>
          <w:p w14:paraId="1F08C788">
            <w:pPr>
              <w:pStyle w:val="55"/>
              <w:spacing w:beforeLines="0" w:afterLines="0" w:line="240" w:lineRule="auto"/>
              <w:rPr>
                <w:rFonts w:ascii="Times New Roman"/>
                <w:snapToGrid w:val="0"/>
                <w:spacing w:val="-6"/>
                <w:kern w:val="21"/>
                <w:sz w:val="18"/>
                <w:szCs w:val="18"/>
              </w:rPr>
            </w:pPr>
            <w:r>
              <w:rPr>
                <w:rFonts w:ascii="Times New Roman"/>
                <w:snapToGrid w:val="0"/>
                <w:spacing w:val="-6"/>
                <w:kern w:val="21"/>
                <w:sz w:val="18"/>
                <w:szCs w:val="18"/>
              </w:rPr>
              <w:t>许可排放量</w:t>
            </w:r>
          </w:p>
          <w:p w14:paraId="2EDB8054">
            <w:pPr>
              <w:pStyle w:val="55"/>
              <w:spacing w:beforeLines="0" w:afterLines="0"/>
              <w:rPr>
                <w:rFonts w:ascii="Times New Roman"/>
                <w:snapToGrid w:val="0"/>
                <w:spacing w:val="-6"/>
                <w:kern w:val="21"/>
                <w:sz w:val="18"/>
                <w:szCs w:val="18"/>
              </w:rPr>
            </w:pPr>
            <w:r>
              <w:rPr>
                <w:rFonts w:ascii="Times New Roman"/>
                <w:snapToGrid w:val="0"/>
                <w:spacing w:val="-6"/>
                <w:kern w:val="21"/>
                <w:sz w:val="18"/>
                <w:szCs w:val="18"/>
              </w:rPr>
              <w:fldChar w:fldCharType="begin"/>
            </w:r>
            <w:r>
              <w:rPr>
                <w:rFonts w:ascii="Times New Roman"/>
                <w:snapToGrid w:val="0"/>
                <w:spacing w:val="-6"/>
                <w:kern w:val="21"/>
                <w:sz w:val="18"/>
                <w:szCs w:val="18"/>
              </w:rPr>
              <w:instrText xml:space="preserve"> = 2 \* GB3 \* MERGEFORMAT </w:instrText>
            </w:r>
            <w:r>
              <w:rPr>
                <w:rFonts w:ascii="Times New Roman"/>
                <w:snapToGrid w:val="0"/>
                <w:spacing w:val="-6"/>
                <w:kern w:val="21"/>
                <w:sz w:val="18"/>
                <w:szCs w:val="18"/>
              </w:rPr>
              <w:fldChar w:fldCharType="separate"/>
            </w:r>
            <w:r>
              <w:rPr>
                <w:rFonts w:hint="eastAsia" w:hAnsi="宋体" w:cs="宋体"/>
                <w:snapToGrid w:val="0"/>
                <w:spacing w:val="-6"/>
                <w:kern w:val="21"/>
                <w:sz w:val="18"/>
                <w:szCs w:val="18"/>
              </w:rPr>
              <w:t>②</w:t>
            </w:r>
            <w:r>
              <w:rPr>
                <w:rFonts w:ascii="Times New Roman"/>
                <w:snapToGrid w:val="0"/>
                <w:spacing w:val="-6"/>
                <w:kern w:val="21"/>
                <w:sz w:val="18"/>
                <w:szCs w:val="18"/>
              </w:rPr>
              <w:fldChar w:fldCharType="end"/>
            </w:r>
          </w:p>
        </w:tc>
        <w:tc>
          <w:tcPr>
            <w:tcW w:w="561" w:type="pct"/>
            <w:tcMar>
              <w:left w:w="28" w:type="dxa"/>
              <w:right w:w="28" w:type="dxa"/>
            </w:tcMar>
            <w:vAlign w:val="center"/>
          </w:tcPr>
          <w:p w14:paraId="35D6DAC7">
            <w:pPr>
              <w:pStyle w:val="55"/>
              <w:spacing w:beforeLines="0" w:afterLines="0" w:line="240" w:lineRule="auto"/>
              <w:rPr>
                <w:rFonts w:ascii="Times New Roman"/>
                <w:snapToGrid w:val="0"/>
                <w:spacing w:val="-6"/>
                <w:kern w:val="21"/>
                <w:sz w:val="18"/>
                <w:szCs w:val="18"/>
              </w:rPr>
            </w:pPr>
            <w:r>
              <w:rPr>
                <w:rFonts w:ascii="Times New Roman"/>
                <w:snapToGrid w:val="0"/>
                <w:spacing w:val="-6"/>
                <w:kern w:val="21"/>
                <w:sz w:val="18"/>
                <w:szCs w:val="18"/>
              </w:rPr>
              <w:t>在建工程</w:t>
            </w:r>
          </w:p>
          <w:p w14:paraId="0E93C9FB">
            <w:pPr>
              <w:pStyle w:val="55"/>
              <w:spacing w:beforeLines="0" w:afterLines="0" w:line="240" w:lineRule="auto"/>
              <w:rPr>
                <w:rFonts w:ascii="Times New Roman"/>
                <w:snapToGrid w:val="0"/>
                <w:spacing w:val="-6"/>
                <w:kern w:val="21"/>
                <w:sz w:val="18"/>
                <w:szCs w:val="18"/>
              </w:rPr>
            </w:pPr>
            <w:r>
              <w:rPr>
                <w:rFonts w:ascii="Times New Roman"/>
                <w:snapToGrid w:val="0"/>
                <w:spacing w:val="-6"/>
                <w:kern w:val="21"/>
                <w:sz w:val="18"/>
                <w:szCs w:val="18"/>
              </w:rPr>
              <w:t>排放量（固体废物产生量）</w:t>
            </w:r>
            <w:r>
              <w:rPr>
                <w:rFonts w:ascii="Times New Roman"/>
                <w:snapToGrid w:val="0"/>
                <w:spacing w:val="-6"/>
                <w:kern w:val="21"/>
                <w:sz w:val="18"/>
                <w:szCs w:val="18"/>
              </w:rPr>
              <w:fldChar w:fldCharType="begin"/>
            </w:r>
            <w:r>
              <w:rPr>
                <w:rFonts w:ascii="Times New Roman"/>
                <w:snapToGrid w:val="0"/>
                <w:spacing w:val="-6"/>
                <w:kern w:val="21"/>
                <w:sz w:val="18"/>
                <w:szCs w:val="18"/>
              </w:rPr>
              <w:instrText xml:space="preserve"> = 3 \* GB3 \* MERGEFORMAT </w:instrText>
            </w:r>
            <w:r>
              <w:rPr>
                <w:rFonts w:ascii="Times New Roman"/>
                <w:snapToGrid w:val="0"/>
                <w:spacing w:val="-6"/>
                <w:kern w:val="21"/>
                <w:sz w:val="18"/>
                <w:szCs w:val="18"/>
              </w:rPr>
              <w:fldChar w:fldCharType="separate"/>
            </w:r>
            <w:r>
              <w:rPr>
                <w:rFonts w:hint="eastAsia" w:hAnsi="宋体" w:cs="宋体"/>
                <w:kern w:val="2"/>
                <w:sz w:val="18"/>
                <w:szCs w:val="18"/>
              </w:rPr>
              <w:t>③</w:t>
            </w:r>
            <w:r>
              <w:rPr>
                <w:rFonts w:ascii="Times New Roman"/>
                <w:snapToGrid w:val="0"/>
                <w:spacing w:val="-6"/>
                <w:kern w:val="21"/>
                <w:sz w:val="18"/>
                <w:szCs w:val="18"/>
              </w:rPr>
              <w:fldChar w:fldCharType="end"/>
            </w:r>
          </w:p>
        </w:tc>
        <w:tc>
          <w:tcPr>
            <w:tcW w:w="561" w:type="pct"/>
            <w:tcMar>
              <w:left w:w="28" w:type="dxa"/>
              <w:right w:w="28" w:type="dxa"/>
            </w:tcMar>
            <w:vAlign w:val="center"/>
          </w:tcPr>
          <w:p w14:paraId="56B852D0">
            <w:pPr>
              <w:pStyle w:val="55"/>
              <w:spacing w:beforeLines="0" w:afterLines="0" w:line="240" w:lineRule="auto"/>
              <w:rPr>
                <w:rFonts w:ascii="Times New Roman"/>
                <w:snapToGrid w:val="0"/>
                <w:spacing w:val="-6"/>
                <w:kern w:val="21"/>
                <w:sz w:val="18"/>
                <w:szCs w:val="18"/>
              </w:rPr>
            </w:pPr>
            <w:r>
              <w:rPr>
                <w:rFonts w:ascii="Times New Roman"/>
                <w:snapToGrid w:val="0"/>
                <w:spacing w:val="-6"/>
                <w:kern w:val="21"/>
                <w:sz w:val="18"/>
                <w:szCs w:val="18"/>
              </w:rPr>
              <w:t>本项目</w:t>
            </w:r>
          </w:p>
          <w:p w14:paraId="784DCAFA">
            <w:pPr>
              <w:pStyle w:val="55"/>
              <w:spacing w:beforeLines="0" w:afterLines="0" w:line="240" w:lineRule="auto"/>
              <w:rPr>
                <w:rFonts w:ascii="Times New Roman"/>
                <w:snapToGrid w:val="0"/>
                <w:spacing w:val="-6"/>
                <w:kern w:val="21"/>
                <w:sz w:val="18"/>
                <w:szCs w:val="18"/>
              </w:rPr>
            </w:pPr>
            <w:r>
              <w:rPr>
                <w:rFonts w:ascii="Times New Roman"/>
                <w:snapToGrid w:val="0"/>
                <w:spacing w:val="-6"/>
                <w:kern w:val="21"/>
                <w:sz w:val="18"/>
                <w:szCs w:val="18"/>
              </w:rPr>
              <w:t>排放量（固体废物产生量）</w:t>
            </w:r>
            <w:r>
              <w:rPr>
                <w:rFonts w:ascii="Times New Roman"/>
                <w:snapToGrid w:val="0"/>
                <w:spacing w:val="-6"/>
                <w:kern w:val="21"/>
                <w:sz w:val="18"/>
                <w:szCs w:val="18"/>
              </w:rPr>
              <w:fldChar w:fldCharType="begin"/>
            </w:r>
            <w:r>
              <w:rPr>
                <w:rFonts w:ascii="Times New Roman"/>
                <w:snapToGrid w:val="0"/>
                <w:spacing w:val="-6"/>
                <w:kern w:val="21"/>
                <w:sz w:val="18"/>
                <w:szCs w:val="18"/>
              </w:rPr>
              <w:instrText xml:space="preserve"> = 4 \* GB3 \* MERGEFORMAT </w:instrText>
            </w:r>
            <w:r>
              <w:rPr>
                <w:rFonts w:ascii="Times New Roman"/>
                <w:snapToGrid w:val="0"/>
                <w:spacing w:val="-6"/>
                <w:kern w:val="21"/>
                <w:sz w:val="18"/>
                <w:szCs w:val="18"/>
              </w:rPr>
              <w:fldChar w:fldCharType="separate"/>
            </w:r>
            <w:r>
              <w:rPr>
                <w:rFonts w:hint="eastAsia" w:hAnsi="宋体" w:cs="宋体"/>
                <w:kern w:val="2"/>
                <w:sz w:val="18"/>
                <w:szCs w:val="18"/>
              </w:rPr>
              <w:t>④</w:t>
            </w:r>
            <w:r>
              <w:rPr>
                <w:rFonts w:ascii="Times New Roman"/>
                <w:snapToGrid w:val="0"/>
                <w:spacing w:val="-6"/>
                <w:kern w:val="21"/>
                <w:sz w:val="18"/>
                <w:szCs w:val="18"/>
              </w:rPr>
              <w:fldChar w:fldCharType="end"/>
            </w:r>
          </w:p>
        </w:tc>
        <w:tc>
          <w:tcPr>
            <w:tcW w:w="562" w:type="pct"/>
            <w:tcMar>
              <w:left w:w="28" w:type="dxa"/>
              <w:right w:w="28" w:type="dxa"/>
            </w:tcMar>
            <w:vAlign w:val="center"/>
          </w:tcPr>
          <w:p w14:paraId="5B70DBB8">
            <w:pPr>
              <w:pStyle w:val="55"/>
              <w:spacing w:beforeLines="0" w:afterLines="0" w:line="240" w:lineRule="auto"/>
              <w:rPr>
                <w:rFonts w:ascii="Times New Roman"/>
                <w:snapToGrid w:val="0"/>
                <w:spacing w:val="-16"/>
                <w:kern w:val="21"/>
                <w:sz w:val="18"/>
                <w:szCs w:val="18"/>
              </w:rPr>
            </w:pPr>
            <w:r>
              <w:rPr>
                <w:rFonts w:ascii="Times New Roman"/>
                <w:snapToGrid w:val="0"/>
                <w:spacing w:val="-16"/>
                <w:kern w:val="21"/>
                <w:sz w:val="18"/>
                <w:szCs w:val="18"/>
              </w:rPr>
              <w:t>以新带老削减量</w:t>
            </w:r>
          </w:p>
          <w:p w14:paraId="13AA0846">
            <w:pPr>
              <w:pStyle w:val="55"/>
              <w:spacing w:beforeLines="0" w:afterLines="0" w:line="240" w:lineRule="auto"/>
              <w:rPr>
                <w:rFonts w:ascii="Times New Roman"/>
                <w:snapToGrid w:val="0"/>
                <w:spacing w:val="-16"/>
                <w:kern w:val="21"/>
                <w:sz w:val="18"/>
                <w:szCs w:val="18"/>
              </w:rPr>
            </w:pPr>
            <w:r>
              <w:rPr>
                <w:rFonts w:ascii="Times New Roman"/>
                <w:snapToGrid w:val="0"/>
                <w:spacing w:val="-16"/>
                <w:kern w:val="21"/>
                <w:sz w:val="18"/>
                <w:szCs w:val="18"/>
              </w:rPr>
              <w:t>（新建项目不填）</w:t>
            </w:r>
            <w:r>
              <w:rPr>
                <w:rFonts w:ascii="Times New Roman"/>
                <w:snapToGrid w:val="0"/>
                <w:spacing w:val="-16"/>
                <w:kern w:val="21"/>
                <w:sz w:val="18"/>
                <w:szCs w:val="18"/>
              </w:rPr>
              <w:fldChar w:fldCharType="begin"/>
            </w:r>
            <w:r>
              <w:rPr>
                <w:rFonts w:ascii="Times New Roman"/>
                <w:snapToGrid w:val="0"/>
                <w:spacing w:val="-16"/>
                <w:kern w:val="21"/>
                <w:sz w:val="18"/>
                <w:szCs w:val="18"/>
              </w:rPr>
              <w:instrText xml:space="preserve"> = 5 \* GB3 \* MERGEFORMAT </w:instrText>
            </w:r>
            <w:r>
              <w:rPr>
                <w:rFonts w:ascii="Times New Roman"/>
                <w:snapToGrid w:val="0"/>
                <w:spacing w:val="-16"/>
                <w:kern w:val="21"/>
                <w:sz w:val="18"/>
                <w:szCs w:val="18"/>
              </w:rPr>
              <w:fldChar w:fldCharType="separate"/>
            </w:r>
            <w:r>
              <w:rPr>
                <w:rFonts w:hint="eastAsia" w:hAnsi="宋体" w:cs="宋体"/>
                <w:kern w:val="2"/>
                <w:sz w:val="18"/>
                <w:szCs w:val="18"/>
              </w:rPr>
              <w:t>⑤</w:t>
            </w:r>
            <w:r>
              <w:rPr>
                <w:rFonts w:ascii="Times New Roman"/>
                <w:snapToGrid w:val="0"/>
                <w:spacing w:val="-16"/>
                <w:kern w:val="21"/>
                <w:sz w:val="18"/>
                <w:szCs w:val="18"/>
              </w:rPr>
              <w:fldChar w:fldCharType="end"/>
            </w:r>
          </w:p>
        </w:tc>
        <w:tc>
          <w:tcPr>
            <w:tcW w:w="612" w:type="pct"/>
            <w:tcMar>
              <w:left w:w="28" w:type="dxa"/>
              <w:right w:w="28" w:type="dxa"/>
            </w:tcMar>
            <w:vAlign w:val="center"/>
          </w:tcPr>
          <w:p w14:paraId="7D0C2484">
            <w:pPr>
              <w:pStyle w:val="55"/>
              <w:spacing w:beforeLines="0" w:afterLines="0" w:line="240" w:lineRule="auto"/>
              <w:rPr>
                <w:rFonts w:ascii="Times New Roman"/>
                <w:snapToGrid w:val="0"/>
                <w:spacing w:val="-16"/>
                <w:kern w:val="21"/>
                <w:sz w:val="18"/>
                <w:szCs w:val="18"/>
              </w:rPr>
            </w:pPr>
            <w:r>
              <w:rPr>
                <w:rFonts w:ascii="Times New Roman"/>
                <w:snapToGrid w:val="0"/>
                <w:spacing w:val="-16"/>
                <w:kern w:val="21"/>
                <w:sz w:val="18"/>
                <w:szCs w:val="18"/>
              </w:rPr>
              <w:t>本项目建成后</w:t>
            </w:r>
          </w:p>
          <w:p w14:paraId="55E1D9E8">
            <w:pPr>
              <w:pStyle w:val="55"/>
              <w:spacing w:beforeLines="0" w:afterLines="0" w:line="240" w:lineRule="auto"/>
              <w:rPr>
                <w:rFonts w:ascii="Times New Roman"/>
                <w:snapToGrid w:val="0"/>
                <w:spacing w:val="-16"/>
                <w:kern w:val="21"/>
                <w:sz w:val="18"/>
                <w:szCs w:val="18"/>
              </w:rPr>
            </w:pPr>
            <w:r>
              <w:rPr>
                <w:rFonts w:ascii="Times New Roman"/>
                <w:snapToGrid w:val="0"/>
                <w:spacing w:val="-16"/>
                <w:kern w:val="21"/>
                <w:sz w:val="18"/>
                <w:szCs w:val="18"/>
              </w:rPr>
              <w:t>全厂排放量（固体废物产生量）</w:t>
            </w:r>
            <w:r>
              <w:rPr>
                <w:rFonts w:ascii="Times New Roman"/>
                <w:snapToGrid w:val="0"/>
                <w:spacing w:val="-16"/>
                <w:kern w:val="21"/>
                <w:sz w:val="18"/>
                <w:szCs w:val="18"/>
              </w:rPr>
              <w:fldChar w:fldCharType="begin"/>
            </w:r>
            <w:r>
              <w:rPr>
                <w:rFonts w:ascii="Times New Roman"/>
                <w:snapToGrid w:val="0"/>
                <w:spacing w:val="-16"/>
                <w:kern w:val="21"/>
                <w:sz w:val="18"/>
                <w:szCs w:val="18"/>
              </w:rPr>
              <w:instrText xml:space="preserve"> = 6 \* GB3 \* MERGEFORMAT </w:instrText>
            </w:r>
            <w:r>
              <w:rPr>
                <w:rFonts w:ascii="Times New Roman"/>
                <w:snapToGrid w:val="0"/>
                <w:spacing w:val="-16"/>
                <w:kern w:val="21"/>
                <w:sz w:val="18"/>
                <w:szCs w:val="18"/>
              </w:rPr>
              <w:fldChar w:fldCharType="separate"/>
            </w:r>
            <w:r>
              <w:rPr>
                <w:rFonts w:hint="eastAsia" w:hAnsi="宋体" w:cs="宋体"/>
                <w:kern w:val="2"/>
                <w:sz w:val="18"/>
                <w:szCs w:val="18"/>
              </w:rPr>
              <w:t>⑥</w:t>
            </w:r>
            <w:r>
              <w:rPr>
                <w:rFonts w:ascii="Times New Roman"/>
                <w:snapToGrid w:val="0"/>
                <w:spacing w:val="-16"/>
                <w:kern w:val="21"/>
                <w:sz w:val="18"/>
                <w:szCs w:val="18"/>
              </w:rPr>
              <w:fldChar w:fldCharType="end"/>
            </w:r>
          </w:p>
        </w:tc>
        <w:tc>
          <w:tcPr>
            <w:tcW w:w="551" w:type="pct"/>
            <w:tcMar>
              <w:left w:w="28" w:type="dxa"/>
              <w:right w:w="28" w:type="dxa"/>
            </w:tcMar>
            <w:vAlign w:val="center"/>
          </w:tcPr>
          <w:p w14:paraId="54718028">
            <w:pPr>
              <w:pStyle w:val="55"/>
              <w:spacing w:beforeLines="0" w:afterLines="0" w:line="240" w:lineRule="auto"/>
              <w:rPr>
                <w:rFonts w:ascii="Times New Roman"/>
                <w:snapToGrid w:val="0"/>
                <w:spacing w:val="-6"/>
                <w:kern w:val="21"/>
                <w:sz w:val="18"/>
                <w:szCs w:val="18"/>
              </w:rPr>
            </w:pPr>
            <w:r>
              <w:rPr>
                <w:rFonts w:ascii="Times New Roman"/>
                <w:snapToGrid w:val="0"/>
                <w:spacing w:val="-6"/>
                <w:kern w:val="21"/>
                <w:sz w:val="18"/>
                <w:szCs w:val="18"/>
              </w:rPr>
              <w:t>变化量</w:t>
            </w:r>
          </w:p>
          <w:p w14:paraId="214E676F">
            <w:pPr>
              <w:pStyle w:val="55"/>
              <w:spacing w:beforeLines="0" w:afterLines="0" w:line="240" w:lineRule="auto"/>
              <w:rPr>
                <w:rFonts w:ascii="Times New Roman"/>
                <w:snapToGrid w:val="0"/>
                <w:spacing w:val="-6"/>
                <w:kern w:val="21"/>
                <w:sz w:val="18"/>
                <w:szCs w:val="18"/>
              </w:rPr>
            </w:pPr>
            <w:r>
              <w:rPr>
                <w:rFonts w:ascii="Times New Roman"/>
                <w:snapToGrid w:val="0"/>
                <w:spacing w:val="-6"/>
                <w:kern w:val="21"/>
                <w:sz w:val="18"/>
                <w:szCs w:val="18"/>
              </w:rPr>
              <w:fldChar w:fldCharType="begin"/>
            </w:r>
            <w:r>
              <w:rPr>
                <w:rFonts w:ascii="Times New Roman"/>
                <w:snapToGrid w:val="0"/>
                <w:spacing w:val="-6"/>
                <w:kern w:val="21"/>
                <w:sz w:val="18"/>
                <w:szCs w:val="18"/>
              </w:rPr>
              <w:instrText xml:space="preserve"> = 7 \* GB3 \* MERGEFORMAT </w:instrText>
            </w:r>
            <w:r>
              <w:rPr>
                <w:rFonts w:ascii="Times New Roman"/>
                <w:snapToGrid w:val="0"/>
                <w:spacing w:val="-6"/>
                <w:kern w:val="21"/>
                <w:sz w:val="18"/>
                <w:szCs w:val="18"/>
              </w:rPr>
              <w:fldChar w:fldCharType="separate"/>
            </w:r>
            <w:r>
              <w:rPr>
                <w:rFonts w:hint="eastAsia" w:hAnsi="宋体" w:cs="宋体"/>
                <w:kern w:val="2"/>
                <w:sz w:val="18"/>
                <w:szCs w:val="18"/>
              </w:rPr>
              <w:t>⑦</w:t>
            </w:r>
            <w:r>
              <w:rPr>
                <w:rFonts w:ascii="Times New Roman"/>
                <w:snapToGrid w:val="0"/>
                <w:spacing w:val="-6"/>
                <w:kern w:val="21"/>
                <w:sz w:val="18"/>
                <w:szCs w:val="18"/>
              </w:rPr>
              <w:fldChar w:fldCharType="end"/>
            </w:r>
          </w:p>
        </w:tc>
      </w:tr>
      <w:tr w14:paraId="70DBCE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369" w:type="pct"/>
            <w:vMerge w:val="restart"/>
            <w:vAlign w:val="center"/>
          </w:tcPr>
          <w:p w14:paraId="32C0367D">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废气</w:t>
            </w:r>
          </w:p>
        </w:tc>
        <w:tc>
          <w:tcPr>
            <w:tcW w:w="813" w:type="pct"/>
            <w:vAlign w:val="center"/>
          </w:tcPr>
          <w:p w14:paraId="12F72637">
            <w:pPr>
              <w:widowControl/>
              <w:adjustRightInd w:val="0"/>
              <w:snapToGrid w:val="0"/>
              <w:jc w:val="center"/>
              <w:rPr>
                <w:sz w:val="18"/>
                <w:szCs w:val="18"/>
              </w:rPr>
            </w:pPr>
            <w:r>
              <w:rPr>
                <w:rFonts w:hint="eastAsia"/>
                <w:sz w:val="18"/>
                <w:szCs w:val="18"/>
              </w:rPr>
              <w:t>非甲烷总烃</w:t>
            </w:r>
            <w:r>
              <w:rPr>
                <w:snapToGrid w:val="0"/>
                <w:kern w:val="21"/>
                <w:sz w:val="18"/>
                <w:szCs w:val="18"/>
              </w:rPr>
              <w:t>（有组织）</w:t>
            </w:r>
          </w:p>
        </w:tc>
        <w:tc>
          <w:tcPr>
            <w:tcW w:w="510" w:type="pct"/>
            <w:vAlign w:val="center"/>
          </w:tcPr>
          <w:p w14:paraId="2E81C66D">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458" w:type="pct"/>
            <w:vAlign w:val="center"/>
          </w:tcPr>
          <w:p w14:paraId="43A61126">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561" w:type="pct"/>
            <w:vAlign w:val="center"/>
          </w:tcPr>
          <w:p w14:paraId="54ECB891">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561" w:type="pct"/>
            <w:vAlign w:val="center"/>
          </w:tcPr>
          <w:p w14:paraId="187183BF">
            <w:pPr>
              <w:widowControl/>
              <w:jc w:val="center"/>
              <w:textAlignment w:val="center"/>
              <w:rPr>
                <w:rFonts w:hint="eastAsia" w:eastAsia="宋体"/>
                <w:sz w:val="18"/>
                <w:szCs w:val="18"/>
                <w:lang w:eastAsia="zh-CN"/>
              </w:rPr>
            </w:pPr>
            <w:r>
              <w:rPr>
                <w:rFonts w:hint="eastAsia" w:eastAsia="等线"/>
                <w:sz w:val="18"/>
                <w:szCs w:val="18"/>
                <w:lang w:eastAsia="zh-CN"/>
              </w:rPr>
              <w:t>0.01</w:t>
            </w:r>
            <w:r>
              <w:rPr>
                <w:rFonts w:hint="eastAsia" w:eastAsia="等线"/>
                <w:sz w:val="18"/>
                <w:szCs w:val="18"/>
                <w:lang w:val="en-US" w:eastAsia="zh-CN"/>
              </w:rPr>
              <w:t>43</w:t>
            </w:r>
            <w:r>
              <w:rPr>
                <w:rFonts w:hint="eastAsia" w:eastAsia="等线"/>
                <w:sz w:val="18"/>
                <w:szCs w:val="18"/>
                <w:lang w:eastAsia="zh-CN"/>
              </w:rPr>
              <w:t>t/a</w:t>
            </w:r>
          </w:p>
        </w:tc>
        <w:tc>
          <w:tcPr>
            <w:tcW w:w="562" w:type="pct"/>
            <w:vAlign w:val="center"/>
          </w:tcPr>
          <w:p w14:paraId="55D7ED88">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612" w:type="pct"/>
            <w:vAlign w:val="center"/>
          </w:tcPr>
          <w:p w14:paraId="57C06E9E">
            <w:pPr>
              <w:widowControl/>
              <w:jc w:val="center"/>
              <w:textAlignment w:val="center"/>
              <w:rPr>
                <w:rFonts w:hint="eastAsia" w:eastAsia="宋体"/>
                <w:sz w:val="18"/>
                <w:szCs w:val="18"/>
                <w:lang w:eastAsia="zh-CN"/>
              </w:rPr>
            </w:pPr>
            <w:r>
              <w:rPr>
                <w:rFonts w:hint="eastAsia" w:eastAsia="等线"/>
                <w:sz w:val="18"/>
                <w:szCs w:val="18"/>
                <w:lang w:eastAsia="zh-CN"/>
              </w:rPr>
              <w:t>0.01</w:t>
            </w:r>
            <w:r>
              <w:rPr>
                <w:rFonts w:hint="eastAsia" w:eastAsia="等线"/>
                <w:sz w:val="18"/>
                <w:szCs w:val="18"/>
                <w:lang w:val="en-US" w:eastAsia="zh-CN"/>
              </w:rPr>
              <w:t>43</w:t>
            </w:r>
            <w:r>
              <w:rPr>
                <w:rFonts w:hint="eastAsia" w:eastAsia="等线"/>
                <w:sz w:val="18"/>
                <w:szCs w:val="18"/>
                <w:lang w:eastAsia="zh-CN"/>
              </w:rPr>
              <w:t>t/a</w:t>
            </w:r>
          </w:p>
        </w:tc>
        <w:tc>
          <w:tcPr>
            <w:tcW w:w="551" w:type="pct"/>
            <w:vAlign w:val="center"/>
          </w:tcPr>
          <w:p w14:paraId="0C60990A">
            <w:pPr>
              <w:widowControl/>
              <w:jc w:val="center"/>
              <w:textAlignment w:val="center"/>
              <w:rPr>
                <w:rFonts w:hint="eastAsia" w:eastAsia="宋体"/>
                <w:sz w:val="18"/>
                <w:szCs w:val="18"/>
                <w:lang w:eastAsia="zh-CN"/>
              </w:rPr>
            </w:pPr>
            <w:r>
              <w:rPr>
                <w:rFonts w:hint="eastAsia"/>
                <w:sz w:val="18"/>
                <w:szCs w:val="18"/>
              </w:rPr>
              <w:t>+</w:t>
            </w:r>
            <w:r>
              <w:rPr>
                <w:rFonts w:hint="eastAsia" w:eastAsia="等线"/>
                <w:sz w:val="18"/>
                <w:szCs w:val="18"/>
                <w:lang w:eastAsia="zh-CN"/>
              </w:rPr>
              <w:t>0.01</w:t>
            </w:r>
            <w:r>
              <w:rPr>
                <w:rFonts w:hint="eastAsia" w:eastAsia="等线"/>
                <w:sz w:val="18"/>
                <w:szCs w:val="18"/>
                <w:lang w:val="en-US" w:eastAsia="zh-CN"/>
              </w:rPr>
              <w:t>43</w:t>
            </w:r>
            <w:r>
              <w:rPr>
                <w:rFonts w:hint="eastAsia" w:eastAsia="等线"/>
                <w:sz w:val="18"/>
                <w:szCs w:val="18"/>
                <w:lang w:eastAsia="zh-CN"/>
              </w:rPr>
              <w:t>t/a</w:t>
            </w:r>
          </w:p>
        </w:tc>
      </w:tr>
      <w:tr w14:paraId="764A25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369" w:type="pct"/>
            <w:vMerge w:val="continue"/>
            <w:vAlign w:val="center"/>
          </w:tcPr>
          <w:p w14:paraId="23678620">
            <w:pPr>
              <w:pStyle w:val="55"/>
              <w:spacing w:beforeLines="0" w:afterLines="0" w:line="240" w:lineRule="auto"/>
              <w:rPr>
                <w:rFonts w:ascii="Times New Roman"/>
                <w:snapToGrid w:val="0"/>
                <w:kern w:val="21"/>
                <w:sz w:val="18"/>
                <w:szCs w:val="18"/>
              </w:rPr>
            </w:pPr>
          </w:p>
        </w:tc>
        <w:tc>
          <w:tcPr>
            <w:tcW w:w="813" w:type="pct"/>
            <w:vAlign w:val="center"/>
          </w:tcPr>
          <w:p w14:paraId="5CDCB85F">
            <w:pPr>
              <w:widowControl/>
              <w:adjustRightInd w:val="0"/>
              <w:snapToGrid w:val="0"/>
              <w:jc w:val="center"/>
              <w:rPr>
                <w:sz w:val="18"/>
                <w:szCs w:val="18"/>
              </w:rPr>
            </w:pPr>
            <w:r>
              <w:rPr>
                <w:rFonts w:hint="eastAsia"/>
                <w:sz w:val="18"/>
                <w:szCs w:val="18"/>
              </w:rPr>
              <w:t>二甲苯</w:t>
            </w:r>
            <w:r>
              <w:rPr>
                <w:snapToGrid w:val="0"/>
                <w:kern w:val="21"/>
                <w:sz w:val="18"/>
                <w:szCs w:val="18"/>
              </w:rPr>
              <w:t>（有组织）</w:t>
            </w:r>
          </w:p>
        </w:tc>
        <w:tc>
          <w:tcPr>
            <w:tcW w:w="510" w:type="pct"/>
            <w:vAlign w:val="center"/>
          </w:tcPr>
          <w:p w14:paraId="2515FDA1">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458" w:type="pct"/>
            <w:vAlign w:val="center"/>
          </w:tcPr>
          <w:p w14:paraId="05D3446E">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561" w:type="pct"/>
            <w:vAlign w:val="center"/>
          </w:tcPr>
          <w:p w14:paraId="407973B1">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561" w:type="pct"/>
            <w:vAlign w:val="center"/>
          </w:tcPr>
          <w:p w14:paraId="76B98AD7">
            <w:pPr>
              <w:widowControl/>
              <w:jc w:val="center"/>
              <w:textAlignment w:val="center"/>
              <w:rPr>
                <w:sz w:val="18"/>
                <w:szCs w:val="18"/>
              </w:rPr>
            </w:pPr>
            <w:r>
              <w:rPr>
                <w:kern w:val="0"/>
                <w:sz w:val="18"/>
                <w:szCs w:val="18"/>
                <w:lang w:bidi="ar"/>
              </w:rPr>
              <w:t>0.000</w:t>
            </w:r>
            <w:r>
              <w:rPr>
                <w:rFonts w:hint="eastAsia"/>
                <w:kern w:val="0"/>
                <w:sz w:val="18"/>
                <w:szCs w:val="18"/>
                <w:lang w:val="en-US" w:eastAsia="zh-CN" w:bidi="ar"/>
              </w:rPr>
              <w:t>2</w:t>
            </w:r>
            <w:r>
              <w:rPr>
                <w:rFonts w:eastAsia="等线"/>
                <w:sz w:val="18"/>
                <w:szCs w:val="18"/>
              </w:rPr>
              <w:t>t/a</w:t>
            </w:r>
          </w:p>
        </w:tc>
        <w:tc>
          <w:tcPr>
            <w:tcW w:w="562" w:type="pct"/>
            <w:vAlign w:val="center"/>
          </w:tcPr>
          <w:p w14:paraId="0A0C80E4">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612" w:type="pct"/>
            <w:vAlign w:val="center"/>
          </w:tcPr>
          <w:p w14:paraId="4FFD004D">
            <w:pPr>
              <w:widowControl/>
              <w:jc w:val="center"/>
              <w:textAlignment w:val="center"/>
              <w:rPr>
                <w:sz w:val="18"/>
                <w:szCs w:val="18"/>
              </w:rPr>
            </w:pPr>
            <w:r>
              <w:rPr>
                <w:kern w:val="0"/>
                <w:sz w:val="18"/>
                <w:szCs w:val="18"/>
                <w:lang w:bidi="ar"/>
              </w:rPr>
              <w:t>0.000</w:t>
            </w:r>
            <w:r>
              <w:rPr>
                <w:rFonts w:hint="eastAsia"/>
                <w:kern w:val="0"/>
                <w:sz w:val="18"/>
                <w:szCs w:val="18"/>
                <w:lang w:val="en-US" w:eastAsia="zh-CN" w:bidi="ar"/>
              </w:rPr>
              <w:t>2</w:t>
            </w:r>
            <w:r>
              <w:rPr>
                <w:rFonts w:eastAsia="等线"/>
                <w:sz w:val="18"/>
                <w:szCs w:val="18"/>
              </w:rPr>
              <w:t>t/a</w:t>
            </w:r>
          </w:p>
        </w:tc>
        <w:tc>
          <w:tcPr>
            <w:tcW w:w="551" w:type="pct"/>
            <w:vAlign w:val="center"/>
          </w:tcPr>
          <w:p w14:paraId="3221D22B">
            <w:pPr>
              <w:widowControl/>
              <w:jc w:val="center"/>
              <w:textAlignment w:val="center"/>
              <w:rPr>
                <w:sz w:val="18"/>
                <w:szCs w:val="18"/>
              </w:rPr>
            </w:pPr>
            <w:r>
              <w:rPr>
                <w:rFonts w:hint="eastAsia"/>
                <w:kern w:val="0"/>
                <w:sz w:val="18"/>
                <w:szCs w:val="18"/>
                <w:lang w:bidi="ar"/>
              </w:rPr>
              <w:t>+</w:t>
            </w:r>
            <w:r>
              <w:rPr>
                <w:kern w:val="0"/>
                <w:sz w:val="18"/>
                <w:szCs w:val="18"/>
                <w:lang w:bidi="ar"/>
              </w:rPr>
              <w:t>0.000</w:t>
            </w:r>
            <w:r>
              <w:rPr>
                <w:rFonts w:hint="eastAsia"/>
                <w:kern w:val="0"/>
                <w:sz w:val="18"/>
                <w:szCs w:val="18"/>
                <w:lang w:val="en-US" w:eastAsia="zh-CN" w:bidi="ar"/>
              </w:rPr>
              <w:t>2</w:t>
            </w:r>
            <w:r>
              <w:rPr>
                <w:rFonts w:eastAsia="等线"/>
                <w:sz w:val="18"/>
                <w:szCs w:val="18"/>
              </w:rPr>
              <w:t>t/a</w:t>
            </w:r>
          </w:p>
        </w:tc>
      </w:tr>
      <w:tr w14:paraId="283B8E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369" w:type="pct"/>
            <w:vMerge w:val="continue"/>
            <w:vAlign w:val="center"/>
          </w:tcPr>
          <w:p w14:paraId="758198B0">
            <w:pPr>
              <w:pStyle w:val="55"/>
              <w:spacing w:beforeLines="0" w:afterLines="0" w:line="240" w:lineRule="auto"/>
              <w:rPr>
                <w:rFonts w:ascii="Times New Roman"/>
                <w:snapToGrid w:val="0"/>
                <w:kern w:val="21"/>
                <w:sz w:val="18"/>
                <w:szCs w:val="18"/>
              </w:rPr>
            </w:pPr>
          </w:p>
        </w:tc>
        <w:tc>
          <w:tcPr>
            <w:tcW w:w="813" w:type="pct"/>
            <w:vAlign w:val="center"/>
          </w:tcPr>
          <w:p w14:paraId="58FA418B">
            <w:pPr>
              <w:widowControl/>
              <w:adjustRightInd w:val="0"/>
              <w:snapToGrid w:val="0"/>
              <w:jc w:val="center"/>
              <w:rPr>
                <w:sz w:val="18"/>
                <w:szCs w:val="18"/>
              </w:rPr>
            </w:pPr>
            <w:r>
              <w:rPr>
                <w:rFonts w:hint="eastAsia"/>
                <w:sz w:val="18"/>
                <w:szCs w:val="18"/>
              </w:rPr>
              <w:t>甲醇</w:t>
            </w:r>
            <w:r>
              <w:rPr>
                <w:snapToGrid w:val="0"/>
                <w:kern w:val="21"/>
                <w:sz w:val="18"/>
                <w:szCs w:val="18"/>
              </w:rPr>
              <w:t>（有组织）</w:t>
            </w:r>
          </w:p>
        </w:tc>
        <w:tc>
          <w:tcPr>
            <w:tcW w:w="510" w:type="pct"/>
            <w:vAlign w:val="center"/>
          </w:tcPr>
          <w:p w14:paraId="13B14B6A">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458" w:type="pct"/>
            <w:vAlign w:val="center"/>
          </w:tcPr>
          <w:p w14:paraId="13A6D3CA">
            <w:pPr>
              <w:pStyle w:val="55"/>
              <w:spacing w:beforeLines="0" w:afterLines="0" w:line="240" w:lineRule="auto"/>
              <w:rPr>
                <w:rFonts w:ascii="Times New Roman" w:eastAsia="等线"/>
                <w:snapToGrid w:val="0"/>
                <w:kern w:val="21"/>
                <w:sz w:val="18"/>
                <w:szCs w:val="18"/>
              </w:rPr>
            </w:pPr>
            <w:r>
              <w:rPr>
                <w:rFonts w:ascii="Times New Roman"/>
                <w:snapToGrid w:val="0"/>
                <w:kern w:val="21"/>
                <w:sz w:val="18"/>
                <w:szCs w:val="18"/>
              </w:rPr>
              <w:t>/</w:t>
            </w:r>
          </w:p>
        </w:tc>
        <w:tc>
          <w:tcPr>
            <w:tcW w:w="561" w:type="pct"/>
            <w:vAlign w:val="center"/>
          </w:tcPr>
          <w:p w14:paraId="02179B4B">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561" w:type="pct"/>
            <w:vAlign w:val="center"/>
          </w:tcPr>
          <w:p w14:paraId="5EAD347B">
            <w:pPr>
              <w:widowControl/>
              <w:jc w:val="center"/>
              <w:textAlignment w:val="center"/>
              <w:rPr>
                <w:sz w:val="18"/>
                <w:szCs w:val="18"/>
              </w:rPr>
            </w:pPr>
            <w:r>
              <w:rPr>
                <w:kern w:val="0"/>
                <w:sz w:val="18"/>
                <w:szCs w:val="18"/>
                <w:lang w:bidi="ar"/>
              </w:rPr>
              <w:t>0.0</w:t>
            </w:r>
            <w:r>
              <w:rPr>
                <w:rFonts w:hint="eastAsia"/>
                <w:kern w:val="0"/>
                <w:sz w:val="18"/>
                <w:szCs w:val="18"/>
                <w:lang w:val="en-US" w:eastAsia="zh-CN" w:bidi="ar"/>
              </w:rPr>
              <w:t>094</w:t>
            </w:r>
            <w:r>
              <w:rPr>
                <w:rFonts w:eastAsia="等线"/>
                <w:sz w:val="18"/>
                <w:szCs w:val="18"/>
              </w:rPr>
              <w:t>t/a</w:t>
            </w:r>
          </w:p>
        </w:tc>
        <w:tc>
          <w:tcPr>
            <w:tcW w:w="562" w:type="pct"/>
            <w:vAlign w:val="center"/>
          </w:tcPr>
          <w:p w14:paraId="35C34148">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612" w:type="pct"/>
            <w:vAlign w:val="center"/>
          </w:tcPr>
          <w:p w14:paraId="1EAC3589">
            <w:pPr>
              <w:widowControl/>
              <w:jc w:val="center"/>
              <w:textAlignment w:val="center"/>
              <w:rPr>
                <w:sz w:val="18"/>
                <w:szCs w:val="18"/>
              </w:rPr>
            </w:pPr>
            <w:r>
              <w:rPr>
                <w:kern w:val="0"/>
                <w:sz w:val="18"/>
                <w:szCs w:val="18"/>
                <w:lang w:bidi="ar"/>
              </w:rPr>
              <w:t>0.0</w:t>
            </w:r>
            <w:r>
              <w:rPr>
                <w:rFonts w:hint="eastAsia"/>
                <w:kern w:val="0"/>
                <w:sz w:val="18"/>
                <w:szCs w:val="18"/>
                <w:lang w:val="en-US" w:eastAsia="zh-CN" w:bidi="ar"/>
              </w:rPr>
              <w:t>094</w:t>
            </w:r>
            <w:r>
              <w:rPr>
                <w:rFonts w:eastAsia="等线"/>
                <w:sz w:val="18"/>
                <w:szCs w:val="18"/>
              </w:rPr>
              <w:t>t/a</w:t>
            </w:r>
          </w:p>
        </w:tc>
        <w:tc>
          <w:tcPr>
            <w:tcW w:w="551" w:type="pct"/>
            <w:vAlign w:val="center"/>
          </w:tcPr>
          <w:p w14:paraId="4F8E7C18">
            <w:pPr>
              <w:widowControl/>
              <w:jc w:val="center"/>
              <w:textAlignment w:val="center"/>
              <w:rPr>
                <w:sz w:val="18"/>
                <w:szCs w:val="18"/>
              </w:rPr>
            </w:pPr>
            <w:r>
              <w:rPr>
                <w:rFonts w:hint="eastAsia"/>
                <w:kern w:val="0"/>
                <w:sz w:val="18"/>
                <w:szCs w:val="18"/>
                <w:lang w:bidi="ar"/>
              </w:rPr>
              <w:t>+</w:t>
            </w:r>
            <w:r>
              <w:rPr>
                <w:kern w:val="0"/>
                <w:sz w:val="18"/>
                <w:szCs w:val="18"/>
                <w:lang w:bidi="ar"/>
              </w:rPr>
              <w:t>0.0</w:t>
            </w:r>
            <w:r>
              <w:rPr>
                <w:rFonts w:hint="eastAsia"/>
                <w:kern w:val="0"/>
                <w:sz w:val="18"/>
                <w:szCs w:val="18"/>
                <w:lang w:val="en-US" w:eastAsia="zh-CN" w:bidi="ar"/>
              </w:rPr>
              <w:t>094</w:t>
            </w:r>
            <w:r>
              <w:rPr>
                <w:rFonts w:eastAsia="等线"/>
                <w:sz w:val="18"/>
                <w:szCs w:val="18"/>
              </w:rPr>
              <w:t>t/a</w:t>
            </w:r>
          </w:p>
        </w:tc>
      </w:tr>
      <w:tr w14:paraId="69216A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369" w:type="pct"/>
            <w:vMerge w:val="continue"/>
            <w:vAlign w:val="center"/>
          </w:tcPr>
          <w:p w14:paraId="4A055987">
            <w:pPr>
              <w:pStyle w:val="55"/>
              <w:spacing w:beforeLines="0" w:afterLines="0" w:line="240" w:lineRule="auto"/>
              <w:rPr>
                <w:rFonts w:ascii="Times New Roman"/>
                <w:snapToGrid w:val="0"/>
                <w:kern w:val="21"/>
                <w:sz w:val="18"/>
                <w:szCs w:val="18"/>
              </w:rPr>
            </w:pPr>
          </w:p>
        </w:tc>
        <w:tc>
          <w:tcPr>
            <w:tcW w:w="813" w:type="pct"/>
            <w:vAlign w:val="center"/>
          </w:tcPr>
          <w:p w14:paraId="4A4879FE">
            <w:pPr>
              <w:widowControl/>
              <w:adjustRightInd w:val="0"/>
              <w:snapToGrid w:val="0"/>
              <w:jc w:val="center"/>
              <w:rPr>
                <w:sz w:val="18"/>
                <w:szCs w:val="18"/>
              </w:rPr>
            </w:pPr>
            <w:r>
              <w:rPr>
                <w:rFonts w:hint="eastAsia"/>
                <w:sz w:val="18"/>
                <w:szCs w:val="18"/>
              </w:rPr>
              <w:t>氨气</w:t>
            </w:r>
            <w:r>
              <w:rPr>
                <w:snapToGrid w:val="0"/>
                <w:kern w:val="21"/>
                <w:sz w:val="18"/>
                <w:szCs w:val="18"/>
              </w:rPr>
              <w:t>（有组织）</w:t>
            </w:r>
          </w:p>
        </w:tc>
        <w:tc>
          <w:tcPr>
            <w:tcW w:w="510" w:type="pct"/>
            <w:vAlign w:val="center"/>
          </w:tcPr>
          <w:p w14:paraId="597CD8F8">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458" w:type="pct"/>
            <w:vAlign w:val="center"/>
          </w:tcPr>
          <w:p w14:paraId="259C77D0">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561" w:type="pct"/>
            <w:vAlign w:val="center"/>
          </w:tcPr>
          <w:p w14:paraId="7EAD389B">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561" w:type="pct"/>
            <w:vAlign w:val="center"/>
          </w:tcPr>
          <w:p w14:paraId="56618E8A">
            <w:pPr>
              <w:widowControl/>
              <w:jc w:val="center"/>
              <w:textAlignment w:val="center"/>
              <w:rPr>
                <w:sz w:val="18"/>
                <w:szCs w:val="18"/>
              </w:rPr>
            </w:pPr>
            <w:r>
              <w:rPr>
                <w:kern w:val="0"/>
                <w:sz w:val="18"/>
                <w:szCs w:val="18"/>
                <w:lang w:bidi="ar"/>
              </w:rPr>
              <w:t>0.00</w:t>
            </w:r>
            <w:r>
              <w:rPr>
                <w:rFonts w:hint="eastAsia"/>
                <w:kern w:val="0"/>
                <w:sz w:val="18"/>
                <w:szCs w:val="18"/>
                <w:lang w:val="en-US" w:eastAsia="zh-CN" w:bidi="ar"/>
              </w:rPr>
              <w:t>33</w:t>
            </w:r>
            <w:r>
              <w:rPr>
                <w:rFonts w:eastAsia="等线"/>
                <w:sz w:val="18"/>
                <w:szCs w:val="18"/>
              </w:rPr>
              <w:t>t/a</w:t>
            </w:r>
          </w:p>
        </w:tc>
        <w:tc>
          <w:tcPr>
            <w:tcW w:w="562" w:type="pct"/>
            <w:vAlign w:val="center"/>
          </w:tcPr>
          <w:p w14:paraId="77A62443">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612" w:type="pct"/>
            <w:vAlign w:val="center"/>
          </w:tcPr>
          <w:p w14:paraId="3BCA2044">
            <w:pPr>
              <w:widowControl/>
              <w:jc w:val="center"/>
              <w:textAlignment w:val="center"/>
              <w:rPr>
                <w:sz w:val="18"/>
                <w:szCs w:val="18"/>
              </w:rPr>
            </w:pPr>
            <w:r>
              <w:rPr>
                <w:kern w:val="0"/>
                <w:sz w:val="18"/>
                <w:szCs w:val="18"/>
                <w:lang w:bidi="ar"/>
              </w:rPr>
              <w:t>0.00</w:t>
            </w:r>
            <w:r>
              <w:rPr>
                <w:rFonts w:hint="eastAsia"/>
                <w:kern w:val="0"/>
                <w:sz w:val="18"/>
                <w:szCs w:val="18"/>
                <w:lang w:val="en-US" w:eastAsia="zh-CN" w:bidi="ar"/>
              </w:rPr>
              <w:t>33</w:t>
            </w:r>
            <w:r>
              <w:rPr>
                <w:rFonts w:eastAsia="等线"/>
                <w:sz w:val="18"/>
                <w:szCs w:val="18"/>
              </w:rPr>
              <w:t>t/a</w:t>
            </w:r>
          </w:p>
        </w:tc>
        <w:tc>
          <w:tcPr>
            <w:tcW w:w="551" w:type="pct"/>
            <w:vAlign w:val="center"/>
          </w:tcPr>
          <w:p w14:paraId="5444A958">
            <w:pPr>
              <w:widowControl/>
              <w:jc w:val="center"/>
              <w:textAlignment w:val="center"/>
              <w:rPr>
                <w:sz w:val="18"/>
                <w:szCs w:val="18"/>
              </w:rPr>
            </w:pPr>
            <w:r>
              <w:rPr>
                <w:rFonts w:hint="eastAsia"/>
                <w:kern w:val="0"/>
                <w:sz w:val="18"/>
                <w:szCs w:val="18"/>
                <w:lang w:bidi="ar"/>
              </w:rPr>
              <w:t>+</w:t>
            </w:r>
            <w:r>
              <w:rPr>
                <w:kern w:val="0"/>
                <w:sz w:val="18"/>
                <w:szCs w:val="18"/>
                <w:lang w:bidi="ar"/>
              </w:rPr>
              <w:t>0.00</w:t>
            </w:r>
            <w:r>
              <w:rPr>
                <w:rFonts w:hint="eastAsia"/>
                <w:kern w:val="0"/>
                <w:sz w:val="18"/>
                <w:szCs w:val="18"/>
                <w:lang w:val="en-US" w:eastAsia="zh-CN" w:bidi="ar"/>
              </w:rPr>
              <w:t>33</w:t>
            </w:r>
            <w:r>
              <w:rPr>
                <w:rFonts w:eastAsia="等线"/>
                <w:sz w:val="18"/>
                <w:szCs w:val="18"/>
              </w:rPr>
              <w:t>t/a</w:t>
            </w:r>
          </w:p>
        </w:tc>
      </w:tr>
      <w:tr w14:paraId="7693B0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369" w:type="pct"/>
            <w:vMerge w:val="continue"/>
            <w:vAlign w:val="center"/>
          </w:tcPr>
          <w:p w14:paraId="41F574C3">
            <w:pPr>
              <w:pStyle w:val="55"/>
              <w:spacing w:beforeLines="0" w:afterLines="0" w:line="240" w:lineRule="auto"/>
              <w:rPr>
                <w:rFonts w:ascii="Times New Roman"/>
                <w:snapToGrid w:val="0"/>
                <w:kern w:val="21"/>
                <w:sz w:val="18"/>
                <w:szCs w:val="18"/>
              </w:rPr>
            </w:pPr>
          </w:p>
        </w:tc>
        <w:tc>
          <w:tcPr>
            <w:tcW w:w="813" w:type="pct"/>
            <w:vAlign w:val="center"/>
          </w:tcPr>
          <w:p w14:paraId="008D2513">
            <w:pPr>
              <w:widowControl/>
              <w:adjustRightInd w:val="0"/>
              <w:snapToGrid w:val="0"/>
              <w:jc w:val="center"/>
              <w:rPr>
                <w:sz w:val="18"/>
                <w:szCs w:val="18"/>
              </w:rPr>
            </w:pPr>
            <w:r>
              <w:rPr>
                <w:rFonts w:hint="eastAsia"/>
                <w:sz w:val="18"/>
                <w:szCs w:val="18"/>
              </w:rPr>
              <w:t>非甲烷总烃（无组织）</w:t>
            </w:r>
          </w:p>
        </w:tc>
        <w:tc>
          <w:tcPr>
            <w:tcW w:w="510" w:type="pct"/>
            <w:vAlign w:val="center"/>
          </w:tcPr>
          <w:p w14:paraId="41D40146">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458" w:type="pct"/>
            <w:vAlign w:val="center"/>
          </w:tcPr>
          <w:p w14:paraId="7D41BD2F">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561" w:type="pct"/>
            <w:vAlign w:val="center"/>
          </w:tcPr>
          <w:p w14:paraId="5E03A8D0">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561" w:type="pct"/>
            <w:vAlign w:val="center"/>
          </w:tcPr>
          <w:p w14:paraId="4D700D67">
            <w:pPr>
              <w:widowControl/>
              <w:jc w:val="center"/>
              <w:rPr>
                <w:kern w:val="0"/>
                <w:sz w:val="18"/>
                <w:szCs w:val="18"/>
              </w:rPr>
            </w:pPr>
            <w:r>
              <w:rPr>
                <w:rFonts w:hint="eastAsia"/>
                <w:kern w:val="0"/>
                <w:sz w:val="18"/>
                <w:szCs w:val="18"/>
              </w:rPr>
              <w:t>0.0078</w:t>
            </w:r>
            <w:r>
              <w:rPr>
                <w:rFonts w:eastAsia="等线"/>
                <w:sz w:val="18"/>
                <w:szCs w:val="18"/>
              </w:rPr>
              <w:t>t/a</w:t>
            </w:r>
          </w:p>
        </w:tc>
        <w:tc>
          <w:tcPr>
            <w:tcW w:w="562" w:type="pct"/>
            <w:vAlign w:val="center"/>
          </w:tcPr>
          <w:p w14:paraId="5EBEFA17">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612" w:type="pct"/>
            <w:vAlign w:val="center"/>
          </w:tcPr>
          <w:p w14:paraId="5F8D1DBE">
            <w:pPr>
              <w:widowControl/>
              <w:jc w:val="center"/>
              <w:rPr>
                <w:kern w:val="0"/>
                <w:sz w:val="18"/>
                <w:szCs w:val="18"/>
              </w:rPr>
            </w:pPr>
            <w:r>
              <w:rPr>
                <w:rFonts w:hint="eastAsia"/>
                <w:kern w:val="0"/>
                <w:sz w:val="18"/>
                <w:szCs w:val="18"/>
              </w:rPr>
              <w:t>0.0078</w:t>
            </w:r>
            <w:r>
              <w:rPr>
                <w:rFonts w:eastAsia="等线"/>
                <w:sz w:val="18"/>
                <w:szCs w:val="18"/>
              </w:rPr>
              <w:t>t/a</w:t>
            </w:r>
          </w:p>
        </w:tc>
        <w:tc>
          <w:tcPr>
            <w:tcW w:w="551" w:type="pct"/>
            <w:vAlign w:val="center"/>
          </w:tcPr>
          <w:p w14:paraId="43BAF69D">
            <w:pPr>
              <w:widowControl/>
              <w:jc w:val="center"/>
              <w:rPr>
                <w:kern w:val="0"/>
                <w:sz w:val="18"/>
                <w:szCs w:val="18"/>
              </w:rPr>
            </w:pPr>
            <w:r>
              <w:rPr>
                <w:rFonts w:hint="eastAsia"/>
                <w:kern w:val="0"/>
                <w:sz w:val="18"/>
                <w:szCs w:val="18"/>
              </w:rPr>
              <w:t>+0.0078</w:t>
            </w:r>
            <w:r>
              <w:rPr>
                <w:rFonts w:eastAsia="等线"/>
                <w:sz w:val="18"/>
                <w:szCs w:val="18"/>
              </w:rPr>
              <w:t>t/a</w:t>
            </w:r>
          </w:p>
        </w:tc>
      </w:tr>
      <w:tr w14:paraId="13145F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369" w:type="pct"/>
            <w:vMerge w:val="continue"/>
            <w:vAlign w:val="center"/>
          </w:tcPr>
          <w:p w14:paraId="7A1FF331">
            <w:pPr>
              <w:pStyle w:val="55"/>
              <w:spacing w:beforeLines="0" w:afterLines="0" w:line="240" w:lineRule="auto"/>
              <w:rPr>
                <w:rFonts w:ascii="Times New Roman"/>
                <w:snapToGrid w:val="0"/>
                <w:kern w:val="21"/>
                <w:sz w:val="18"/>
                <w:szCs w:val="18"/>
              </w:rPr>
            </w:pPr>
          </w:p>
        </w:tc>
        <w:tc>
          <w:tcPr>
            <w:tcW w:w="813" w:type="pct"/>
            <w:vAlign w:val="center"/>
          </w:tcPr>
          <w:p w14:paraId="624E87E8">
            <w:pPr>
              <w:widowControl/>
              <w:adjustRightInd w:val="0"/>
              <w:snapToGrid w:val="0"/>
              <w:jc w:val="center"/>
              <w:rPr>
                <w:sz w:val="18"/>
                <w:szCs w:val="18"/>
              </w:rPr>
            </w:pPr>
            <w:r>
              <w:rPr>
                <w:rFonts w:hint="eastAsia"/>
                <w:sz w:val="18"/>
                <w:szCs w:val="18"/>
              </w:rPr>
              <w:t>二甲苯（无组织）</w:t>
            </w:r>
          </w:p>
        </w:tc>
        <w:tc>
          <w:tcPr>
            <w:tcW w:w="510" w:type="pct"/>
            <w:vAlign w:val="center"/>
          </w:tcPr>
          <w:p w14:paraId="28D454AD">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458" w:type="pct"/>
            <w:vAlign w:val="center"/>
          </w:tcPr>
          <w:p w14:paraId="1F5ECD51">
            <w:pPr>
              <w:pStyle w:val="55"/>
              <w:spacing w:beforeLines="0" w:afterLines="0" w:line="240" w:lineRule="auto"/>
              <w:rPr>
                <w:rFonts w:ascii="Times New Roman" w:eastAsia="等线"/>
                <w:snapToGrid w:val="0"/>
                <w:kern w:val="21"/>
                <w:sz w:val="18"/>
                <w:szCs w:val="18"/>
              </w:rPr>
            </w:pPr>
            <w:r>
              <w:rPr>
                <w:rFonts w:ascii="Times New Roman"/>
                <w:snapToGrid w:val="0"/>
                <w:kern w:val="21"/>
                <w:sz w:val="18"/>
                <w:szCs w:val="18"/>
              </w:rPr>
              <w:t>/</w:t>
            </w:r>
          </w:p>
        </w:tc>
        <w:tc>
          <w:tcPr>
            <w:tcW w:w="561" w:type="pct"/>
            <w:vAlign w:val="center"/>
          </w:tcPr>
          <w:p w14:paraId="1B5D7BDE">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561" w:type="pct"/>
            <w:vAlign w:val="center"/>
          </w:tcPr>
          <w:p w14:paraId="3D739B40">
            <w:pPr>
              <w:widowControl/>
              <w:jc w:val="center"/>
              <w:rPr>
                <w:kern w:val="0"/>
                <w:sz w:val="18"/>
                <w:szCs w:val="18"/>
              </w:rPr>
            </w:pPr>
            <w:r>
              <w:rPr>
                <w:rFonts w:hint="eastAsia"/>
                <w:kern w:val="0"/>
                <w:sz w:val="18"/>
                <w:szCs w:val="18"/>
              </w:rPr>
              <w:t>0.0001</w:t>
            </w:r>
            <w:r>
              <w:rPr>
                <w:rFonts w:eastAsia="等线"/>
                <w:sz w:val="18"/>
                <w:szCs w:val="18"/>
              </w:rPr>
              <w:t>t/a</w:t>
            </w:r>
          </w:p>
        </w:tc>
        <w:tc>
          <w:tcPr>
            <w:tcW w:w="562" w:type="pct"/>
            <w:vAlign w:val="center"/>
          </w:tcPr>
          <w:p w14:paraId="33F6A6C8">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612" w:type="pct"/>
            <w:vAlign w:val="center"/>
          </w:tcPr>
          <w:p w14:paraId="018134B4">
            <w:pPr>
              <w:widowControl/>
              <w:jc w:val="center"/>
              <w:rPr>
                <w:kern w:val="0"/>
                <w:sz w:val="18"/>
                <w:szCs w:val="18"/>
              </w:rPr>
            </w:pPr>
            <w:r>
              <w:rPr>
                <w:rFonts w:hint="eastAsia"/>
                <w:kern w:val="0"/>
                <w:sz w:val="18"/>
                <w:szCs w:val="18"/>
              </w:rPr>
              <w:t>0.0001</w:t>
            </w:r>
            <w:r>
              <w:rPr>
                <w:rFonts w:eastAsia="等线"/>
                <w:sz w:val="18"/>
                <w:szCs w:val="18"/>
              </w:rPr>
              <w:t>t/a</w:t>
            </w:r>
          </w:p>
        </w:tc>
        <w:tc>
          <w:tcPr>
            <w:tcW w:w="551" w:type="pct"/>
            <w:vAlign w:val="center"/>
          </w:tcPr>
          <w:p w14:paraId="3A6F72EA">
            <w:pPr>
              <w:widowControl/>
              <w:jc w:val="center"/>
              <w:rPr>
                <w:kern w:val="0"/>
                <w:sz w:val="18"/>
                <w:szCs w:val="18"/>
              </w:rPr>
            </w:pPr>
            <w:r>
              <w:rPr>
                <w:rFonts w:hint="eastAsia"/>
                <w:kern w:val="0"/>
                <w:sz w:val="18"/>
                <w:szCs w:val="18"/>
              </w:rPr>
              <w:t>+0.0001</w:t>
            </w:r>
            <w:r>
              <w:rPr>
                <w:rFonts w:eastAsia="等线"/>
                <w:sz w:val="18"/>
                <w:szCs w:val="18"/>
              </w:rPr>
              <w:t>t/a</w:t>
            </w:r>
          </w:p>
        </w:tc>
      </w:tr>
      <w:tr w14:paraId="65E27C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369" w:type="pct"/>
            <w:vMerge w:val="continue"/>
            <w:vAlign w:val="center"/>
          </w:tcPr>
          <w:p w14:paraId="4D288A05">
            <w:pPr>
              <w:pStyle w:val="55"/>
              <w:spacing w:beforeLines="0" w:afterLines="0" w:line="240" w:lineRule="auto"/>
              <w:rPr>
                <w:rFonts w:ascii="Times New Roman"/>
                <w:snapToGrid w:val="0"/>
                <w:kern w:val="21"/>
                <w:sz w:val="18"/>
                <w:szCs w:val="18"/>
              </w:rPr>
            </w:pPr>
          </w:p>
        </w:tc>
        <w:tc>
          <w:tcPr>
            <w:tcW w:w="813" w:type="pct"/>
            <w:vAlign w:val="center"/>
          </w:tcPr>
          <w:p w14:paraId="039F0CD5">
            <w:pPr>
              <w:widowControl/>
              <w:adjustRightInd w:val="0"/>
              <w:snapToGrid w:val="0"/>
              <w:jc w:val="center"/>
              <w:rPr>
                <w:sz w:val="18"/>
                <w:szCs w:val="18"/>
              </w:rPr>
            </w:pPr>
            <w:r>
              <w:rPr>
                <w:rFonts w:hint="eastAsia"/>
                <w:sz w:val="18"/>
                <w:szCs w:val="18"/>
              </w:rPr>
              <w:t>甲醇（无组织）</w:t>
            </w:r>
          </w:p>
        </w:tc>
        <w:tc>
          <w:tcPr>
            <w:tcW w:w="510" w:type="pct"/>
            <w:vAlign w:val="center"/>
          </w:tcPr>
          <w:p w14:paraId="07BC0A4B">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458" w:type="pct"/>
            <w:vAlign w:val="center"/>
          </w:tcPr>
          <w:p w14:paraId="53E39A97">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561" w:type="pct"/>
            <w:vAlign w:val="center"/>
          </w:tcPr>
          <w:p w14:paraId="5DAE674C">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561" w:type="pct"/>
            <w:vAlign w:val="center"/>
          </w:tcPr>
          <w:p w14:paraId="06BDC3A7">
            <w:pPr>
              <w:widowControl/>
              <w:jc w:val="center"/>
              <w:rPr>
                <w:kern w:val="0"/>
                <w:sz w:val="18"/>
                <w:szCs w:val="18"/>
              </w:rPr>
            </w:pPr>
            <w:r>
              <w:rPr>
                <w:rFonts w:hint="eastAsia"/>
                <w:kern w:val="0"/>
                <w:sz w:val="18"/>
                <w:szCs w:val="18"/>
              </w:rPr>
              <w:t>0.0052</w:t>
            </w:r>
            <w:r>
              <w:rPr>
                <w:rFonts w:eastAsia="等线"/>
                <w:sz w:val="18"/>
                <w:szCs w:val="18"/>
              </w:rPr>
              <w:t>t/a</w:t>
            </w:r>
          </w:p>
        </w:tc>
        <w:tc>
          <w:tcPr>
            <w:tcW w:w="562" w:type="pct"/>
            <w:vAlign w:val="center"/>
          </w:tcPr>
          <w:p w14:paraId="39078681">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612" w:type="pct"/>
            <w:vAlign w:val="center"/>
          </w:tcPr>
          <w:p w14:paraId="70BFDC7A">
            <w:pPr>
              <w:widowControl/>
              <w:jc w:val="center"/>
              <w:rPr>
                <w:kern w:val="0"/>
                <w:sz w:val="18"/>
                <w:szCs w:val="18"/>
              </w:rPr>
            </w:pPr>
            <w:r>
              <w:rPr>
                <w:rFonts w:hint="eastAsia"/>
                <w:kern w:val="0"/>
                <w:sz w:val="18"/>
                <w:szCs w:val="18"/>
              </w:rPr>
              <w:t>0.0052</w:t>
            </w:r>
            <w:r>
              <w:rPr>
                <w:rFonts w:eastAsia="等线"/>
                <w:sz w:val="18"/>
                <w:szCs w:val="18"/>
              </w:rPr>
              <w:t>t/a</w:t>
            </w:r>
          </w:p>
        </w:tc>
        <w:tc>
          <w:tcPr>
            <w:tcW w:w="551" w:type="pct"/>
            <w:vAlign w:val="center"/>
          </w:tcPr>
          <w:p w14:paraId="0B7A1774">
            <w:pPr>
              <w:widowControl/>
              <w:jc w:val="center"/>
              <w:rPr>
                <w:kern w:val="0"/>
                <w:sz w:val="18"/>
                <w:szCs w:val="18"/>
              </w:rPr>
            </w:pPr>
            <w:r>
              <w:rPr>
                <w:rFonts w:hint="eastAsia"/>
                <w:kern w:val="0"/>
                <w:sz w:val="18"/>
                <w:szCs w:val="18"/>
              </w:rPr>
              <w:t>+0.0052</w:t>
            </w:r>
            <w:r>
              <w:rPr>
                <w:rFonts w:eastAsia="等线"/>
                <w:sz w:val="18"/>
                <w:szCs w:val="18"/>
              </w:rPr>
              <w:t>t/a</w:t>
            </w:r>
          </w:p>
        </w:tc>
      </w:tr>
      <w:tr w14:paraId="4A06CA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369" w:type="pct"/>
            <w:vMerge w:val="continue"/>
            <w:vAlign w:val="center"/>
          </w:tcPr>
          <w:p w14:paraId="0994E23A">
            <w:pPr>
              <w:pStyle w:val="55"/>
              <w:spacing w:beforeLines="0" w:afterLines="0" w:line="240" w:lineRule="auto"/>
              <w:rPr>
                <w:rFonts w:ascii="Times New Roman"/>
                <w:snapToGrid w:val="0"/>
                <w:kern w:val="21"/>
                <w:sz w:val="18"/>
                <w:szCs w:val="18"/>
              </w:rPr>
            </w:pPr>
          </w:p>
        </w:tc>
        <w:tc>
          <w:tcPr>
            <w:tcW w:w="813" w:type="pct"/>
            <w:vAlign w:val="center"/>
          </w:tcPr>
          <w:p w14:paraId="2FB77914">
            <w:pPr>
              <w:widowControl/>
              <w:adjustRightInd w:val="0"/>
              <w:snapToGrid w:val="0"/>
              <w:jc w:val="center"/>
              <w:rPr>
                <w:sz w:val="18"/>
                <w:szCs w:val="18"/>
              </w:rPr>
            </w:pPr>
            <w:r>
              <w:rPr>
                <w:rFonts w:hint="eastAsia"/>
                <w:sz w:val="18"/>
                <w:szCs w:val="18"/>
              </w:rPr>
              <w:t>氨气（无组织）</w:t>
            </w:r>
          </w:p>
        </w:tc>
        <w:tc>
          <w:tcPr>
            <w:tcW w:w="510" w:type="pct"/>
            <w:vAlign w:val="center"/>
          </w:tcPr>
          <w:p w14:paraId="2CACBBF9">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458" w:type="pct"/>
            <w:vAlign w:val="center"/>
          </w:tcPr>
          <w:p w14:paraId="79B412C6">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561" w:type="pct"/>
            <w:vAlign w:val="center"/>
          </w:tcPr>
          <w:p w14:paraId="0C413589">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561" w:type="pct"/>
            <w:vAlign w:val="center"/>
          </w:tcPr>
          <w:p w14:paraId="3CAF8922">
            <w:pPr>
              <w:widowControl/>
              <w:jc w:val="center"/>
              <w:rPr>
                <w:kern w:val="0"/>
                <w:sz w:val="18"/>
                <w:szCs w:val="18"/>
              </w:rPr>
            </w:pPr>
            <w:r>
              <w:rPr>
                <w:rFonts w:hint="eastAsia"/>
                <w:kern w:val="0"/>
                <w:sz w:val="18"/>
                <w:szCs w:val="18"/>
              </w:rPr>
              <w:t>0.0018</w:t>
            </w:r>
            <w:r>
              <w:rPr>
                <w:rFonts w:eastAsia="等线"/>
                <w:sz w:val="18"/>
                <w:szCs w:val="18"/>
              </w:rPr>
              <w:t>t/a</w:t>
            </w:r>
          </w:p>
        </w:tc>
        <w:tc>
          <w:tcPr>
            <w:tcW w:w="562" w:type="pct"/>
            <w:vAlign w:val="center"/>
          </w:tcPr>
          <w:p w14:paraId="352CB851">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612" w:type="pct"/>
            <w:vAlign w:val="center"/>
          </w:tcPr>
          <w:p w14:paraId="0FA7C289">
            <w:pPr>
              <w:widowControl/>
              <w:jc w:val="center"/>
              <w:rPr>
                <w:kern w:val="0"/>
                <w:sz w:val="18"/>
                <w:szCs w:val="18"/>
              </w:rPr>
            </w:pPr>
            <w:r>
              <w:rPr>
                <w:rFonts w:hint="eastAsia"/>
                <w:kern w:val="0"/>
                <w:sz w:val="18"/>
                <w:szCs w:val="18"/>
              </w:rPr>
              <w:t>0.0018</w:t>
            </w:r>
            <w:r>
              <w:rPr>
                <w:rFonts w:eastAsia="等线"/>
                <w:sz w:val="18"/>
                <w:szCs w:val="18"/>
              </w:rPr>
              <w:t>t/a</w:t>
            </w:r>
          </w:p>
        </w:tc>
        <w:tc>
          <w:tcPr>
            <w:tcW w:w="551" w:type="pct"/>
            <w:vAlign w:val="center"/>
          </w:tcPr>
          <w:p w14:paraId="31DEC3B5">
            <w:pPr>
              <w:widowControl/>
              <w:jc w:val="center"/>
              <w:rPr>
                <w:kern w:val="0"/>
                <w:sz w:val="18"/>
                <w:szCs w:val="18"/>
              </w:rPr>
            </w:pPr>
            <w:r>
              <w:rPr>
                <w:rFonts w:hint="eastAsia"/>
                <w:kern w:val="0"/>
                <w:sz w:val="18"/>
                <w:szCs w:val="18"/>
              </w:rPr>
              <w:t>+0.0018</w:t>
            </w:r>
            <w:r>
              <w:rPr>
                <w:rFonts w:eastAsia="等线"/>
                <w:sz w:val="18"/>
                <w:szCs w:val="18"/>
              </w:rPr>
              <w:t>t/a</w:t>
            </w:r>
          </w:p>
        </w:tc>
      </w:tr>
      <w:tr w14:paraId="3D441C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369" w:type="pct"/>
            <w:vMerge w:val="restart"/>
            <w:vAlign w:val="center"/>
          </w:tcPr>
          <w:p w14:paraId="0197333E">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废水</w:t>
            </w:r>
          </w:p>
        </w:tc>
        <w:tc>
          <w:tcPr>
            <w:tcW w:w="813" w:type="pct"/>
            <w:vAlign w:val="center"/>
          </w:tcPr>
          <w:p w14:paraId="209574F7">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废水量</w:t>
            </w:r>
          </w:p>
        </w:tc>
        <w:tc>
          <w:tcPr>
            <w:tcW w:w="510" w:type="pct"/>
            <w:vAlign w:val="center"/>
          </w:tcPr>
          <w:p w14:paraId="20B4FE5A">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458" w:type="pct"/>
            <w:vAlign w:val="center"/>
          </w:tcPr>
          <w:p w14:paraId="5A8E80C6">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561" w:type="pct"/>
            <w:vAlign w:val="center"/>
          </w:tcPr>
          <w:p w14:paraId="27EF055C">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561" w:type="pct"/>
            <w:vAlign w:val="center"/>
          </w:tcPr>
          <w:p w14:paraId="17AD58EA">
            <w:pPr>
              <w:pStyle w:val="55"/>
              <w:spacing w:beforeLines="0" w:afterLines="0" w:line="240" w:lineRule="auto"/>
              <w:rPr>
                <w:rFonts w:ascii="Times New Roman"/>
                <w:snapToGrid w:val="0"/>
                <w:kern w:val="21"/>
                <w:sz w:val="18"/>
                <w:szCs w:val="18"/>
              </w:rPr>
            </w:pPr>
            <w:r>
              <w:rPr>
                <w:rFonts w:hint="eastAsia" w:ascii="Times New Roman" w:eastAsia="等线"/>
                <w:sz w:val="18"/>
                <w:szCs w:val="18"/>
              </w:rPr>
              <w:t>10</w:t>
            </w:r>
            <w:r>
              <w:rPr>
                <w:rFonts w:hint="eastAsia" w:ascii="Times New Roman" w:eastAsia="等线"/>
                <w:sz w:val="18"/>
                <w:szCs w:val="18"/>
                <w:lang w:val="en-US" w:eastAsia="zh-CN"/>
              </w:rPr>
              <w:t>6</w:t>
            </w:r>
            <w:r>
              <w:rPr>
                <w:rFonts w:ascii="Times New Roman" w:eastAsia="等线"/>
                <w:sz w:val="18"/>
                <w:szCs w:val="18"/>
              </w:rPr>
              <w:t>t/a</w:t>
            </w:r>
          </w:p>
        </w:tc>
        <w:tc>
          <w:tcPr>
            <w:tcW w:w="562" w:type="pct"/>
            <w:vAlign w:val="center"/>
          </w:tcPr>
          <w:p w14:paraId="7038CF37">
            <w:pPr>
              <w:pStyle w:val="55"/>
              <w:spacing w:beforeLines="0" w:afterLines="0" w:line="240" w:lineRule="auto"/>
              <w:rPr>
                <w:rFonts w:ascii="Times New Roman"/>
                <w:snapToGrid w:val="0"/>
                <w:kern w:val="21"/>
                <w:sz w:val="18"/>
                <w:szCs w:val="18"/>
              </w:rPr>
            </w:pPr>
            <w:r>
              <w:rPr>
                <w:rFonts w:ascii="Times New Roman" w:eastAsia="等线"/>
                <w:sz w:val="18"/>
                <w:szCs w:val="18"/>
              </w:rPr>
              <w:t>/</w:t>
            </w:r>
          </w:p>
        </w:tc>
        <w:tc>
          <w:tcPr>
            <w:tcW w:w="612" w:type="pct"/>
            <w:vAlign w:val="center"/>
          </w:tcPr>
          <w:p w14:paraId="4E725263">
            <w:pPr>
              <w:pStyle w:val="55"/>
              <w:spacing w:beforeLines="0" w:afterLines="0" w:line="240" w:lineRule="auto"/>
              <w:rPr>
                <w:rFonts w:ascii="Times New Roman"/>
                <w:snapToGrid w:val="0"/>
                <w:kern w:val="21"/>
                <w:sz w:val="18"/>
                <w:szCs w:val="18"/>
              </w:rPr>
            </w:pPr>
            <w:r>
              <w:rPr>
                <w:rFonts w:hint="eastAsia" w:ascii="Times New Roman" w:eastAsia="等线"/>
                <w:sz w:val="18"/>
                <w:szCs w:val="18"/>
              </w:rPr>
              <w:t>10</w:t>
            </w:r>
            <w:r>
              <w:rPr>
                <w:rFonts w:hint="eastAsia" w:ascii="Times New Roman" w:eastAsia="等线"/>
                <w:sz w:val="18"/>
                <w:szCs w:val="18"/>
                <w:lang w:val="en-US" w:eastAsia="zh-CN"/>
              </w:rPr>
              <w:t>6</w:t>
            </w:r>
            <w:r>
              <w:rPr>
                <w:rFonts w:ascii="Times New Roman" w:eastAsia="等线"/>
                <w:sz w:val="18"/>
                <w:szCs w:val="18"/>
              </w:rPr>
              <w:t>t/a</w:t>
            </w:r>
          </w:p>
        </w:tc>
        <w:tc>
          <w:tcPr>
            <w:tcW w:w="551" w:type="pct"/>
            <w:vAlign w:val="center"/>
          </w:tcPr>
          <w:p w14:paraId="12CF7EE7">
            <w:pPr>
              <w:pStyle w:val="55"/>
              <w:spacing w:beforeLines="0" w:afterLines="0" w:line="240" w:lineRule="auto"/>
              <w:rPr>
                <w:rFonts w:ascii="Times New Roman"/>
                <w:snapToGrid w:val="0"/>
                <w:kern w:val="21"/>
                <w:sz w:val="18"/>
                <w:szCs w:val="18"/>
              </w:rPr>
            </w:pPr>
            <w:r>
              <w:rPr>
                <w:rFonts w:hint="eastAsia" w:ascii="Times New Roman" w:eastAsia="等线"/>
                <w:sz w:val="18"/>
                <w:szCs w:val="18"/>
              </w:rPr>
              <w:t>+10</w:t>
            </w:r>
            <w:r>
              <w:rPr>
                <w:rFonts w:hint="eastAsia" w:ascii="Times New Roman" w:eastAsia="等线"/>
                <w:sz w:val="18"/>
                <w:szCs w:val="18"/>
                <w:lang w:val="en-US" w:eastAsia="zh-CN"/>
              </w:rPr>
              <w:t>6</w:t>
            </w:r>
            <w:r>
              <w:rPr>
                <w:rFonts w:ascii="Times New Roman" w:eastAsia="等线"/>
                <w:sz w:val="18"/>
                <w:szCs w:val="18"/>
              </w:rPr>
              <w:t>t/a</w:t>
            </w:r>
          </w:p>
        </w:tc>
      </w:tr>
      <w:tr w14:paraId="1C9C49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369" w:type="pct"/>
            <w:vMerge w:val="continue"/>
            <w:vAlign w:val="center"/>
          </w:tcPr>
          <w:p w14:paraId="790E662E">
            <w:pPr>
              <w:pStyle w:val="55"/>
              <w:spacing w:beforeLines="0" w:afterLines="0" w:line="240" w:lineRule="auto"/>
              <w:rPr>
                <w:rFonts w:ascii="Times New Roman"/>
                <w:snapToGrid w:val="0"/>
                <w:kern w:val="21"/>
                <w:sz w:val="18"/>
                <w:szCs w:val="18"/>
              </w:rPr>
            </w:pPr>
          </w:p>
        </w:tc>
        <w:tc>
          <w:tcPr>
            <w:tcW w:w="813" w:type="pct"/>
            <w:vAlign w:val="center"/>
          </w:tcPr>
          <w:p w14:paraId="3872DA6A">
            <w:pPr>
              <w:pStyle w:val="55"/>
              <w:spacing w:beforeLines="0" w:afterLines="0" w:line="240" w:lineRule="auto"/>
              <w:rPr>
                <w:rFonts w:ascii="Times New Roman"/>
                <w:snapToGrid w:val="0"/>
                <w:kern w:val="21"/>
                <w:sz w:val="18"/>
                <w:szCs w:val="18"/>
              </w:rPr>
            </w:pPr>
            <w:r>
              <w:rPr>
                <w:rFonts w:ascii="Times New Roman"/>
                <w:sz w:val="18"/>
                <w:szCs w:val="18"/>
              </w:rPr>
              <w:t>COD</w:t>
            </w:r>
          </w:p>
        </w:tc>
        <w:tc>
          <w:tcPr>
            <w:tcW w:w="510" w:type="pct"/>
            <w:vAlign w:val="center"/>
          </w:tcPr>
          <w:p w14:paraId="2931D6F9">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458" w:type="pct"/>
            <w:vAlign w:val="center"/>
          </w:tcPr>
          <w:p w14:paraId="7810C65A">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561" w:type="pct"/>
            <w:vAlign w:val="center"/>
          </w:tcPr>
          <w:p w14:paraId="369657DE">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561" w:type="pct"/>
            <w:vAlign w:val="center"/>
          </w:tcPr>
          <w:p w14:paraId="40B5AC27">
            <w:pPr>
              <w:pStyle w:val="55"/>
              <w:spacing w:beforeLines="0" w:afterLines="0" w:line="240" w:lineRule="auto"/>
              <w:rPr>
                <w:rFonts w:ascii="Times New Roman"/>
                <w:snapToGrid w:val="0"/>
                <w:kern w:val="21"/>
                <w:sz w:val="18"/>
                <w:szCs w:val="18"/>
              </w:rPr>
            </w:pPr>
            <w:r>
              <w:rPr>
                <w:rFonts w:hint="eastAsia" w:ascii="Times New Roman" w:eastAsia="等线"/>
                <w:snapToGrid w:val="0"/>
                <w:kern w:val="21"/>
                <w:sz w:val="18"/>
                <w:szCs w:val="18"/>
              </w:rPr>
              <w:t>0.03</w:t>
            </w:r>
            <w:r>
              <w:rPr>
                <w:rFonts w:hint="eastAsia" w:ascii="Times New Roman" w:eastAsia="等线"/>
                <w:snapToGrid w:val="0"/>
                <w:kern w:val="21"/>
                <w:sz w:val="18"/>
                <w:szCs w:val="18"/>
                <w:lang w:val="en-US" w:eastAsia="zh-CN"/>
              </w:rPr>
              <w:t>7</w:t>
            </w:r>
            <w:r>
              <w:rPr>
                <w:rFonts w:ascii="Times New Roman" w:eastAsia="等线"/>
                <w:sz w:val="18"/>
                <w:szCs w:val="18"/>
              </w:rPr>
              <w:t xml:space="preserve"> t/a</w:t>
            </w:r>
          </w:p>
        </w:tc>
        <w:tc>
          <w:tcPr>
            <w:tcW w:w="562" w:type="pct"/>
            <w:vAlign w:val="center"/>
          </w:tcPr>
          <w:p w14:paraId="149A191B">
            <w:pPr>
              <w:pStyle w:val="55"/>
              <w:spacing w:beforeLines="0" w:afterLines="0" w:line="240" w:lineRule="auto"/>
              <w:rPr>
                <w:rFonts w:ascii="Times New Roman"/>
                <w:snapToGrid w:val="0"/>
                <w:kern w:val="21"/>
                <w:sz w:val="18"/>
                <w:szCs w:val="18"/>
              </w:rPr>
            </w:pPr>
            <w:r>
              <w:rPr>
                <w:rFonts w:ascii="Times New Roman" w:eastAsia="等线"/>
                <w:sz w:val="18"/>
                <w:szCs w:val="18"/>
              </w:rPr>
              <w:t>/</w:t>
            </w:r>
          </w:p>
        </w:tc>
        <w:tc>
          <w:tcPr>
            <w:tcW w:w="612" w:type="pct"/>
            <w:vAlign w:val="center"/>
          </w:tcPr>
          <w:p w14:paraId="76C1D87A">
            <w:pPr>
              <w:pStyle w:val="55"/>
              <w:spacing w:beforeLines="0" w:afterLines="0" w:line="240" w:lineRule="auto"/>
              <w:rPr>
                <w:rFonts w:ascii="Times New Roman"/>
                <w:snapToGrid w:val="0"/>
                <w:kern w:val="21"/>
                <w:sz w:val="18"/>
                <w:szCs w:val="18"/>
              </w:rPr>
            </w:pPr>
            <w:r>
              <w:rPr>
                <w:rFonts w:hint="eastAsia" w:ascii="Times New Roman" w:eastAsia="等线"/>
                <w:snapToGrid w:val="0"/>
                <w:kern w:val="21"/>
                <w:sz w:val="18"/>
                <w:szCs w:val="18"/>
              </w:rPr>
              <w:t>0.03</w:t>
            </w:r>
            <w:r>
              <w:rPr>
                <w:rFonts w:hint="eastAsia" w:ascii="Times New Roman" w:eastAsia="等线"/>
                <w:snapToGrid w:val="0"/>
                <w:kern w:val="21"/>
                <w:sz w:val="18"/>
                <w:szCs w:val="18"/>
                <w:lang w:val="en-US" w:eastAsia="zh-CN"/>
              </w:rPr>
              <w:t>7</w:t>
            </w:r>
            <w:r>
              <w:rPr>
                <w:rFonts w:ascii="Times New Roman" w:eastAsia="等线"/>
                <w:sz w:val="18"/>
                <w:szCs w:val="18"/>
              </w:rPr>
              <w:t>t/a</w:t>
            </w:r>
          </w:p>
        </w:tc>
        <w:tc>
          <w:tcPr>
            <w:tcW w:w="551" w:type="pct"/>
            <w:vAlign w:val="center"/>
          </w:tcPr>
          <w:p w14:paraId="059ABEF4">
            <w:pPr>
              <w:pStyle w:val="55"/>
              <w:spacing w:beforeLines="0" w:afterLines="0" w:line="240" w:lineRule="auto"/>
              <w:rPr>
                <w:rFonts w:ascii="Times New Roman"/>
                <w:snapToGrid w:val="0"/>
                <w:kern w:val="21"/>
                <w:sz w:val="18"/>
                <w:szCs w:val="18"/>
              </w:rPr>
            </w:pPr>
            <w:r>
              <w:rPr>
                <w:rFonts w:hint="eastAsia" w:ascii="Times New Roman" w:eastAsia="等线"/>
                <w:snapToGrid w:val="0"/>
                <w:kern w:val="21"/>
                <w:sz w:val="18"/>
                <w:szCs w:val="18"/>
              </w:rPr>
              <w:t>+0.03</w:t>
            </w:r>
            <w:r>
              <w:rPr>
                <w:rFonts w:hint="eastAsia" w:ascii="Times New Roman" w:eastAsia="等线"/>
                <w:snapToGrid w:val="0"/>
                <w:kern w:val="21"/>
                <w:sz w:val="18"/>
                <w:szCs w:val="18"/>
                <w:lang w:val="en-US" w:eastAsia="zh-CN"/>
              </w:rPr>
              <w:t>7</w:t>
            </w:r>
            <w:r>
              <w:rPr>
                <w:rFonts w:ascii="Times New Roman" w:eastAsia="等线"/>
                <w:sz w:val="18"/>
                <w:szCs w:val="18"/>
              </w:rPr>
              <w:t xml:space="preserve"> t/a</w:t>
            </w:r>
          </w:p>
        </w:tc>
      </w:tr>
      <w:tr w14:paraId="107FFF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369" w:type="pct"/>
            <w:vMerge w:val="continue"/>
            <w:vAlign w:val="center"/>
          </w:tcPr>
          <w:p w14:paraId="32B1B420">
            <w:pPr>
              <w:pStyle w:val="55"/>
              <w:spacing w:beforeLines="0" w:afterLines="0" w:line="240" w:lineRule="auto"/>
              <w:rPr>
                <w:rFonts w:ascii="Times New Roman"/>
                <w:snapToGrid w:val="0"/>
                <w:kern w:val="21"/>
                <w:sz w:val="18"/>
                <w:szCs w:val="18"/>
              </w:rPr>
            </w:pPr>
          </w:p>
        </w:tc>
        <w:tc>
          <w:tcPr>
            <w:tcW w:w="813" w:type="pct"/>
            <w:vAlign w:val="center"/>
          </w:tcPr>
          <w:p w14:paraId="6657EDBD">
            <w:pPr>
              <w:pStyle w:val="55"/>
              <w:spacing w:beforeLines="0" w:afterLines="0" w:line="240" w:lineRule="auto"/>
              <w:rPr>
                <w:rFonts w:ascii="Times New Roman"/>
                <w:snapToGrid w:val="0"/>
                <w:kern w:val="21"/>
                <w:sz w:val="18"/>
                <w:szCs w:val="18"/>
              </w:rPr>
            </w:pPr>
            <w:r>
              <w:rPr>
                <w:rFonts w:ascii="Times New Roman"/>
                <w:sz w:val="18"/>
                <w:szCs w:val="18"/>
              </w:rPr>
              <w:t>SS</w:t>
            </w:r>
          </w:p>
        </w:tc>
        <w:tc>
          <w:tcPr>
            <w:tcW w:w="510" w:type="pct"/>
            <w:vAlign w:val="center"/>
          </w:tcPr>
          <w:p w14:paraId="56485BC0">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458" w:type="pct"/>
            <w:vAlign w:val="center"/>
          </w:tcPr>
          <w:p w14:paraId="30F4CAC3">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561" w:type="pct"/>
            <w:vAlign w:val="center"/>
          </w:tcPr>
          <w:p w14:paraId="3A1377E7">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561" w:type="pct"/>
            <w:vAlign w:val="center"/>
          </w:tcPr>
          <w:p w14:paraId="17EBA353">
            <w:pPr>
              <w:pStyle w:val="55"/>
              <w:spacing w:beforeLines="0" w:afterLines="0" w:line="240" w:lineRule="auto"/>
              <w:rPr>
                <w:rFonts w:ascii="Times New Roman"/>
                <w:snapToGrid w:val="0"/>
                <w:kern w:val="21"/>
                <w:sz w:val="18"/>
                <w:szCs w:val="18"/>
              </w:rPr>
            </w:pPr>
            <w:r>
              <w:rPr>
                <w:rFonts w:hint="eastAsia" w:ascii="Times New Roman" w:eastAsia="等线"/>
                <w:snapToGrid w:val="0"/>
                <w:kern w:val="21"/>
                <w:sz w:val="18"/>
                <w:szCs w:val="18"/>
              </w:rPr>
              <w:t>0.020</w:t>
            </w:r>
            <w:r>
              <w:rPr>
                <w:rFonts w:hint="eastAsia" w:ascii="Times New Roman" w:eastAsia="等线"/>
                <w:snapToGrid w:val="0"/>
                <w:kern w:val="21"/>
                <w:sz w:val="18"/>
                <w:szCs w:val="18"/>
                <w:lang w:val="en-US" w:eastAsia="zh-CN"/>
              </w:rPr>
              <w:t>5</w:t>
            </w:r>
            <w:r>
              <w:rPr>
                <w:rFonts w:ascii="Times New Roman" w:eastAsia="等线"/>
                <w:sz w:val="18"/>
                <w:szCs w:val="18"/>
              </w:rPr>
              <w:t xml:space="preserve"> t/a</w:t>
            </w:r>
          </w:p>
        </w:tc>
        <w:tc>
          <w:tcPr>
            <w:tcW w:w="562" w:type="pct"/>
            <w:vAlign w:val="center"/>
          </w:tcPr>
          <w:p w14:paraId="45E568CA">
            <w:pPr>
              <w:pStyle w:val="55"/>
              <w:spacing w:beforeLines="0" w:afterLines="0" w:line="240" w:lineRule="auto"/>
              <w:rPr>
                <w:rFonts w:ascii="Times New Roman"/>
                <w:snapToGrid w:val="0"/>
                <w:kern w:val="21"/>
                <w:sz w:val="18"/>
                <w:szCs w:val="18"/>
              </w:rPr>
            </w:pPr>
            <w:r>
              <w:rPr>
                <w:rFonts w:ascii="Times New Roman" w:eastAsia="等线"/>
                <w:sz w:val="18"/>
                <w:szCs w:val="18"/>
              </w:rPr>
              <w:t>/</w:t>
            </w:r>
          </w:p>
        </w:tc>
        <w:tc>
          <w:tcPr>
            <w:tcW w:w="612" w:type="pct"/>
            <w:vAlign w:val="center"/>
          </w:tcPr>
          <w:p w14:paraId="0CF1EBB9">
            <w:pPr>
              <w:pStyle w:val="55"/>
              <w:spacing w:beforeLines="0" w:afterLines="0" w:line="240" w:lineRule="auto"/>
              <w:rPr>
                <w:rFonts w:ascii="Times New Roman"/>
                <w:snapToGrid w:val="0"/>
                <w:kern w:val="21"/>
                <w:sz w:val="18"/>
                <w:szCs w:val="18"/>
              </w:rPr>
            </w:pPr>
            <w:r>
              <w:rPr>
                <w:rFonts w:hint="eastAsia" w:ascii="Times New Roman" w:eastAsia="等线"/>
                <w:snapToGrid w:val="0"/>
                <w:kern w:val="21"/>
                <w:sz w:val="18"/>
                <w:szCs w:val="18"/>
              </w:rPr>
              <w:t>0.020</w:t>
            </w:r>
            <w:r>
              <w:rPr>
                <w:rFonts w:hint="eastAsia" w:ascii="Times New Roman" w:eastAsia="等线"/>
                <w:snapToGrid w:val="0"/>
                <w:kern w:val="21"/>
                <w:sz w:val="18"/>
                <w:szCs w:val="18"/>
                <w:lang w:val="en-US" w:eastAsia="zh-CN"/>
              </w:rPr>
              <w:t>5</w:t>
            </w:r>
            <w:r>
              <w:rPr>
                <w:rFonts w:ascii="Times New Roman" w:eastAsia="等线"/>
                <w:sz w:val="18"/>
                <w:szCs w:val="18"/>
              </w:rPr>
              <w:t xml:space="preserve"> t/a</w:t>
            </w:r>
          </w:p>
        </w:tc>
        <w:tc>
          <w:tcPr>
            <w:tcW w:w="551" w:type="pct"/>
            <w:vAlign w:val="center"/>
          </w:tcPr>
          <w:p w14:paraId="37ECBF9F">
            <w:pPr>
              <w:pStyle w:val="55"/>
              <w:spacing w:beforeLines="0" w:afterLines="0" w:line="240" w:lineRule="auto"/>
              <w:rPr>
                <w:rFonts w:ascii="Times New Roman"/>
                <w:snapToGrid w:val="0"/>
                <w:kern w:val="21"/>
                <w:sz w:val="18"/>
                <w:szCs w:val="18"/>
              </w:rPr>
            </w:pPr>
            <w:r>
              <w:rPr>
                <w:rFonts w:hint="eastAsia" w:ascii="Times New Roman" w:eastAsia="等线"/>
                <w:snapToGrid w:val="0"/>
                <w:kern w:val="21"/>
                <w:sz w:val="18"/>
                <w:szCs w:val="18"/>
              </w:rPr>
              <w:t>+0.020</w:t>
            </w:r>
            <w:r>
              <w:rPr>
                <w:rFonts w:hint="eastAsia" w:ascii="Times New Roman" w:eastAsia="等线"/>
                <w:snapToGrid w:val="0"/>
                <w:kern w:val="21"/>
                <w:sz w:val="18"/>
                <w:szCs w:val="18"/>
                <w:lang w:val="en-US" w:eastAsia="zh-CN"/>
              </w:rPr>
              <w:t>5</w:t>
            </w:r>
            <w:r>
              <w:rPr>
                <w:rFonts w:ascii="Times New Roman" w:eastAsia="等线"/>
                <w:sz w:val="18"/>
                <w:szCs w:val="18"/>
              </w:rPr>
              <w:t xml:space="preserve"> t/a</w:t>
            </w:r>
          </w:p>
        </w:tc>
      </w:tr>
      <w:tr w14:paraId="43966C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69" w:type="pct"/>
            <w:vMerge w:val="continue"/>
            <w:vAlign w:val="center"/>
          </w:tcPr>
          <w:p w14:paraId="196913E2">
            <w:pPr>
              <w:pStyle w:val="55"/>
              <w:spacing w:beforeLines="0" w:afterLines="0" w:line="240" w:lineRule="auto"/>
              <w:rPr>
                <w:rFonts w:ascii="Times New Roman"/>
                <w:snapToGrid w:val="0"/>
                <w:kern w:val="21"/>
                <w:sz w:val="18"/>
                <w:szCs w:val="18"/>
              </w:rPr>
            </w:pPr>
          </w:p>
        </w:tc>
        <w:tc>
          <w:tcPr>
            <w:tcW w:w="813" w:type="pct"/>
            <w:vAlign w:val="center"/>
          </w:tcPr>
          <w:p w14:paraId="6F2C7D5F">
            <w:pPr>
              <w:pStyle w:val="55"/>
              <w:spacing w:beforeLines="0" w:afterLines="0" w:line="240" w:lineRule="auto"/>
              <w:rPr>
                <w:rFonts w:ascii="Times New Roman"/>
                <w:snapToGrid w:val="0"/>
                <w:kern w:val="21"/>
                <w:sz w:val="18"/>
                <w:szCs w:val="18"/>
              </w:rPr>
            </w:pPr>
            <w:r>
              <w:rPr>
                <w:rFonts w:ascii="Times New Roman"/>
                <w:sz w:val="18"/>
                <w:szCs w:val="18"/>
              </w:rPr>
              <w:t>NH</w:t>
            </w:r>
            <w:r>
              <w:rPr>
                <w:rFonts w:ascii="Times New Roman"/>
                <w:sz w:val="18"/>
                <w:szCs w:val="18"/>
                <w:vertAlign w:val="subscript"/>
              </w:rPr>
              <w:t>3</w:t>
            </w:r>
            <w:r>
              <w:rPr>
                <w:rFonts w:ascii="Times New Roman"/>
                <w:sz w:val="18"/>
                <w:szCs w:val="18"/>
              </w:rPr>
              <w:t>-N</w:t>
            </w:r>
          </w:p>
        </w:tc>
        <w:tc>
          <w:tcPr>
            <w:tcW w:w="510" w:type="pct"/>
            <w:vAlign w:val="center"/>
          </w:tcPr>
          <w:p w14:paraId="18D28F2A">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458" w:type="pct"/>
            <w:vAlign w:val="center"/>
          </w:tcPr>
          <w:p w14:paraId="60CAF63A">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561" w:type="pct"/>
            <w:vAlign w:val="center"/>
          </w:tcPr>
          <w:p w14:paraId="65550335">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561" w:type="pct"/>
            <w:vAlign w:val="center"/>
          </w:tcPr>
          <w:p w14:paraId="0968F6ED">
            <w:pPr>
              <w:pStyle w:val="55"/>
              <w:spacing w:beforeLines="0" w:afterLines="0" w:line="240" w:lineRule="auto"/>
              <w:rPr>
                <w:rFonts w:ascii="Times New Roman"/>
                <w:snapToGrid w:val="0"/>
                <w:kern w:val="21"/>
                <w:sz w:val="18"/>
                <w:szCs w:val="18"/>
              </w:rPr>
            </w:pPr>
            <w:r>
              <w:rPr>
                <w:rFonts w:hint="eastAsia" w:ascii="Times New Roman" w:eastAsia="等线"/>
                <w:snapToGrid w:val="0"/>
                <w:kern w:val="21"/>
                <w:sz w:val="18"/>
                <w:szCs w:val="18"/>
              </w:rPr>
              <w:t>0.002</w:t>
            </w:r>
            <w:r>
              <w:rPr>
                <w:rFonts w:hint="eastAsia" w:ascii="Times New Roman" w:eastAsia="等线"/>
                <w:snapToGrid w:val="0"/>
                <w:kern w:val="21"/>
                <w:sz w:val="18"/>
                <w:szCs w:val="18"/>
                <w:lang w:val="en-US" w:eastAsia="zh-CN"/>
              </w:rPr>
              <w:t>2</w:t>
            </w:r>
            <w:r>
              <w:rPr>
                <w:rFonts w:ascii="Times New Roman" w:eastAsia="等线"/>
                <w:sz w:val="18"/>
                <w:szCs w:val="18"/>
              </w:rPr>
              <w:t xml:space="preserve"> t/a</w:t>
            </w:r>
          </w:p>
        </w:tc>
        <w:tc>
          <w:tcPr>
            <w:tcW w:w="562" w:type="pct"/>
            <w:vAlign w:val="center"/>
          </w:tcPr>
          <w:p w14:paraId="1AD5A071">
            <w:pPr>
              <w:pStyle w:val="55"/>
              <w:spacing w:beforeLines="0" w:afterLines="0" w:line="240" w:lineRule="auto"/>
              <w:rPr>
                <w:rFonts w:ascii="Times New Roman"/>
                <w:snapToGrid w:val="0"/>
                <w:kern w:val="21"/>
                <w:sz w:val="18"/>
                <w:szCs w:val="18"/>
              </w:rPr>
            </w:pPr>
            <w:r>
              <w:rPr>
                <w:rFonts w:ascii="Times New Roman" w:eastAsia="等线"/>
                <w:sz w:val="18"/>
                <w:szCs w:val="18"/>
              </w:rPr>
              <w:t>/</w:t>
            </w:r>
          </w:p>
        </w:tc>
        <w:tc>
          <w:tcPr>
            <w:tcW w:w="612" w:type="pct"/>
            <w:vAlign w:val="center"/>
          </w:tcPr>
          <w:p w14:paraId="1078C753">
            <w:pPr>
              <w:pStyle w:val="55"/>
              <w:spacing w:beforeLines="0" w:afterLines="0" w:line="240" w:lineRule="auto"/>
              <w:rPr>
                <w:rFonts w:ascii="Times New Roman"/>
                <w:snapToGrid w:val="0"/>
                <w:kern w:val="21"/>
                <w:sz w:val="18"/>
                <w:szCs w:val="18"/>
              </w:rPr>
            </w:pPr>
            <w:r>
              <w:rPr>
                <w:rFonts w:hint="eastAsia" w:ascii="Times New Roman" w:eastAsia="等线"/>
                <w:snapToGrid w:val="0"/>
                <w:kern w:val="21"/>
                <w:sz w:val="18"/>
                <w:szCs w:val="18"/>
              </w:rPr>
              <w:t>0.002</w:t>
            </w:r>
            <w:r>
              <w:rPr>
                <w:rFonts w:hint="eastAsia" w:ascii="Times New Roman" w:eastAsia="等线"/>
                <w:snapToGrid w:val="0"/>
                <w:kern w:val="21"/>
                <w:sz w:val="18"/>
                <w:szCs w:val="18"/>
                <w:lang w:val="en-US" w:eastAsia="zh-CN"/>
              </w:rPr>
              <w:t>2</w:t>
            </w:r>
            <w:r>
              <w:rPr>
                <w:rFonts w:ascii="Times New Roman" w:eastAsia="等线"/>
                <w:sz w:val="18"/>
                <w:szCs w:val="18"/>
              </w:rPr>
              <w:t xml:space="preserve"> t/a</w:t>
            </w:r>
          </w:p>
        </w:tc>
        <w:tc>
          <w:tcPr>
            <w:tcW w:w="551" w:type="pct"/>
            <w:vAlign w:val="center"/>
          </w:tcPr>
          <w:p w14:paraId="04837E71">
            <w:pPr>
              <w:pStyle w:val="55"/>
              <w:spacing w:beforeLines="0" w:afterLines="0" w:line="240" w:lineRule="auto"/>
              <w:rPr>
                <w:rFonts w:ascii="Times New Roman"/>
                <w:snapToGrid w:val="0"/>
                <w:kern w:val="21"/>
                <w:sz w:val="18"/>
                <w:szCs w:val="18"/>
              </w:rPr>
            </w:pPr>
            <w:r>
              <w:rPr>
                <w:rFonts w:hint="eastAsia" w:ascii="Times New Roman" w:eastAsia="等线"/>
                <w:snapToGrid w:val="0"/>
                <w:kern w:val="21"/>
                <w:sz w:val="18"/>
                <w:szCs w:val="18"/>
              </w:rPr>
              <w:t>+0.002</w:t>
            </w:r>
            <w:r>
              <w:rPr>
                <w:rFonts w:hint="eastAsia" w:ascii="Times New Roman" w:eastAsia="等线"/>
                <w:snapToGrid w:val="0"/>
                <w:kern w:val="21"/>
                <w:sz w:val="18"/>
                <w:szCs w:val="18"/>
                <w:lang w:val="en-US" w:eastAsia="zh-CN"/>
              </w:rPr>
              <w:t>2</w:t>
            </w:r>
            <w:r>
              <w:rPr>
                <w:rFonts w:ascii="Times New Roman" w:eastAsia="等线"/>
                <w:sz w:val="18"/>
                <w:szCs w:val="18"/>
              </w:rPr>
              <w:t xml:space="preserve"> t/a</w:t>
            </w:r>
          </w:p>
        </w:tc>
      </w:tr>
      <w:tr w14:paraId="186626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69" w:type="pct"/>
            <w:vMerge w:val="continue"/>
            <w:vAlign w:val="center"/>
          </w:tcPr>
          <w:p w14:paraId="7CDB8D36">
            <w:pPr>
              <w:pStyle w:val="55"/>
              <w:spacing w:beforeLines="0" w:afterLines="0" w:line="240" w:lineRule="auto"/>
              <w:rPr>
                <w:rFonts w:ascii="Times New Roman"/>
                <w:snapToGrid w:val="0"/>
                <w:kern w:val="21"/>
                <w:sz w:val="18"/>
                <w:szCs w:val="18"/>
              </w:rPr>
            </w:pPr>
          </w:p>
        </w:tc>
        <w:tc>
          <w:tcPr>
            <w:tcW w:w="813" w:type="pct"/>
            <w:vAlign w:val="center"/>
          </w:tcPr>
          <w:p w14:paraId="0DC54788">
            <w:pPr>
              <w:pStyle w:val="55"/>
              <w:spacing w:beforeLines="0" w:afterLines="0" w:line="240" w:lineRule="auto"/>
              <w:rPr>
                <w:rFonts w:ascii="Times New Roman"/>
                <w:snapToGrid w:val="0"/>
                <w:kern w:val="21"/>
                <w:sz w:val="18"/>
                <w:szCs w:val="18"/>
              </w:rPr>
            </w:pPr>
            <w:r>
              <w:rPr>
                <w:rFonts w:ascii="Times New Roman"/>
                <w:sz w:val="18"/>
                <w:szCs w:val="18"/>
              </w:rPr>
              <w:t>TN</w:t>
            </w:r>
          </w:p>
        </w:tc>
        <w:tc>
          <w:tcPr>
            <w:tcW w:w="510" w:type="pct"/>
            <w:vAlign w:val="center"/>
          </w:tcPr>
          <w:p w14:paraId="6455EA12">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458" w:type="pct"/>
            <w:vAlign w:val="center"/>
          </w:tcPr>
          <w:p w14:paraId="4F01A12F">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561" w:type="pct"/>
            <w:vAlign w:val="center"/>
          </w:tcPr>
          <w:p w14:paraId="0C917074">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561" w:type="pct"/>
            <w:vAlign w:val="center"/>
          </w:tcPr>
          <w:p w14:paraId="4293C697">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0.</w:t>
            </w:r>
            <w:r>
              <w:rPr>
                <w:rFonts w:hint="eastAsia" w:ascii="Times New Roman"/>
                <w:snapToGrid w:val="0"/>
                <w:kern w:val="21"/>
                <w:sz w:val="18"/>
                <w:szCs w:val="18"/>
              </w:rPr>
              <w:t>004</w:t>
            </w:r>
            <w:r>
              <w:rPr>
                <w:rFonts w:hint="eastAsia" w:ascii="Times New Roman"/>
                <w:snapToGrid w:val="0"/>
                <w:kern w:val="21"/>
                <w:sz w:val="18"/>
                <w:szCs w:val="18"/>
                <w:lang w:val="en-US" w:eastAsia="zh-CN"/>
              </w:rPr>
              <w:t>2</w:t>
            </w:r>
            <w:r>
              <w:rPr>
                <w:rFonts w:ascii="Times New Roman" w:eastAsia="等线"/>
                <w:sz w:val="18"/>
                <w:szCs w:val="18"/>
              </w:rPr>
              <w:t xml:space="preserve"> t/a</w:t>
            </w:r>
          </w:p>
        </w:tc>
        <w:tc>
          <w:tcPr>
            <w:tcW w:w="562" w:type="pct"/>
            <w:vAlign w:val="center"/>
          </w:tcPr>
          <w:p w14:paraId="3A366E64">
            <w:pPr>
              <w:pStyle w:val="55"/>
              <w:spacing w:beforeLines="0" w:afterLines="0" w:line="240" w:lineRule="auto"/>
              <w:rPr>
                <w:rFonts w:ascii="Times New Roman"/>
                <w:snapToGrid w:val="0"/>
                <w:kern w:val="21"/>
                <w:sz w:val="18"/>
                <w:szCs w:val="18"/>
              </w:rPr>
            </w:pPr>
            <w:r>
              <w:rPr>
                <w:rFonts w:ascii="Times New Roman" w:eastAsia="等线"/>
                <w:sz w:val="18"/>
                <w:szCs w:val="18"/>
              </w:rPr>
              <w:t>/</w:t>
            </w:r>
          </w:p>
        </w:tc>
        <w:tc>
          <w:tcPr>
            <w:tcW w:w="612" w:type="pct"/>
            <w:vAlign w:val="center"/>
          </w:tcPr>
          <w:p w14:paraId="5535BC82">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0.</w:t>
            </w:r>
            <w:r>
              <w:rPr>
                <w:rFonts w:hint="eastAsia" w:ascii="Times New Roman"/>
                <w:snapToGrid w:val="0"/>
                <w:kern w:val="21"/>
                <w:sz w:val="18"/>
                <w:szCs w:val="18"/>
              </w:rPr>
              <w:t>004</w:t>
            </w:r>
            <w:r>
              <w:rPr>
                <w:rFonts w:hint="eastAsia" w:ascii="Times New Roman"/>
                <w:snapToGrid w:val="0"/>
                <w:kern w:val="21"/>
                <w:sz w:val="18"/>
                <w:szCs w:val="18"/>
                <w:lang w:val="en-US" w:eastAsia="zh-CN"/>
              </w:rPr>
              <w:t>2</w:t>
            </w:r>
            <w:r>
              <w:rPr>
                <w:rFonts w:ascii="Times New Roman" w:eastAsia="等线"/>
                <w:sz w:val="18"/>
                <w:szCs w:val="18"/>
              </w:rPr>
              <w:t xml:space="preserve"> t/a</w:t>
            </w:r>
          </w:p>
        </w:tc>
        <w:tc>
          <w:tcPr>
            <w:tcW w:w="551" w:type="pct"/>
            <w:vAlign w:val="center"/>
          </w:tcPr>
          <w:p w14:paraId="098D9A53">
            <w:pPr>
              <w:pStyle w:val="55"/>
              <w:spacing w:beforeLines="0" w:afterLines="0" w:line="240" w:lineRule="auto"/>
              <w:rPr>
                <w:rFonts w:ascii="Times New Roman"/>
                <w:snapToGrid w:val="0"/>
                <w:kern w:val="21"/>
                <w:sz w:val="18"/>
                <w:szCs w:val="18"/>
              </w:rPr>
            </w:pPr>
            <w:r>
              <w:rPr>
                <w:rFonts w:hint="eastAsia" w:ascii="Times New Roman"/>
                <w:snapToGrid w:val="0"/>
                <w:kern w:val="21"/>
                <w:sz w:val="18"/>
                <w:szCs w:val="18"/>
              </w:rPr>
              <w:t>+</w:t>
            </w:r>
            <w:r>
              <w:rPr>
                <w:rFonts w:ascii="Times New Roman"/>
                <w:snapToGrid w:val="0"/>
                <w:kern w:val="21"/>
                <w:sz w:val="18"/>
                <w:szCs w:val="18"/>
              </w:rPr>
              <w:t>0.</w:t>
            </w:r>
            <w:r>
              <w:rPr>
                <w:rFonts w:hint="eastAsia" w:ascii="Times New Roman"/>
                <w:snapToGrid w:val="0"/>
                <w:kern w:val="21"/>
                <w:sz w:val="18"/>
                <w:szCs w:val="18"/>
              </w:rPr>
              <w:t>004</w:t>
            </w:r>
            <w:r>
              <w:rPr>
                <w:rFonts w:hint="eastAsia" w:ascii="Times New Roman"/>
                <w:snapToGrid w:val="0"/>
                <w:kern w:val="21"/>
                <w:sz w:val="18"/>
                <w:szCs w:val="18"/>
                <w:lang w:val="en-US" w:eastAsia="zh-CN"/>
              </w:rPr>
              <w:t>2</w:t>
            </w:r>
            <w:r>
              <w:rPr>
                <w:rFonts w:ascii="Times New Roman" w:eastAsia="等线"/>
                <w:sz w:val="18"/>
                <w:szCs w:val="18"/>
              </w:rPr>
              <w:t xml:space="preserve"> t/a</w:t>
            </w:r>
          </w:p>
        </w:tc>
      </w:tr>
      <w:tr w14:paraId="27C337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369" w:type="pct"/>
            <w:vMerge w:val="continue"/>
            <w:vAlign w:val="center"/>
          </w:tcPr>
          <w:p w14:paraId="21DF5610">
            <w:pPr>
              <w:pStyle w:val="55"/>
              <w:spacing w:beforeLines="0" w:afterLines="0" w:line="240" w:lineRule="auto"/>
              <w:rPr>
                <w:rFonts w:ascii="Times New Roman"/>
                <w:snapToGrid w:val="0"/>
                <w:kern w:val="21"/>
                <w:sz w:val="18"/>
                <w:szCs w:val="18"/>
              </w:rPr>
            </w:pPr>
          </w:p>
        </w:tc>
        <w:tc>
          <w:tcPr>
            <w:tcW w:w="813" w:type="pct"/>
            <w:vAlign w:val="center"/>
          </w:tcPr>
          <w:p w14:paraId="0FF576B0">
            <w:pPr>
              <w:pStyle w:val="55"/>
              <w:spacing w:beforeLines="0" w:afterLines="0" w:line="240" w:lineRule="auto"/>
              <w:rPr>
                <w:rFonts w:ascii="Times New Roman"/>
                <w:snapToGrid w:val="0"/>
                <w:kern w:val="21"/>
                <w:sz w:val="18"/>
                <w:szCs w:val="18"/>
              </w:rPr>
            </w:pPr>
            <w:r>
              <w:rPr>
                <w:rFonts w:ascii="Times New Roman"/>
                <w:sz w:val="18"/>
                <w:szCs w:val="18"/>
              </w:rPr>
              <w:t>TP</w:t>
            </w:r>
          </w:p>
        </w:tc>
        <w:tc>
          <w:tcPr>
            <w:tcW w:w="510" w:type="pct"/>
            <w:vAlign w:val="center"/>
          </w:tcPr>
          <w:p w14:paraId="56D6ED5E">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458" w:type="pct"/>
            <w:vAlign w:val="center"/>
          </w:tcPr>
          <w:p w14:paraId="0E5D082B">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561" w:type="pct"/>
            <w:vAlign w:val="center"/>
          </w:tcPr>
          <w:p w14:paraId="220F0502">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561" w:type="pct"/>
            <w:vAlign w:val="center"/>
          </w:tcPr>
          <w:p w14:paraId="353FD7B9">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0.00</w:t>
            </w:r>
            <w:r>
              <w:rPr>
                <w:rFonts w:hint="eastAsia" w:ascii="Times New Roman"/>
                <w:snapToGrid w:val="0"/>
                <w:kern w:val="21"/>
                <w:sz w:val="18"/>
                <w:szCs w:val="18"/>
              </w:rPr>
              <w:t>04</w:t>
            </w:r>
            <w:r>
              <w:rPr>
                <w:rFonts w:hint="eastAsia" w:ascii="Times New Roman"/>
                <w:snapToGrid w:val="0"/>
                <w:kern w:val="21"/>
                <w:sz w:val="18"/>
                <w:szCs w:val="18"/>
                <w:lang w:val="en-US" w:eastAsia="zh-CN"/>
              </w:rPr>
              <w:t>1</w:t>
            </w:r>
            <w:r>
              <w:rPr>
                <w:rFonts w:ascii="Times New Roman" w:eastAsia="等线"/>
                <w:sz w:val="18"/>
                <w:szCs w:val="18"/>
              </w:rPr>
              <w:t xml:space="preserve"> t/a</w:t>
            </w:r>
          </w:p>
        </w:tc>
        <w:tc>
          <w:tcPr>
            <w:tcW w:w="562" w:type="pct"/>
            <w:vAlign w:val="center"/>
          </w:tcPr>
          <w:p w14:paraId="6D439E4F">
            <w:pPr>
              <w:pStyle w:val="55"/>
              <w:spacing w:beforeLines="0" w:afterLines="0" w:line="240" w:lineRule="auto"/>
              <w:rPr>
                <w:rFonts w:ascii="Times New Roman"/>
                <w:snapToGrid w:val="0"/>
                <w:kern w:val="21"/>
                <w:sz w:val="18"/>
                <w:szCs w:val="18"/>
              </w:rPr>
            </w:pPr>
            <w:r>
              <w:rPr>
                <w:rFonts w:ascii="Times New Roman" w:eastAsia="等线"/>
                <w:sz w:val="18"/>
                <w:szCs w:val="18"/>
              </w:rPr>
              <w:t>/</w:t>
            </w:r>
          </w:p>
        </w:tc>
        <w:tc>
          <w:tcPr>
            <w:tcW w:w="612" w:type="pct"/>
            <w:vAlign w:val="center"/>
          </w:tcPr>
          <w:p w14:paraId="561D2F30">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0.00</w:t>
            </w:r>
            <w:r>
              <w:rPr>
                <w:rFonts w:hint="eastAsia" w:ascii="Times New Roman"/>
                <w:snapToGrid w:val="0"/>
                <w:kern w:val="21"/>
                <w:sz w:val="18"/>
                <w:szCs w:val="18"/>
              </w:rPr>
              <w:t>04</w:t>
            </w:r>
            <w:r>
              <w:rPr>
                <w:rFonts w:ascii="Times New Roman" w:eastAsia="等线"/>
                <w:sz w:val="18"/>
                <w:szCs w:val="18"/>
              </w:rPr>
              <w:t xml:space="preserve"> </w:t>
            </w:r>
            <w:r>
              <w:rPr>
                <w:rFonts w:hint="eastAsia" w:ascii="Times New Roman" w:eastAsia="等线"/>
                <w:sz w:val="18"/>
                <w:szCs w:val="18"/>
                <w:lang w:val="en-US" w:eastAsia="zh-CN"/>
              </w:rPr>
              <w:t>1</w:t>
            </w:r>
            <w:r>
              <w:rPr>
                <w:rFonts w:ascii="Times New Roman" w:eastAsia="等线"/>
                <w:sz w:val="18"/>
                <w:szCs w:val="18"/>
              </w:rPr>
              <w:t>t/a</w:t>
            </w:r>
          </w:p>
        </w:tc>
        <w:tc>
          <w:tcPr>
            <w:tcW w:w="551" w:type="pct"/>
            <w:vAlign w:val="center"/>
          </w:tcPr>
          <w:p w14:paraId="38A83342">
            <w:pPr>
              <w:pStyle w:val="55"/>
              <w:spacing w:beforeLines="0" w:afterLines="0" w:line="240" w:lineRule="auto"/>
              <w:rPr>
                <w:rFonts w:ascii="Times New Roman"/>
                <w:snapToGrid w:val="0"/>
                <w:kern w:val="21"/>
                <w:sz w:val="18"/>
                <w:szCs w:val="18"/>
              </w:rPr>
            </w:pPr>
            <w:r>
              <w:rPr>
                <w:rFonts w:hint="eastAsia" w:ascii="Times New Roman"/>
                <w:snapToGrid w:val="0"/>
                <w:kern w:val="21"/>
                <w:sz w:val="18"/>
                <w:szCs w:val="18"/>
              </w:rPr>
              <w:t>+</w:t>
            </w:r>
            <w:r>
              <w:rPr>
                <w:rFonts w:ascii="Times New Roman"/>
                <w:snapToGrid w:val="0"/>
                <w:kern w:val="21"/>
                <w:sz w:val="18"/>
                <w:szCs w:val="18"/>
              </w:rPr>
              <w:t>0.00</w:t>
            </w:r>
            <w:r>
              <w:rPr>
                <w:rFonts w:hint="eastAsia" w:ascii="Times New Roman"/>
                <w:snapToGrid w:val="0"/>
                <w:kern w:val="21"/>
                <w:sz w:val="18"/>
                <w:szCs w:val="18"/>
              </w:rPr>
              <w:t>04</w:t>
            </w:r>
            <w:r>
              <w:rPr>
                <w:rFonts w:hint="eastAsia" w:ascii="Times New Roman"/>
                <w:snapToGrid w:val="0"/>
                <w:kern w:val="21"/>
                <w:sz w:val="18"/>
                <w:szCs w:val="18"/>
                <w:lang w:val="en-US" w:eastAsia="zh-CN"/>
              </w:rPr>
              <w:t>1</w:t>
            </w:r>
            <w:r>
              <w:rPr>
                <w:rFonts w:ascii="Times New Roman" w:eastAsia="等线"/>
                <w:sz w:val="18"/>
                <w:szCs w:val="18"/>
              </w:rPr>
              <w:t xml:space="preserve"> t/a</w:t>
            </w:r>
          </w:p>
        </w:tc>
      </w:tr>
      <w:tr w14:paraId="001D63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369" w:type="pct"/>
            <w:vAlign w:val="center"/>
          </w:tcPr>
          <w:p w14:paraId="072B8F02">
            <w:pPr>
              <w:pStyle w:val="55"/>
              <w:spacing w:beforeLines="0" w:afterLines="0" w:line="240" w:lineRule="auto"/>
              <w:rPr>
                <w:rFonts w:ascii="Times New Roman"/>
                <w:snapToGrid w:val="0"/>
                <w:kern w:val="21"/>
                <w:sz w:val="18"/>
                <w:szCs w:val="18"/>
              </w:rPr>
            </w:pPr>
            <w:r>
              <w:rPr>
                <w:rFonts w:hint="eastAsia" w:ascii="Times New Roman"/>
                <w:snapToGrid w:val="0"/>
                <w:kern w:val="21"/>
                <w:sz w:val="18"/>
                <w:szCs w:val="18"/>
              </w:rPr>
              <w:t>生活垃圾</w:t>
            </w:r>
          </w:p>
        </w:tc>
        <w:tc>
          <w:tcPr>
            <w:tcW w:w="813" w:type="pct"/>
            <w:vAlign w:val="center"/>
          </w:tcPr>
          <w:p w14:paraId="2D1A03C3">
            <w:pPr>
              <w:pStyle w:val="55"/>
              <w:spacing w:beforeLines="0" w:afterLines="0" w:line="240" w:lineRule="auto"/>
              <w:rPr>
                <w:rFonts w:ascii="Times New Roman"/>
                <w:snapToGrid w:val="0"/>
                <w:kern w:val="21"/>
                <w:sz w:val="18"/>
                <w:szCs w:val="18"/>
              </w:rPr>
            </w:pPr>
            <w:r>
              <w:rPr>
                <w:rFonts w:hint="eastAsia" w:ascii="Times New Roman"/>
                <w:snapToGrid w:val="0"/>
                <w:kern w:val="21"/>
                <w:sz w:val="18"/>
                <w:szCs w:val="18"/>
              </w:rPr>
              <w:t>生活垃圾</w:t>
            </w:r>
          </w:p>
        </w:tc>
        <w:tc>
          <w:tcPr>
            <w:tcW w:w="510" w:type="pct"/>
            <w:vAlign w:val="center"/>
          </w:tcPr>
          <w:p w14:paraId="5A0F26FB">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458" w:type="pct"/>
            <w:vAlign w:val="center"/>
          </w:tcPr>
          <w:p w14:paraId="12574E8B">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561" w:type="pct"/>
            <w:vAlign w:val="center"/>
          </w:tcPr>
          <w:p w14:paraId="3A6CD86E">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561" w:type="pct"/>
            <w:vAlign w:val="center"/>
          </w:tcPr>
          <w:p w14:paraId="7CB7B4B2">
            <w:pPr>
              <w:pStyle w:val="55"/>
              <w:tabs>
                <w:tab w:val="left" w:pos="311"/>
                <w:tab w:val="center" w:pos="752"/>
              </w:tabs>
              <w:spacing w:beforeLines="0" w:afterLines="0" w:line="240" w:lineRule="auto"/>
              <w:rPr>
                <w:rFonts w:ascii="Times New Roman"/>
                <w:snapToGrid w:val="0"/>
                <w:kern w:val="21"/>
                <w:sz w:val="18"/>
                <w:szCs w:val="18"/>
              </w:rPr>
            </w:pPr>
            <w:r>
              <w:rPr>
                <w:rFonts w:hint="eastAsia" w:ascii="Times New Roman"/>
                <w:snapToGrid w:val="0"/>
                <w:kern w:val="21"/>
                <w:sz w:val="18"/>
                <w:szCs w:val="18"/>
              </w:rPr>
              <w:t>1.25t</w:t>
            </w:r>
            <w:r>
              <w:rPr>
                <w:rFonts w:ascii="Times New Roman"/>
                <w:snapToGrid w:val="0"/>
                <w:kern w:val="21"/>
                <w:sz w:val="18"/>
                <w:szCs w:val="18"/>
              </w:rPr>
              <w:t>/a</w:t>
            </w:r>
          </w:p>
        </w:tc>
        <w:tc>
          <w:tcPr>
            <w:tcW w:w="562" w:type="pct"/>
            <w:vAlign w:val="center"/>
          </w:tcPr>
          <w:p w14:paraId="2E9C0E78">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612" w:type="pct"/>
            <w:vAlign w:val="center"/>
          </w:tcPr>
          <w:p w14:paraId="33E3EA89">
            <w:pPr>
              <w:pStyle w:val="55"/>
              <w:tabs>
                <w:tab w:val="left" w:pos="311"/>
                <w:tab w:val="center" w:pos="752"/>
              </w:tabs>
              <w:spacing w:beforeLines="0" w:afterLines="0" w:line="240" w:lineRule="auto"/>
              <w:rPr>
                <w:rFonts w:ascii="Times New Roman"/>
                <w:snapToGrid w:val="0"/>
                <w:kern w:val="21"/>
                <w:sz w:val="18"/>
                <w:szCs w:val="18"/>
              </w:rPr>
            </w:pPr>
            <w:r>
              <w:rPr>
                <w:rFonts w:hint="eastAsia" w:ascii="Times New Roman"/>
                <w:snapToGrid w:val="0"/>
                <w:kern w:val="21"/>
                <w:sz w:val="18"/>
                <w:szCs w:val="18"/>
              </w:rPr>
              <w:t>1.25t</w:t>
            </w:r>
            <w:r>
              <w:rPr>
                <w:rFonts w:ascii="Times New Roman"/>
                <w:snapToGrid w:val="0"/>
                <w:kern w:val="21"/>
                <w:sz w:val="18"/>
                <w:szCs w:val="18"/>
              </w:rPr>
              <w:t>/a</w:t>
            </w:r>
          </w:p>
        </w:tc>
        <w:tc>
          <w:tcPr>
            <w:tcW w:w="551" w:type="pct"/>
            <w:vAlign w:val="center"/>
          </w:tcPr>
          <w:p w14:paraId="49A9548C">
            <w:pPr>
              <w:pStyle w:val="55"/>
              <w:tabs>
                <w:tab w:val="left" w:pos="311"/>
                <w:tab w:val="center" w:pos="752"/>
              </w:tabs>
              <w:spacing w:beforeLines="0" w:afterLines="0" w:line="240" w:lineRule="auto"/>
              <w:rPr>
                <w:rFonts w:ascii="Times New Roman"/>
                <w:snapToGrid w:val="0"/>
                <w:kern w:val="21"/>
                <w:sz w:val="18"/>
                <w:szCs w:val="18"/>
              </w:rPr>
            </w:pPr>
            <w:r>
              <w:rPr>
                <w:rFonts w:hint="eastAsia" w:ascii="Times New Roman"/>
                <w:snapToGrid w:val="0"/>
                <w:kern w:val="21"/>
                <w:sz w:val="18"/>
                <w:szCs w:val="18"/>
              </w:rPr>
              <w:t>+1.25t</w:t>
            </w:r>
            <w:r>
              <w:rPr>
                <w:rFonts w:ascii="Times New Roman"/>
                <w:snapToGrid w:val="0"/>
                <w:kern w:val="21"/>
                <w:sz w:val="18"/>
                <w:szCs w:val="18"/>
              </w:rPr>
              <w:t>/a</w:t>
            </w:r>
          </w:p>
        </w:tc>
      </w:tr>
      <w:tr w14:paraId="744DE7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369" w:type="pct"/>
            <w:vMerge w:val="restart"/>
            <w:vAlign w:val="center"/>
          </w:tcPr>
          <w:p w14:paraId="0278CA57">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危险废物</w:t>
            </w:r>
          </w:p>
        </w:tc>
        <w:tc>
          <w:tcPr>
            <w:tcW w:w="813" w:type="pct"/>
            <w:vAlign w:val="center"/>
          </w:tcPr>
          <w:p w14:paraId="6EF714E4">
            <w:pPr>
              <w:jc w:val="center"/>
              <w:rPr>
                <w:sz w:val="18"/>
                <w:szCs w:val="18"/>
              </w:rPr>
            </w:pPr>
            <w:r>
              <w:rPr>
                <w:sz w:val="18"/>
                <w:szCs w:val="18"/>
              </w:rPr>
              <w:t>废试剂包装</w:t>
            </w:r>
          </w:p>
        </w:tc>
        <w:tc>
          <w:tcPr>
            <w:tcW w:w="510" w:type="pct"/>
            <w:vAlign w:val="center"/>
          </w:tcPr>
          <w:p w14:paraId="17E95A44">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458" w:type="pct"/>
            <w:vAlign w:val="center"/>
          </w:tcPr>
          <w:p w14:paraId="6E38A875">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561" w:type="pct"/>
            <w:vAlign w:val="center"/>
          </w:tcPr>
          <w:p w14:paraId="0EA394D5">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561" w:type="pct"/>
            <w:vAlign w:val="center"/>
          </w:tcPr>
          <w:p w14:paraId="34915A77">
            <w:pPr>
              <w:jc w:val="center"/>
              <w:rPr>
                <w:sz w:val="18"/>
                <w:szCs w:val="18"/>
              </w:rPr>
            </w:pPr>
            <w:r>
              <w:rPr>
                <w:rFonts w:hint="eastAsia"/>
                <w:sz w:val="18"/>
                <w:szCs w:val="18"/>
              </w:rPr>
              <w:t>0.9</w:t>
            </w:r>
            <w:r>
              <w:rPr>
                <w:rFonts w:hint="eastAsia"/>
                <w:snapToGrid w:val="0"/>
                <w:kern w:val="21"/>
                <w:sz w:val="18"/>
                <w:szCs w:val="18"/>
              </w:rPr>
              <w:t>t</w:t>
            </w:r>
            <w:r>
              <w:rPr>
                <w:snapToGrid w:val="0"/>
                <w:kern w:val="21"/>
                <w:sz w:val="18"/>
                <w:szCs w:val="18"/>
              </w:rPr>
              <w:t>/a</w:t>
            </w:r>
          </w:p>
        </w:tc>
        <w:tc>
          <w:tcPr>
            <w:tcW w:w="562" w:type="pct"/>
            <w:vAlign w:val="center"/>
          </w:tcPr>
          <w:p w14:paraId="47484BB7">
            <w:pPr>
              <w:pStyle w:val="55"/>
              <w:spacing w:beforeLines="0" w:afterLines="0" w:line="240" w:lineRule="auto"/>
              <w:rPr>
                <w:rFonts w:ascii="Times New Roman"/>
                <w:snapToGrid w:val="0"/>
                <w:kern w:val="21"/>
                <w:sz w:val="18"/>
                <w:szCs w:val="18"/>
              </w:rPr>
            </w:pPr>
            <w:r>
              <w:rPr>
                <w:rFonts w:hint="eastAsia" w:ascii="Times New Roman"/>
                <w:snapToGrid w:val="0"/>
                <w:kern w:val="21"/>
                <w:sz w:val="18"/>
                <w:szCs w:val="18"/>
              </w:rPr>
              <w:t>/</w:t>
            </w:r>
          </w:p>
        </w:tc>
        <w:tc>
          <w:tcPr>
            <w:tcW w:w="612" w:type="pct"/>
            <w:vAlign w:val="center"/>
          </w:tcPr>
          <w:p w14:paraId="3B8D8612">
            <w:pPr>
              <w:jc w:val="center"/>
              <w:rPr>
                <w:sz w:val="18"/>
                <w:szCs w:val="18"/>
              </w:rPr>
            </w:pPr>
            <w:r>
              <w:rPr>
                <w:rFonts w:hint="eastAsia"/>
                <w:sz w:val="18"/>
                <w:szCs w:val="18"/>
              </w:rPr>
              <w:t>0.9</w:t>
            </w:r>
            <w:r>
              <w:rPr>
                <w:rFonts w:hint="eastAsia"/>
                <w:snapToGrid w:val="0"/>
                <w:kern w:val="21"/>
                <w:sz w:val="18"/>
                <w:szCs w:val="18"/>
              </w:rPr>
              <w:t>t</w:t>
            </w:r>
            <w:r>
              <w:rPr>
                <w:snapToGrid w:val="0"/>
                <w:kern w:val="21"/>
                <w:sz w:val="18"/>
                <w:szCs w:val="18"/>
              </w:rPr>
              <w:t>/a</w:t>
            </w:r>
          </w:p>
        </w:tc>
        <w:tc>
          <w:tcPr>
            <w:tcW w:w="551" w:type="pct"/>
            <w:vAlign w:val="center"/>
          </w:tcPr>
          <w:p w14:paraId="3F5D2B2B">
            <w:pPr>
              <w:jc w:val="center"/>
              <w:rPr>
                <w:sz w:val="18"/>
                <w:szCs w:val="18"/>
              </w:rPr>
            </w:pPr>
            <w:r>
              <w:rPr>
                <w:rFonts w:hint="eastAsia"/>
                <w:sz w:val="18"/>
                <w:szCs w:val="18"/>
              </w:rPr>
              <w:t>+0.9</w:t>
            </w:r>
            <w:r>
              <w:rPr>
                <w:rFonts w:hint="eastAsia"/>
                <w:snapToGrid w:val="0"/>
                <w:kern w:val="21"/>
                <w:sz w:val="18"/>
                <w:szCs w:val="18"/>
              </w:rPr>
              <w:t>t</w:t>
            </w:r>
            <w:r>
              <w:rPr>
                <w:snapToGrid w:val="0"/>
                <w:kern w:val="21"/>
                <w:sz w:val="18"/>
                <w:szCs w:val="18"/>
              </w:rPr>
              <w:t>/a</w:t>
            </w:r>
          </w:p>
        </w:tc>
      </w:tr>
      <w:tr w14:paraId="504163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369" w:type="pct"/>
            <w:vMerge w:val="continue"/>
            <w:tcBorders/>
            <w:vAlign w:val="center"/>
          </w:tcPr>
          <w:p w14:paraId="6BAA083A">
            <w:pPr>
              <w:pStyle w:val="55"/>
              <w:spacing w:beforeLines="0" w:afterLines="0" w:line="240" w:lineRule="auto"/>
              <w:rPr>
                <w:rFonts w:ascii="Times New Roman"/>
                <w:snapToGrid w:val="0"/>
                <w:kern w:val="21"/>
                <w:sz w:val="18"/>
                <w:szCs w:val="18"/>
              </w:rPr>
            </w:pPr>
          </w:p>
        </w:tc>
        <w:tc>
          <w:tcPr>
            <w:tcW w:w="813" w:type="pct"/>
            <w:vAlign w:val="center"/>
          </w:tcPr>
          <w:p w14:paraId="750A8E7B">
            <w:pPr>
              <w:jc w:val="center"/>
              <w:rPr>
                <w:sz w:val="18"/>
                <w:szCs w:val="18"/>
              </w:rPr>
            </w:pPr>
            <w:r>
              <w:rPr>
                <w:rFonts w:hint="eastAsia"/>
                <w:sz w:val="18"/>
                <w:szCs w:val="18"/>
              </w:rPr>
              <w:t>实验废液</w:t>
            </w:r>
          </w:p>
        </w:tc>
        <w:tc>
          <w:tcPr>
            <w:tcW w:w="510" w:type="pct"/>
            <w:vAlign w:val="center"/>
          </w:tcPr>
          <w:p w14:paraId="3108F6CD">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458" w:type="pct"/>
            <w:vAlign w:val="center"/>
          </w:tcPr>
          <w:p w14:paraId="3FF0E286">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561" w:type="pct"/>
            <w:vAlign w:val="center"/>
          </w:tcPr>
          <w:p w14:paraId="172F1688">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561" w:type="pct"/>
            <w:vAlign w:val="center"/>
          </w:tcPr>
          <w:p w14:paraId="04802FCF">
            <w:pPr>
              <w:jc w:val="center"/>
              <w:rPr>
                <w:sz w:val="18"/>
                <w:szCs w:val="18"/>
              </w:rPr>
            </w:pPr>
            <w:r>
              <w:rPr>
                <w:rFonts w:hint="eastAsia"/>
                <w:sz w:val="18"/>
                <w:szCs w:val="18"/>
                <w:lang w:eastAsia="zh-CN"/>
              </w:rPr>
              <w:t>0.53</w:t>
            </w:r>
            <w:r>
              <w:rPr>
                <w:rFonts w:hint="eastAsia"/>
                <w:snapToGrid w:val="0"/>
                <w:kern w:val="21"/>
                <w:sz w:val="18"/>
                <w:szCs w:val="18"/>
              </w:rPr>
              <w:t>t</w:t>
            </w:r>
            <w:r>
              <w:rPr>
                <w:snapToGrid w:val="0"/>
                <w:kern w:val="21"/>
                <w:sz w:val="18"/>
                <w:szCs w:val="18"/>
              </w:rPr>
              <w:t>/a</w:t>
            </w:r>
          </w:p>
        </w:tc>
        <w:tc>
          <w:tcPr>
            <w:tcW w:w="562" w:type="pct"/>
            <w:vAlign w:val="center"/>
          </w:tcPr>
          <w:p w14:paraId="44B6C7DB">
            <w:pPr>
              <w:pStyle w:val="55"/>
              <w:spacing w:beforeLines="0" w:afterLines="0" w:line="240" w:lineRule="auto"/>
              <w:rPr>
                <w:rFonts w:ascii="Times New Roman"/>
                <w:snapToGrid w:val="0"/>
                <w:kern w:val="21"/>
                <w:sz w:val="18"/>
                <w:szCs w:val="18"/>
              </w:rPr>
            </w:pPr>
            <w:r>
              <w:rPr>
                <w:rFonts w:hint="eastAsia" w:ascii="Times New Roman"/>
                <w:snapToGrid w:val="0"/>
                <w:kern w:val="21"/>
                <w:sz w:val="18"/>
                <w:szCs w:val="18"/>
              </w:rPr>
              <w:t>/</w:t>
            </w:r>
          </w:p>
        </w:tc>
        <w:tc>
          <w:tcPr>
            <w:tcW w:w="612" w:type="pct"/>
            <w:vAlign w:val="center"/>
          </w:tcPr>
          <w:p w14:paraId="331DE41E">
            <w:pPr>
              <w:jc w:val="center"/>
              <w:rPr>
                <w:sz w:val="18"/>
                <w:szCs w:val="18"/>
              </w:rPr>
            </w:pPr>
            <w:r>
              <w:rPr>
                <w:rFonts w:hint="eastAsia"/>
                <w:sz w:val="18"/>
                <w:szCs w:val="18"/>
                <w:lang w:eastAsia="zh-CN"/>
              </w:rPr>
              <w:t>0.53</w:t>
            </w:r>
            <w:r>
              <w:rPr>
                <w:rFonts w:hint="eastAsia"/>
                <w:snapToGrid w:val="0"/>
                <w:kern w:val="21"/>
                <w:sz w:val="18"/>
                <w:szCs w:val="18"/>
              </w:rPr>
              <w:t>t</w:t>
            </w:r>
            <w:r>
              <w:rPr>
                <w:snapToGrid w:val="0"/>
                <w:kern w:val="21"/>
                <w:sz w:val="18"/>
                <w:szCs w:val="18"/>
              </w:rPr>
              <w:t>/a</w:t>
            </w:r>
          </w:p>
        </w:tc>
        <w:tc>
          <w:tcPr>
            <w:tcW w:w="551" w:type="pct"/>
            <w:vAlign w:val="center"/>
          </w:tcPr>
          <w:p w14:paraId="1CC51849">
            <w:pPr>
              <w:jc w:val="center"/>
              <w:rPr>
                <w:sz w:val="18"/>
                <w:szCs w:val="18"/>
              </w:rPr>
            </w:pPr>
            <w:r>
              <w:rPr>
                <w:rFonts w:hint="eastAsia"/>
                <w:sz w:val="18"/>
                <w:szCs w:val="18"/>
              </w:rPr>
              <w:t>+</w:t>
            </w:r>
            <w:r>
              <w:rPr>
                <w:rFonts w:hint="eastAsia"/>
                <w:sz w:val="18"/>
                <w:szCs w:val="18"/>
                <w:lang w:eastAsia="zh-CN"/>
              </w:rPr>
              <w:t>0.53</w:t>
            </w:r>
            <w:r>
              <w:rPr>
                <w:rFonts w:hint="eastAsia"/>
                <w:snapToGrid w:val="0"/>
                <w:kern w:val="21"/>
                <w:sz w:val="18"/>
                <w:szCs w:val="18"/>
              </w:rPr>
              <w:t>t</w:t>
            </w:r>
            <w:r>
              <w:rPr>
                <w:snapToGrid w:val="0"/>
                <w:kern w:val="21"/>
                <w:sz w:val="18"/>
                <w:szCs w:val="18"/>
              </w:rPr>
              <w:t>/a</w:t>
            </w:r>
          </w:p>
        </w:tc>
      </w:tr>
      <w:tr w14:paraId="2A530E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369" w:type="pct"/>
            <w:vMerge w:val="continue"/>
            <w:tcBorders/>
            <w:vAlign w:val="center"/>
          </w:tcPr>
          <w:p w14:paraId="77984A1D">
            <w:pPr>
              <w:pStyle w:val="55"/>
              <w:spacing w:beforeLines="0" w:afterLines="0" w:line="240" w:lineRule="auto"/>
              <w:rPr>
                <w:rFonts w:ascii="Times New Roman"/>
                <w:snapToGrid w:val="0"/>
                <w:kern w:val="21"/>
                <w:sz w:val="18"/>
                <w:szCs w:val="18"/>
              </w:rPr>
            </w:pPr>
          </w:p>
        </w:tc>
        <w:tc>
          <w:tcPr>
            <w:tcW w:w="813" w:type="pct"/>
            <w:vAlign w:val="center"/>
          </w:tcPr>
          <w:p w14:paraId="28603BF0">
            <w:pPr>
              <w:jc w:val="center"/>
              <w:rPr>
                <w:sz w:val="18"/>
                <w:szCs w:val="18"/>
              </w:rPr>
            </w:pPr>
            <w:r>
              <w:rPr>
                <w:rFonts w:hint="eastAsia"/>
                <w:sz w:val="18"/>
                <w:szCs w:val="18"/>
              </w:rPr>
              <w:t>废活性炭</w:t>
            </w:r>
          </w:p>
        </w:tc>
        <w:tc>
          <w:tcPr>
            <w:tcW w:w="510" w:type="pct"/>
            <w:vAlign w:val="center"/>
          </w:tcPr>
          <w:p w14:paraId="0EE83457">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458" w:type="pct"/>
            <w:vAlign w:val="center"/>
          </w:tcPr>
          <w:p w14:paraId="7D2CB263">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561" w:type="pct"/>
            <w:vAlign w:val="center"/>
          </w:tcPr>
          <w:p w14:paraId="36C4766D">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561" w:type="pct"/>
            <w:vAlign w:val="center"/>
          </w:tcPr>
          <w:p w14:paraId="2A00142F">
            <w:pPr>
              <w:jc w:val="center"/>
              <w:rPr>
                <w:sz w:val="18"/>
                <w:szCs w:val="18"/>
              </w:rPr>
            </w:pPr>
            <w:r>
              <w:rPr>
                <w:rFonts w:hint="eastAsia"/>
                <w:sz w:val="18"/>
                <w:szCs w:val="18"/>
                <w:lang w:eastAsia="zh-CN"/>
              </w:rPr>
              <w:t>4.4435</w:t>
            </w:r>
            <w:r>
              <w:rPr>
                <w:rFonts w:hint="eastAsia"/>
                <w:snapToGrid w:val="0"/>
                <w:kern w:val="21"/>
                <w:sz w:val="18"/>
                <w:szCs w:val="18"/>
              </w:rPr>
              <w:t>t</w:t>
            </w:r>
            <w:r>
              <w:rPr>
                <w:snapToGrid w:val="0"/>
                <w:kern w:val="21"/>
                <w:sz w:val="18"/>
                <w:szCs w:val="18"/>
              </w:rPr>
              <w:t>/a</w:t>
            </w:r>
          </w:p>
        </w:tc>
        <w:tc>
          <w:tcPr>
            <w:tcW w:w="562" w:type="pct"/>
            <w:vAlign w:val="center"/>
          </w:tcPr>
          <w:p w14:paraId="601307B8">
            <w:pPr>
              <w:pStyle w:val="55"/>
              <w:spacing w:beforeLines="0" w:afterLines="0" w:line="240" w:lineRule="auto"/>
              <w:rPr>
                <w:rFonts w:ascii="Times New Roman"/>
                <w:snapToGrid w:val="0"/>
                <w:kern w:val="21"/>
                <w:sz w:val="18"/>
                <w:szCs w:val="18"/>
              </w:rPr>
            </w:pPr>
            <w:r>
              <w:rPr>
                <w:rFonts w:hint="eastAsia" w:ascii="Times New Roman"/>
                <w:snapToGrid w:val="0"/>
                <w:kern w:val="21"/>
                <w:sz w:val="18"/>
                <w:szCs w:val="18"/>
              </w:rPr>
              <w:t>/</w:t>
            </w:r>
          </w:p>
        </w:tc>
        <w:tc>
          <w:tcPr>
            <w:tcW w:w="612" w:type="pct"/>
            <w:vAlign w:val="center"/>
          </w:tcPr>
          <w:p w14:paraId="551C03F8">
            <w:pPr>
              <w:jc w:val="center"/>
              <w:rPr>
                <w:sz w:val="18"/>
                <w:szCs w:val="18"/>
              </w:rPr>
            </w:pPr>
            <w:r>
              <w:rPr>
                <w:rFonts w:hint="eastAsia"/>
                <w:sz w:val="18"/>
                <w:szCs w:val="18"/>
                <w:lang w:eastAsia="zh-CN"/>
              </w:rPr>
              <w:t>4.4435</w:t>
            </w:r>
            <w:r>
              <w:rPr>
                <w:rFonts w:hint="eastAsia"/>
                <w:snapToGrid w:val="0"/>
                <w:kern w:val="21"/>
                <w:sz w:val="18"/>
                <w:szCs w:val="18"/>
              </w:rPr>
              <w:t>t</w:t>
            </w:r>
            <w:r>
              <w:rPr>
                <w:snapToGrid w:val="0"/>
                <w:kern w:val="21"/>
                <w:sz w:val="18"/>
                <w:szCs w:val="18"/>
              </w:rPr>
              <w:t>/a</w:t>
            </w:r>
          </w:p>
        </w:tc>
        <w:tc>
          <w:tcPr>
            <w:tcW w:w="551" w:type="pct"/>
            <w:vAlign w:val="center"/>
          </w:tcPr>
          <w:p w14:paraId="2ED1310A">
            <w:pPr>
              <w:jc w:val="center"/>
              <w:rPr>
                <w:sz w:val="18"/>
                <w:szCs w:val="18"/>
              </w:rPr>
            </w:pPr>
            <w:r>
              <w:rPr>
                <w:rFonts w:hint="eastAsia"/>
                <w:sz w:val="18"/>
                <w:szCs w:val="18"/>
              </w:rPr>
              <w:t>+</w:t>
            </w:r>
            <w:r>
              <w:rPr>
                <w:rFonts w:hint="eastAsia"/>
                <w:sz w:val="18"/>
                <w:szCs w:val="18"/>
                <w:lang w:eastAsia="zh-CN"/>
              </w:rPr>
              <w:t>4.4435</w:t>
            </w:r>
            <w:r>
              <w:rPr>
                <w:rFonts w:hint="eastAsia"/>
                <w:snapToGrid w:val="0"/>
                <w:kern w:val="21"/>
                <w:sz w:val="18"/>
                <w:szCs w:val="18"/>
              </w:rPr>
              <w:t>t</w:t>
            </w:r>
            <w:r>
              <w:rPr>
                <w:snapToGrid w:val="0"/>
                <w:kern w:val="21"/>
                <w:sz w:val="18"/>
                <w:szCs w:val="18"/>
              </w:rPr>
              <w:t>/a</w:t>
            </w:r>
          </w:p>
        </w:tc>
      </w:tr>
      <w:tr w14:paraId="3DACB6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369" w:type="pct"/>
            <w:vMerge w:val="continue"/>
            <w:tcBorders/>
            <w:vAlign w:val="center"/>
          </w:tcPr>
          <w:p w14:paraId="25AD465B">
            <w:pPr>
              <w:pStyle w:val="55"/>
              <w:spacing w:beforeLines="0" w:afterLines="0" w:line="240" w:lineRule="auto"/>
              <w:rPr>
                <w:rFonts w:ascii="Times New Roman"/>
                <w:snapToGrid w:val="0"/>
                <w:kern w:val="21"/>
                <w:sz w:val="18"/>
                <w:szCs w:val="18"/>
              </w:rPr>
            </w:pPr>
          </w:p>
        </w:tc>
        <w:tc>
          <w:tcPr>
            <w:tcW w:w="813" w:type="pct"/>
            <w:vAlign w:val="center"/>
          </w:tcPr>
          <w:p w14:paraId="0C9BBBD1">
            <w:pPr>
              <w:jc w:val="center"/>
              <w:rPr>
                <w:sz w:val="18"/>
                <w:szCs w:val="18"/>
              </w:rPr>
            </w:pPr>
            <w:r>
              <w:rPr>
                <w:rFonts w:hint="eastAsia"/>
                <w:sz w:val="18"/>
                <w:szCs w:val="18"/>
                <w:lang w:val="en-US" w:eastAsia="zh-CN"/>
              </w:rPr>
              <w:t>初道</w:t>
            </w:r>
            <w:r>
              <w:rPr>
                <w:rFonts w:hint="eastAsia"/>
                <w:sz w:val="18"/>
                <w:szCs w:val="18"/>
              </w:rPr>
              <w:t>清洗废水</w:t>
            </w:r>
          </w:p>
        </w:tc>
        <w:tc>
          <w:tcPr>
            <w:tcW w:w="510" w:type="pct"/>
            <w:vAlign w:val="center"/>
          </w:tcPr>
          <w:p w14:paraId="2659C13E">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458" w:type="pct"/>
            <w:vAlign w:val="center"/>
          </w:tcPr>
          <w:p w14:paraId="5AC4DCD7">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561" w:type="pct"/>
            <w:vAlign w:val="center"/>
          </w:tcPr>
          <w:p w14:paraId="3D8AB8B1">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561" w:type="pct"/>
            <w:vAlign w:val="center"/>
          </w:tcPr>
          <w:p w14:paraId="67F63B6C">
            <w:pPr>
              <w:jc w:val="center"/>
              <w:rPr>
                <w:sz w:val="18"/>
                <w:szCs w:val="18"/>
              </w:rPr>
            </w:pPr>
            <w:r>
              <w:rPr>
                <w:rFonts w:hint="eastAsia"/>
                <w:sz w:val="18"/>
                <w:szCs w:val="18"/>
                <w:lang w:val="en-US" w:eastAsia="zh-CN"/>
              </w:rPr>
              <w:t>2</w:t>
            </w:r>
            <w:r>
              <w:rPr>
                <w:rFonts w:hint="eastAsia"/>
                <w:snapToGrid w:val="0"/>
                <w:kern w:val="21"/>
                <w:sz w:val="18"/>
                <w:szCs w:val="18"/>
              </w:rPr>
              <w:t>t</w:t>
            </w:r>
            <w:r>
              <w:rPr>
                <w:snapToGrid w:val="0"/>
                <w:kern w:val="21"/>
                <w:sz w:val="18"/>
                <w:szCs w:val="18"/>
              </w:rPr>
              <w:t>/a</w:t>
            </w:r>
          </w:p>
        </w:tc>
        <w:tc>
          <w:tcPr>
            <w:tcW w:w="562" w:type="pct"/>
            <w:vAlign w:val="center"/>
          </w:tcPr>
          <w:p w14:paraId="152993A9">
            <w:pPr>
              <w:pStyle w:val="55"/>
              <w:spacing w:beforeLines="0" w:afterLines="0" w:line="240" w:lineRule="auto"/>
              <w:rPr>
                <w:rFonts w:ascii="Times New Roman"/>
                <w:snapToGrid w:val="0"/>
                <w:kern w:val="21"/>
                <w:sz w:val="18"/>
                <w:szCs w:val="18"/>
              </w:rPr>
            </w:pPr>
            <w:r>
              <w:rPr>
                <w:rFonts w:hint="eastAsia" w:ascii="Times New Roman"/>
                <w:snapToGrid w:val="0"/>
                <w:kern w:val="21"/>
                <w:sz w:val="18"/>
                <w:szCs w:val="18"/>
              </w:rPr>
              <w:t>/</w:t>
            </w:r>
          </w:p>
        </w:tc>
        <w:tc>
          <w:tcPr>
            <w:tcW w:w="612" w:type="pct"/>
            <w:vAlign w:val="center"/>
          </w:tcPr>
          <w:p w14:paraId="2F76131B">
            <w:pPr>
              <w:jc w:val="center"/>
              <w:rPr>
                <w:sz w:val="18"/>
                <w:szCs w:val="18"/>
              </w:rPr>
            </w:pPr>
            <w:r>
              <w:rPr>
                <w:rFonts w:hint="eastAsia"/>
                <w:sz w:val="18"/>
                <w:szCs w:val="18"/>
                <w:lang w:val="en-US" w:eastAsia="zh-CN"/>
              </w:rPr>
              <w:t>2</w:t>
            </w:r>
            <w:r>
              <w:rPr>
                <w:rFonts w:hint="eastAsia"/>
                <w:snapToGrid w:val="0"/>
                <w:kern w:val="21"/>
                <w:sz w:val="18"/>
                <w:szCs w:val="18"/>
              </w:rPr>
              <w:t>t</w:t>
            </w:r>
            <w:r>
              <w:rPr>
                <w:snapToGrid w:val="0"/>
                <w:kern w:val="21"/>
                <w:sz w:val="18"/>
                <w:szCs w:val="18"/>
              </w:rPr>
              <w:t>/a</w:t>
            </w:r>
          </w:p>
        </w:tc>
        <w:tc>
          <w:tcPr>
            <w:tcW w:w="551" w:type="pct"/>
            <w:vAlign w:val="center"/>
          </w:tcPr>
          <w:p w14:paraId="06DFE467">
            <w:pPr>
              <w:jc w:val="center"/>
              <w:rPr>
                <w:sz w:val="18"/>
                <w:szCs w:val="18"/>
              </w:rPr>
            </w:pPr>
            <w:r>
              <w:rPr>
                <w:rFonts w:hint="eastAsia"/>
                <w:sz w:val="18"/>
                <w:szCs w:val="18"/>
              </w:rPr>
              <w:t>+</w:t>
            </w:r>
            <w:r>
              <w:rPr>
                <w:rFonts w:hint="eastAsia"/>
                <w:sz w:val="18"/>
                <w:szCs w:val="18"/>
                <w:lang w:val="en-US" w:eastAsia="zh-CN"/>
              </w:rPr>
              <w:t>2</w:t>
            </w:r>
            <w:r>
              <w:rPr>
                <w:rFonts w:hint="eastAsia"/>
                <w:snapToGrid w:val="0"/>
                <w:kern w:val="21"/>
                <w:sz w:val="18"/>
                <w:szCs w:val="18"/>
              </w:rPr>
              <w:t>t</w:t>
            </w:r>
            <w:r>
              <w:rPr>
                <w:snapToGrid w:val="0"/>
                <w:kern w:val="21"/>
                <w:sz w:val="18"/>
                <w:szCs w:val="18"/>
              </w:rPr>
              <w:t>/a</w:t>
            </w:r>
          </w:p>
        </w:tc>
      </w:tr>
      <w:tr w14:paraId="05D96A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69" w:type="pct"/>
            <w:vMerge w:val="continue"/>
            <w:tcBorders/>
            <w:vAlign w:val="center"/>
          </w:tcPr>
          <w:p w14:paraId="0AA7840C">
            <w:pPr>
              <w:pStyle w:val="55"/>
              <w:spacing w:beforeLines="0" w:afterLines="0" w:line="240" w:lineRule="auto"/>
              <w:rPr>
                <w:rFonts w:ascii="Times New Roman"/>
                <w:snapToGrid w:val="0"/>
                <w:kern w:val="21"/>
                <w:sz w:val="18"/>
                <w:szCs w:val="18"/>
              </w:rPr>
            </w:pPr>
          </w:p>
        </w:tc>
        <w:tc>
          <w:tcPr>
            <w:tcW w:w="813" w:type="pct"/>
            <w:vAlign w:val="center"/>
          </w:tcPr>
          <w:p w14:paraId="40CD7B65">
            <w:pPr>
              <w:jc w:val="center"/>
              <w:rPr>
                <w:sz w:val="18"/>
                <w:szCs w:val="18"/>
              </w:rPr>
            </w:pPr>
            <w:r>
              <w:rPr>
                <w:rFonts w:hint="eastAsia"/>
                <w:sz w:val="18"/>
                <w:szCs w:val="18"/>
              </w:rPr>
              <w:t>喷淋废液</w:t>
            </w:r>
          </w:p>
        </w:tc>
        <w:tc>
          <w:tcPr>
            <w:tcW w:w="510" w:type="pct"/>
            <w:vAlign w:val="center"/>
          </w:tcPr>
          <w:p w14:paraId="7097D062">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458" w:type="pct"/>
            <w:vAlign w:val="center"/>
          </w:tcPr>
          <w:p w14:paraId="1D411400">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561" w:type="pct"/>
            <w:vAlign w:val="center"/>
          </w:tcPr>
          <w:p w14:paraId="218655FE">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561" w:type="pct"/>
            <w:vAlign w:val="center"/>
          </w:tcPr>
          <w:p w14:paraId="2F1F2110">
            <w:pPr>
              <w:jc w:val="center"/>
              <w:rPr>
                <w:sz w:val="18"/>
                <w:szCs w:val="18"/>
              </w:rPr>
            </w:pPr>
            <w:r>
              <w:rPr>
                <w:rFonts w:hint="eastAsia"/>
                <w:sz w:val="18"/>
                <w:szCs w:val="18"/>
              </w:rPr>
              <w:t>0.4</w:t>
            </w:r>
            <w:r>
              <w:rPr>
                <w:rFonts w:hint="eastAsia"/>
                <w:snapToGrid w:val="0"/>
                <w:kern w:val="21"/>
                <w:sz w:val="18"/>
                <w:szCs w:val="18"/>
              </w:rPr>
              <w:t>t</w:t>
            </w:r>
            <w:r>
              <w:rPr>
                <w:snapToGrid w:val="0"/>
                <w:kern w:val="21"/>
                <w:sz w:val="18"/>
                <w:szCs w:val="18"/>
              </w:rPr>
              <w:t>/a</w:t>
            </w:r>
          </w:p>
        </w:tc>
        <w:tc>
          <w:tcPr>
            <w:tcW w:w="562" w:type="pct"/>
            <w:vAlign w:val="center"/>
          </w:tcPr>
          <w:p w14:paraId="1D8ED5C2">
            <w:pPr>
              <w:pStyle w:val="55"/>
              <w:spacing w:beforeLines="0" w:afterLines="0" w:line="240" w:lineRule="auto"/>
              <w:rPr>
                <w:rFonts w:ascii="Times New Roman"/>
                <w:snapToGrid w:val="0"/>
                <w:kern w:val="21"/>
                <w:sz w:val="18"/>
                <w:szCs w:val="18"/>
              </w:rPr>
            </w:pPr>
            <w:r>
              <w:rPr>
                <w:rFonts w:hint="eastAsia" w:ascii="Times New Roman"/>
                <w:snapToGrid w:val="0"/>
                <w:kern w:val="21"/>
                <w:sz w:val="18"/>
                <w:szCs w:val="18"/>
              </w:rPr>
              <w:t>/</w:t>
            </w:r>
          </w:p>
        </w:tc>
        <w:tc>
          <w:tcPr>
            <w:tcW w:w="612" w:type="pct"/>
            <w:vAlign w:val="center"/>
          </w:tcPr>
          <w:p w14:paraId="142298C3">
            <w:pPr>
              <w:jc w:val="center"/>
              <w:rPr>
                <w:sz w:val="18"/>
                <w:szCs w:val="18"/>
              </w:rPr>
            </w:pPr>
            <w:r>
              <w:rPr>
                <w:rFonts w:hint="eastAsia"/>
                <w:sz w:val="18"/>
                <w:szCs w:val="18"/>
              </w:rPr>
              <w:t>0.4</w:t>
            </w:r>
            <w:r>
              <w:rPr>
                <w:rFonts w:hint="eastAsia"/>
                <w:snapToGrid w:val="0"/>
                <w:kern w:val="21"/>
                <w:sz w:val="18"/>
                <w:szCs w:val="18"/>
              </w:rPr>
              <w:t>t</w:t>
            </w:r>
            <w:r>
              <w:rPr>
                <w:snapToGrid w:val="0"/>
                <w:kern w:val="21"/>
                <w:sz w:val="18"/>
                <w:szCs w:val="18"/>
              </w:rPr>
              <w:t>/a</w:t>
            </w:r>
          </w:p>
        </w:tc>
        <w:tc>
          <w:tcPr>
            <w:tcW w:w="551" w:type="pct"/>
            <w:vAlign w:val="center"/>
          </w:tcPr>
          <w:p w14:paraId="69EAC7A4">
            <w:pPr>
              <w:jc w:val="center"/>
              <w:rPr>
                <w:sz w:val="18"/>
                <w:szCs w:val="18"/>
              </w:rPr>
            </w:pPr>
            <w:r>
              <w:rPr>
                <w:rFonts w:hint="eastAsia"/>
                <w:sz w:val="18"/>
                <w:szCs w:val="18"/>
              </w:rPr>
              <w:t>+0.4</w:t>
            </w:r>
            <w:r>
              <w:rPr>
                <w:rFonts w:hint="eastAsia"/>
                <w:snapToGrid w:val="0"/>
                <w:kern w:val="21"/>
                <w:sz w:val="18"/>
                <w:szCs w:val="18"/>
              </w:rPr>
              <w:t>t</w:t>
            </w:r>
            <w:r>
              <w:rPr>
                <w:snapToGrid w:val="0"/>
                <w:kern w:val="21"/>
                <w:sz w:val="18"/>
                <w:szCs w:val="18"/>
              </w:rPr>
              <w:t>/a</w:t>
            </w:r>
          </w:p>
        </w:tc>
      </w:tr>
      <w:tr w14:paraId="2017B3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9" w:type="pct"/>
            <w:vMerge w:val="continue"/>
            <w:tcBorders/>
            <w:vAlign w:val="center"/>
          </w:tcPr>
          <w:p w14:paraId="0DD46A7E">
            <w:pPr>
              <w:pStyle w:val="55"/>
              <w:spacing w:beforeLines="0" w:afterLines="0" w:line="240" w:lineRule="auto"/>
              <w:rPr>
                <w:rFonts w:ascii="Times New Roman"/>
                <w:snapToGrid w:val="0"/>
                <w:kern w:val="21"/>
                <w:sz w:val="18"/>
                <w:szCs w:val="18"/>
              </w:rPr>
            </w:pPr>
          </w:p>
        </w:tc>
        <w:tc>
          <w:tcPr>
            <w:tcW w:w="813" w:type="pct"/>
            <w:vAlign w:val="center"/>
          </w:tcPr>
          <w:p w14:paraId="513AE615">
            <w:pPr>
              <w:pStyle w:val="55"/>
              <w:spacing w:before="24" w:after="24"/>
              <w:rPr>
                <w:sz w:val="18"/>
                <w:szCs w:val="18"/>
              </w:rPr>
            </w:pPr>
            <w:r>
              <w:rPr>
                <w:rFonts w:hint="eastAsia"/>
                <w:bCs/>
                <w:kern w:val="2"/>
                <w:sz w:val="18"/>
                <w:szCs w:val="18"/>
              </w:rPr>
              <w:t>废实验耗材</w:t>
            </w:r>
          </w:p>
        </w:tc>
        <w:tc>
          <w:tcPr>
            <w:tcW w:w="510" w:type="pct"/>
            <w:vAlign w:val="center"/>
          </w:tcPr>
          <w:p w14:paraId="5B99A2AC">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458" w:type="pct"/>
            <w:vAlign w:val="center"/>
          </w:tcPr>
          <w:p w14:paraId="300281AB">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561" w:type="pct"/>
            <w:vAlign w:val="center"/>
          </w:tcPr>
          <w:p w14:paraId="6B354726">
            <w:pPr>
              <w:pStyle w:val="55"/>
              <w:spacing w:beforeLines="0" w:afterLines="0" w:line="240" w:lineRule="auto"/>
              <w:rPr>
                <w:rFonts w:ascii="Times New Roman"/>
                <w:snapToGrid w:val="0"/>
                <w:kern w:val="21"/>
                <w:sz w:val="18"/>
                <w:szCs w:val="18"/>
              </w:rPr>
            </w:pPr>
            <w:r>
              <w:rPr>
                <w:rFonts w:ascii="Times New Roman"/>
                <w:snapToGrid w:val="0"/>
                <w:kern w:val="21"/>
                <w:sz w:val="18"/>
                <w:szCs w:val="18"/>
              </w:rPr>
              <w:t>/</w:t>
            </w:r>
          </w:p>
        </w:tc>
        <w:tc>
          <w:tcPr>
            <w:tcW w:w="561" w:type="pct"/>
            <w:vAlign w:val="center"/>
          </w:tcPr>
          <w:p w14:paraId="75F76853">
            <w:pPr>
              <w:jc w:val="center"/>
              <w:rPr>
                <w:sz w:val="18"/>
                <w:szCs w:val="18"/>
              </w:rPr>
            </w:pPr>
            <w:r>
              <w:rPr>
                <w:rFonts w:hint="eastAsia"/>
                <w:sz w:val="18"/>
                <w:szCs w:val="18"/>
              </w:rPr>
              <w:t>0.1</w:t>
            </w:r>
            <w:r>
              <w:rPr>
                <w:rFonts w:hint="eastAsia"/>
                <w:snapToGrid w:val="0"/>
                <w:kern w:val="21"/>
                <w:sz w:val="18"/>
                <w:szCs w:val="18"/>
              </w:rPr>
              <w:t>t</w:t>
            </w:r>
            <w:r>
              <w:rPr>
                <w:snapToGrid w:val="0"/>
                <w:kern w:val="21"/>
                <w:sz w:val="18"/>
                <w:szCs w:val="18"/>
              </w:rPr>
              <w:t>/a</w:t>
            </w:r>
          </w:p>
        </w:tc>
        <w:tc>
          <w:tcPr>
            <w:tcW w:w="562" w:type="pct"/>
            <w:vAlign w:val="center"/>
          </w:tcPr>
          <w:p w14:paraId="2F6A2B2B">
            <w:pPr>
              <w:pStyle w:val="55"/>
              <w:spacing w:beforeLines="0" w:afterLines="0" w:line="240" w:lineRule="auto"/>
              <w:rPr>
                <w:rFonts w:ascii="Times New Roman"/>
                <w:snapToGrid w:val="0"/>
                <w:kern w:val="21"/>
                <w:sz w:val="18"/>
                <w:szCs w:val="18"/>
              </w:rPr>
            </w:pPr>
            <w:r>
              <w:rPr>
                <w:rFonts w:hint="eastAsia" w:ascii="Times New Roman"/>
                <w:snapToGrid w:val="0"/>
                <w:kern w:val="21"/>
                <w:sz w:val="18"/>
                <w:szCs w:val="18"/>
              </w:rPr>
              <w:t>/</w:t>
            </w:r>
          </w:p>
        </w:tc>
        <w:tc>
          <w:tcPr>
            <w:tcW w:w="612" w:type="pct"/>
            <w:vAlign w:val="center"/>
          </w:tcPr>
          <w:p w14:paraId="1706E392">
            <w:pPr>
              <w:jc w:val="center"/>
              <w:rPr>
                <w:sz w:val="18"/>
                <w:szCs w:val="18"/>
              </w:rPr>
            </w:pPr>
            <w:r>
              <w:rPr>
                <w:rFonts w:hint="eastAsia"/>
                <w:sz w:val="18"/>
                <w:szCs w:val="18"/>
              </w:rPr>
              <w:t>0.1</w:t>
            </w:r>
            <w:r>
              <w:rPr>
                <w:rFonts w:hint="eastAsia"/>
                <w:snapToGrid w:val="0"/>
                <w:kern w:val="21"/>
                <w:sz w:val="18"/>
                <w:szCs w:val="18"/>
              </w:rPr>
              <w:t>t</w:t>
            </w:r>
            <w:r>
              <w:rPr>
                <w:snapToGrid w:val="0"/>
                <w:kern w:val="21"/>
                <w:sz w:val="18"/>
                <w:szCs w:val="18"/>
              </w:rPr>
              <w:t>/a</w:t>
            </w:r>
          </w:p>
        </w:tc>
        <w:tc>
          <w:tcPr>
            <w:tcW w:w="551" w:type="pct"/>
            <w:vAlign w:val="center"/>
          </w:tcPr>
          <w:p w14:paraId="7E550E6F">
            <w:pPr>
              <w:jc w:val="center"/>
              <w:rPr>
                <w:sz w:val="18"/>
                <w:szCs w:val="18"/>
              </w:rPr>
            </w:pPr>
            <w:r>
              <w:rPr>
                <w:rFonts w:hint="eastAsia"/>
                <w:sz w:val="18"/>
                <w:szCs w:val="18"/>
              </w:rPr>
              <w:t>+0.1</w:t>
            </w:r>
            <w:r>
              <w:rPr>
                <w:rFonts w:hint="eastAsia"/>
                <w:snapToGrid w:val="0"/>
                <w:kern w:val="21"/>
                <w:sz w:val="18"/>
                <w:szCs w:val="18"/>
              </w:rPr>
              <w:t>t</w:t>
            </w:r>
            <w:r>
              <w:rPr>
                <w:snapToGrid w:val="0"/>
                <w:kern w:val="21"/>
                <w:sz w:val="18"/>
                <w:szCs w:val="18"/>
              </w:rPr>
              <w:t>/a</w:t>
            </w:r>
          </w:p>
        </w:tc>
      </w:tr>
      <w:tr w14:paraId="35AE8D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69" w:type="pct"/>
            <w:vMerge w:val="continue"/>
            <w:tcBorders/>
            <w:vAlign w:val="center"/>
          </w:tcPr>
          <w:p w14:paraId="32C00678">
            <w:pPr>
              <w:pStyle w:val="55"/>
              <w:spacing w:beforeLines="0" w:afterLines="0" w:line="240" w:lineRule="auto"/>
              <w:rPr>
                <w:rFonts w:ascii="Times New Roman"/>
                <w:snapToGrid w:val="0"/>
                <w:kern w:val="21"/>
                <w:sz w:val="18"/>
                <w:szCs w:val="18"/>
              </w:rPr>
            </w:pPr>
            <w:bookmarkStart w:id="25" w:name="PageNo100850084"/>
          </w:p>
        </w:tc>
        <w:tc>
          <w:tcPr>
            <w:tcW w:w="813" w:type="pct"/>
            <w:vAlign w:val="center"/>
          </w:tcPr>
          <w:p w14:paraId="14A93691">
            <w:pPr>
              <w:keepNext w:val="0"/>
              <w:keepLines w:val="0"/>
              <w:widowControl/>
              <w:suppressLineNumbers w:val="0"/>
              <w:jc w:val="center"/>
              <w:textAlignment w:val="center"/>
              <w:rPr>
                <w:rFonts w:hint="eastAsia"/>
                <w:bCs/>
                <w:kern w:val="2"/>
                <w:sz w:val="18"/>
                <w:szCs w:val="18"/>
              </w:rPr>
            </w:pPr>
            <w:r>
              <w:rPr>
                <w:rFonts w:hint="eastAsia" w:ascii="宋体" w:hAnsi="宋体" w:eastAsia="宋体" w:cs="宋体"/>
                <w:i w:val="0"/>
                <w:iCs w:val="0"/>
                <w:color w:val="000000"/>
                <w:kern w:val="0"/>
                <w:sz w:val="18"/>
                <w:szCs w:val="18"/>
                <w:u w:val="none"/>
                <w:lang w:val="en-US" w:eastAsia="zh-CN" w:bidi="ar"/>
              </w:rPr>
              <w:t>废水处理污泥</w:t>
            </w:r>
          </w:p>
        </w:tc>
        <w:tc>
          <w:tcPr>
            <w:tcW w:w="510" w:type="pct"/>
            <w:shd w:val="clear"/>
            <w:vAlign w:val="center"/>
          </w:tcPr>
          <w:p w14:paraId="375D6F02">
            <w:pPr>
              <w:pStyle w:val="55"/>
              <w:spacing w:beforeLines="0" w:afterLines="0" w:line="240" w:lineRule="auto"/>
              <w:rPr>
                <w:rFonts w:ascii="Times New Roman" w:hAnsi="Times New Roman" w:eastAsia="宋体" w:cs="Times New Roman"/>
                <w:snapToGrid w:val="0"/>
                <w:kern w:val="21"/>
                <w:sz w:val="18"/>
                <w:szCs w:val="18"/>
                <w:lang w:val="en-US" w:eastAsia="zh-CN" w:bidi="ar-SA"/>
              </w:rPr>
            </w:pPr>
            <w:r>
              <w:rPr>
                <w:rFonts w:ascii="Times New Roman"/>
                <w:snapToGrid w:val="0"/>
                <w:kern w:val="21"/>
                <w:sz w:val="18"/>
                <w:szCs w:val="18"/>
              </w:rPr>
              <w:t>/</w:t>
            </w:r>
            <w:bookmarkStart w:id="27" w:name="_GoBack"/>
            <w:bookmarkEnd w:id="27"/>
          </w:p>
        </w:tc>
        <w:tc>
          <w:tcPr>
            <w:tcW w:w="458" w:type="pct"/>
            <w:shd w:val="clear"/>
            <w:vAlign w:val="center"/>
          </w:tcPr>
          <w:p w14:paraId="1EFAB972">
            <w:pPr>
              <w:pStyle w:val="55"/>
              <w:spacing w:beforeLines="0" w:afterLines="0" w:line="240" w:lineRule="auto"/>
              <w:rPr>
                <w:rFonts w:ascii="Times New Roman" w:hAnsi="Times New Roman" w:eastAsia="宋体" w:cs="Times New Roman"/>
                <w:snapToGrid w:val="0"/>
                <w:kern w:val="21"/>
                <w:sz w:val="18"/>
                <w:szCs w:val="18"/>
                <w:lang w:val="en-US" w:eastAsia="zh-CN" w:bidi="ar-SA"/>
              </w:rPr>
            </w:pPr>
            <w:r>
              <w:rPr>
                <w:rFonts w:ascii="Times New Roman"/>
                <w:snapToGrid w:val="0"/>
                <w:kern w:val="21"/>
                <w:sz w:val="18"/>
                <w:szCs w:val="18"/>
              </w:rPr>
              <w:t>/</w:t>
            </w:r>
          </w:p>
        </w:tc>
        <w:tc>
          <w:tcPr>
            <w:tcW w:w="561" w:type="pct"/>
            <w:shd w:val="clear"/>
            <w:vAlign w:val="center"/>
          </w:tcPr>
          <w:p w14:paraId="37ABD750">
            <w:pPr>
              <w:pStyle w:val="55"/>
              <w:spacing w:beforeLines="0" w:afterLines="0" w:line="240" w:lineRule="auto"/>
              <w:rPr>
                <w:rFonts w:ascii="Times New Roman" w:hAnsi="Times New Roman" w:eastAsia="宋体" w:cs="Times New Roman"/>
                <w:snapToGrid w:val="0"/>
                <w:kern w:val="21"/>
                <w:sz w:val="18"/>
                <w:szCs w:val="18"/>
                <w:lang w:val="en-US" w:eastAsia="zh-CN" w:bidi="ar-SA"/>
              </w:rPr>
            </w:pPr>
            <w:r>
              <w:rPr>
                <w:rFonts w:ascii="Times New Roman"/>
                <w:snapToGrid w:val="0"/>
                <w:kern w:val="21"/>
                <w:sz w:val="18"/>
                <w:szCs w:val="18"/>
              </w:rPr>
              <w:t>/</w:t>
            </w:r>
          </w:p>
        </w:tc>
        <w:tc>
          <w:tcPr>
            <w:tcW w:w="561" w:type="pct"/>
            <w:shd w:val="clear"/>
            <w:vAlign w:val="center"/>
          </w:tcPr>
          <w:p w14:paraId="6A1F44A6">
            <w:pPr>
              <w:jc w:val="center"/>
              <w:rPr>
                <w:rFonts w:hint="eastAsia" w:ascii="Times New Roman" w:hAnsi="Times New Roman" w:eastAsia="宋体" w:cs="Times New Roman"/>
                <w:kern w:val="2"/>
                <w:sz w:val="18"/>
                <w:szCs w:val="18"/>
                <w:lang w:val="en-US" w:eastAsia="zh-CN" w:bidi="ar-SA"/>
              </w:rPr>
            </w:pPr>
            <w:r>
              <w:rPr>
                <w:rFonts w:hint="eastAsia"/>
                <w:sz w:val="18"/>
                <w:szCs w:val="18"/>
              </w:rPr>
              <w:t>0.1</w:t>
            </w:r>
            <w:r>
              <w:rPr>
                <w:rFonts w:hint="eastAsia"/>
                <w:snapToGrid w:val="0"/>
                <w:kern w:val="21"/>
                <w:sz w:val="18"/>
                <w:szCs w:val="18"/>
              </w:rPr>
              <w:t>t</w:t>
            </w:r>
            <w:r>
              <w:rPr>
                <w:snapToGrid w:val="0"/>
                <w:kern w:val="21"/>
                <w:sz w:val="18"/>
                <w:szCs w:val="18"/>
              </w:rPr>
              <w:t>/a</w:t>
            </w:r>
          </w:p>
        </w:tc>
        <w:tc>
          <w:tcPr>
            <w:tcW w:w="562" w:type="pct"/>
            <w:shd w:val="clear"/>
            <w:vAlign w:val="center"/>
          </w:tcPr>
          <w:p w14:paraId="592348DA">
            <w:pPr>
              <w:pStyle w:val="55"/>
              <w:spacing w:beforeLines="0" w:afterLines="0" w:line="240" w:lineRule="auto"/>
              <w:rPr>
                <w:rFonts w:hint="eastAsia" w:ascii="Times New Roman" w:hAnsi="Times New Roman" w:eastAsia="宋体" w:cs="Times New Roman"/>
                <w:snapToGrid w:val="0"/>
                <w:kern w:val="21"/>
                <w:sz w:val="18"/>
                <w:szCs w:val="18"/>
                <w:lang w:val="en-US" w:eastAsia="zh-CN" w:bidi="ar-SA"/>
              </w:rPr>
            </w:pPr>
            <w:r>
              <w:rPr>
                <w:rFonts w:hint="eastAsia" w:ascii="Times New Roman"/>
                <w:snapToGrid w:val="0"/>
                <w:kern w:val="21"/>
                <w:sz w:val="18"/>
                <w:szCs w:val="18"/>
              </w:rPr>
              <w:t>/</w:t>
            </w:r>
          </w:p>
        </w:tc>
        <w:tc>
          <w:tcPr>
            <w:tcW w:w="612" w:type="pct"/>
            <w:shd w:val="clear"/>
            <w:vAlign w:val="center"/>
          </w:tcPr>
          <w:p w14:paraId="154E7512">
            <w:pPr>
              <w:jc w:val="center"/>
              <w:rPr>
                <w:rFonts w:hint="eastAsia" w:ascii="Times New Roman" w:hAnsi="Times New Roman" w:eastAsia="宋体" w:cs="Times New Roman"/>
                <w:kern w:val="2"/>
                <w:sz w:val="18"/>
                <w:szCs w:val="18"/>
                <w:lang w:val="en-US" w:eastAsia="zh-CN" w:bidi="ar-SA"/>
              </w:rPr>
            </w:pPr>
            <w:r>
              <w:rPr>
                <w:rFonts w:hint="eastAsia"/>
                <w:sz w:val="18"/>
                <w:szCs w:val="18"/>
              </w:rPr>
              <w:t>0.1</w:t>
            </w:r>
            <w:r>
              <w:rPr>
                <w:rFonts w:hint="eastAsia"/>
                <w:snapToGrid w:val="0"/>
                <w:kern w:val="21"/>
                <w:sz w:val="18"/>
                <w:szCs w:val="18"/>
              </w:rPr>
              <w:t>t</w:t>
            </w:r>
            <w:r>
              <w:rPr>
                <w:snapToGrid w:val="0"/>
                <w:kern w:val="21"/>
                <w:sz w:val="18"/>
                <w:szCs w:val="18"/>
              </w:rPr>
              <w:t>/a</w:t>
            </w:r>
          </w:p>
        </w:tc>
        <w:tc>
          <w:tcPr>
            <w:tcW w:w="551" w:type="pct"/>
            <w:shd w:val="clear"/>
            <w:vAlign w:val="center"/>
          </w:tcPr>
          <w:p w14:paraId="23BD79F1">
            <w:pPr>
              <w:jc w:val="center"/>
              <w:rPr>
                <w:rFonts w:hint="eastAsia" w:ascii="Times New Roman" w:hAnsi="Times New Roman" w:eastAsia="宋体" w:cs="Times New Roman"/>
                <w:kern w:val="2"/>
                <w:sz w:val="18"/>
                <w:szCs w:val="18"/>
                <w:lang w:val="en-US" w:eastAsia="zh-CN" w:bidi="ar-SA"/>
              </w:rPr>
            </w:pPr>
            <w:r>
              <w:rPr>
                <w:rFonts w:hint="eastAsia"/>
                <w:sz w:val="18"/>
                <w:szCs w:val="18"/>
              </w:rPr>
              <w:t>+0.1</w:t>
            </w:r>
            <w:r>
              <w:rPr>
                <w:rFonts w:hint="eastAsia"/>
                <w:snapToGrid w:val="0"/>
                <w:kern w:val="21"/>
                <w:sz w:val="18"/>
                <w:szCs w:val="18"/>
              </w:rPr>
              <w:t>t</w:t>
            </w:r>
            <w:r>
              <w:rPr>
                <w:snapToGrid w:val="0"/>
                <w:kern w:val="21"/>
                <w:sz w:val="18"/>
                <w:szCs w:val="18"/>
              </w:rPr>
              <w:t>/a</w:t>
            </w:r>
          </w:p>
        </w:tc>
      </w:tr>
      <w:tr w14:paraId="498397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69" w:type="pct"/>
            <w:vMerge w:val="continue"/>
            <w:tcBorders/>
            <w:vAlign w:val="center"/>
          </w:tcPr>
          <w:p w14:paraId="05828E5E">
            <w:pPr>
              <w:pStyle w:val="55"/>
              <w:spacing w:beforeLines="0" w:afterLines="0" w:line="240" w:lineRule="auto"/>
              <w:rPr>
                <w:rFonts w:ascii="Times New Roman"/>
                <w:snapToGrid w:val="0"/>
                <w:kern w:val="21"/>
                <w:sz w:val="18"/>
                <w:szCs w:val="18"/>
              </w:rPr>
            </w:pPr>
          </w:p>
        </w:tc>
        <w:tc>
          <w:tcPr>
            <w:tcW w:w="813" w:type="pct"/>
            <w:vAlign w:val="center"/>
          </w:tcPr>
          <w:p w14:paraId="3334D8E3">
            <w:pPr>
              <w:keepNext w:val="0"/>
              <w:keepLines w:val="0"/>
              <w:widowControl/>
              <w:suppressLineNumbers w:val="0"/>
              <w:jc w:val="center"/>
              <w:textAlignment w:val="center"/>
              <w:rPr>
                <w:rFonts w:hint="eastAsia"/>
                <w:bCs/>
                <w:kern w:val="2"/>
                <w:sz w:val="18"/>
                <w:szCs w:val="18"/>
              </w:rPr>
            </w:pPr>
            <w:r>
              <w:rPr>
                <w:rFonts w:hint="eastAsia" w:ascii="宋体" w:hAnsi="宋体" w:eastAsia="宋体" w:cs="宋体"/>
                <w:i w:val="0"/>
                <w:iCs w:val="0"/>
                <w:color w:val="000000"/>
                <w:kern w:val="0"/>
                <w:sz w:val="18"/>
                <w:szCs w:val="18"/>
                <w:u w:val="none"/>
                <w:lang w:val="en-US" w:eastAsia="zh-CN" w:bidi="ar"/>
              </w:rPr>
              <w:t>废过滤介质</w:t>
            </w:r>
          </w:p>
        </w:tc>
        <w:tc>
          <w:tcPr>
            <w:tcW w:w="510" w:type="pct"/>
            <w:shd w:val="clear"/>
            <w:vAlign w:val="center"/>
          </w:tcPr>
          <w:p w14:paraId="27556754">
            <w:pPr>
              <w:pStyle w:val="55"/>
              <w:spacing w:beforeLines="0" w:afterLines="0" w:line="240" w:lineRule="auto"/>
              <w:rPr>
                <w:rFonts w:ascii="Times New Roman" w:hAnsi="Times New Roman" w:eastAsia="宋体" w:cs="Times New Roman"/>
                <w:snapToGrid w:val="0"/>
                <w:kern w:val="21"/>
                <w:sz w:val="18"/>
                <w:szCs w:val="18"/>
                <w:lang w:val="en-US" w:eastAsia="zh-CN" w:bidi="ar-SA"/>
              </w:rPr>
            </w:pPr>
            <w:r>
              <w:rPr>
                <w:rFonts w:ascii="Times New Roman"/>
                <w:snapToGrid w:val="0"/>
                <w:kern w:val="21"/>
                <w:sz w:val="18"/>
                <w:szCs w:val="18"/>
              </w:rPr>
              <w:t>/</w:t>
            </w:r>
          </w:p>
        </w:tc>
        <w:tc>
          <w:tcPr>
            <w:tcW w:w="458" w:type="pct"/>
            <w:shd w:val="clear"/>
            <w:vAlign w:val="center"/>
          </w:tcPr>
          <w:p w14:paraId="7820A624">
            <w:pPr>
              <w:pStyle w:val="55"/>
              <w:spacing w:beforeLines="0" w:afterLines="0" w:line="240" w:lineRule="auto"/>
              <w:rPr>
                <w:rFonts w:ascii="Times New Roman" w:hAnsi="Times New Roman" w:eastAsia="宋体" w:cs="Times New Roman"/>
                <w:snapToGrid w:val="0"/>
                <w:kern w:val="21"/>
                <w:sz w:val="18"/>
                <w:szCs w:val="18"/>
                <w:lang w:val="en-US" w:eastAsia="zh-CN" w:bidi="ar-SA"/>
              </w:rPr>
            </w:pPr>
            <w:r>
              <w:rPr>
                <w:rFonts w:ascii="Times New Roman"/>
                <w:snapToGrid w:val="0"/>
                <w:kern w:val="21"/>
                <w:sz w:val="18"/>
                <w:szCs w:val="18"/>
              </w:rPr>
              <w:t>/</w:t>
            </w:r>
          </w:p>
        </w:tc>
        <w:tc>
          <w:tcPr>
            <w:tcW w:w="561" w:type="pct"/>
            <w:shd w:val="clear"/>
            <w:vAlign w:val="center"/>
          </w:tcPr>
          <w:p w14:paraId="37D069B7">
            <w:pPr>
              <w:pStyle w:val="55"/>
              <w:spacing w:beforeLines="0" w:afterLines="0" w:line="240" w:lineRule="auto"/>
              <w:rPr>
                <w:rFonts w:ascii="Times New Roman" w:hAnsi="Times New Roman" w:eastAsia="宋体" w:cs="Times New Roman"/>
                <w:snapToGrid w:val="0"/>
                <w:kern w:val="21"/>
                <w:sz w:val="18"/>
                <w:szCs w:val="18"/>
                <w:lang w:val="en-US" w:eastAsia="zh-CN" w:bidi="ar-SA"/>
              </w:rPr>
            </w:pPr>
            <w:r>
              <w:rPr>
                <w:rFonts w:ascii="Times New Roman"/>
                <w:snapToGrid w:val="0"/>
                <w:kern w:val="21"/>
                <w:sz w:val="18"/>
                <w:szCs w:val="18"/>
              </w:rPr>
              <w:t>/</w:t>
            </w:r>
          </w:p>
        </w:tc>
        <w:tc>
          <w:tcPr>
            <w:tcW w:w="561" w:type="pct"/>
            <w:shd w:val="clear"/>
            <w:vAlign w:val="center"/>
          </w:tcPr>
          <w:p w14:paraId="18377F1D">
            <w:pPr>
              <w:jc w:val="center"/>
              <w:rPr>
                <w:rFonts w:hint="eastAsia" w:ascii="Times New Roman" w:hAnsi="Times New Roman" w:eastAsia="宋体" w:cs="Times New Roman"/>
                <w:kern w:val="2"/>
                <w:sz w:val="18"/>
                <w:szCs w:val="18"/>
                <w:lang w:val="en-US" w:eastAsia="zh-CN" w:bidi="ar-SA"/>
              </w:rPr>
            </w:pPr>
            <w:r>
              <w:rPr>
                <w:rFonts w:hint="eastAsia"/>
                <w:sz w:val="18"/>
                <w:szCs w:val="18"/>
              </w:rPr>
              <w:t>0.1</w:t>
            </w:r>
            <w:r>
              <w:rPr>
                <w:rFonts w:hint="eastAsia"/>
                <w:snapToGrid w:val="0"/>
                <w:kern w:val="21"/>
                <w:sz w:val="18"/>
                <w:szCs w:val="18"/>
              </w:rPr>
              <w:t>t</w:t>
            </w:r>
            <w:r>
              <w:rPr>
                <w:snapToGrid w:val="0"/>
                <w:kern w:val="21"/>
                <w:sz w:val="18"/>
                <w:szCs w:val="18"/>
              </w:rPr>
              <w:t>/a</w:t>
            </w:r>
          </w:p>
        </w:tc>
        <w:tc>
          <w:tcPr>
            <w:tcW w:w="562" w:type="pct"/>
            <w:shd w:val="clear"/>
            <w:vAlign w:val="center"/>
          </w:tcPr>
          <w:p w14:paraId="25565A47">
            <w:pPr>
              <w:pStyle w:val="55"/>
              <w:spacing w:beforeLines="0" w:afterLines="0" w:line="240" w:lineRule="auto"/>
              <w:rPr>
                <w:rFonts w:hint="eastAsia" w:ascii="Times New Roman" w:hAnsi="Times New Roman" w:eastAsia="宋体" w:cs="Times New Roman"/>
                <w:snapToGrid w:val="0"/>
                <w:kern w:val="21"/>
                <w:sz w:val="18"/>
                <w:szCs w:val="18"/>
                <w:lang w:val="en-US" w:eastAsia="zh-CN" w:bidi="ar-SA"/>
              </w:rPr>
            </w:pPr>
            <w:r>
              <w:rPr>
                <w:rFonts w:hint="eastAsia" w:ascii="Times New Roman"/>
                <w:snapToGrid w:val="0"/>
                <w:kern w:val="21"/>
                <w:sz w:val="18"/>
                <w:szCs w:val="18"/>
              </w:rPr>
              <w:t>/</w:t>
            </w:r>
          </w:p>
        </w:tc>
        <w:tc>
          <w:tcPr>
            <w:tcW w:w="612" w:type="pct"/>
            <w:shd w:val="clear"/>
            <w:vAlign w:val="center"/>
          </w:tcPr>
          <w:p w14:paraId="15E4E16F">
            <w:pPr>
              <w:jc w:val="center"/>
              <w:rPr>
                <w:rFonts w:hint="eastAsia" w:ascii="Times New Roman" w:hAnsi="Times New Roman" w:eastAsia="宋体" w:cs="Times New Roman"/>
                <w:kern w:val="2"/>
                <w:sz w:val="18"/>
                <w:szCs w:val="18"/>
                <w:lang w:val="en-US" w:eastAsia="zh-CN" w:bidi="ar-SA"/>
              </w:rPr>
            </w:pPr>
            <w:r>
              <w:rPr>
                <w:rFonts w:hint="eastAsia"/>
                <w:sz w:val="18"/>
                <w:szCs w:val="18"/>
              </w:rPr>
              <w:t>0.1</w:t>
            </w:r>
            <w:r>
              <w:rPr>
                <w:rFonts w:hint="eastAsia"/>
                <w:snapToGrid w:val="0"/>
                <w:kern w:val="21"/>
                <w:sz w:val="18"/>
                <w:szCs w:val="18"/>
              </w:rPr>
              <w:t>t</w:t>
            </w:r>
            <w:r>
              <w:rPr>
                <w:snapToGrid w:val="0"/>
                <w:kern w:val="21"/>
                <w:sz w:val="18"/>
                <w:szCs w:val="18"/>
              </w:rPr>
              <w:t>/a</w:t>
            </w:r>
          </w:p>
        </w:tc>
        <w:tc>
          <w:tcPr>
            <w:tcW w:w="551" w:type="pct"/>
            <w:shd w:val="clear"/>
            <w:vAlign w:val="center"/>
          </w:tcPr>
          <w:p w14:paraId="2347C3DD">
            <w:pPr>
              <w:jc w:val="center"/>
              <w:rPr>
                <w:rFonts w:hint="eastAsia" w:ascii="Times New Roman" w:hAnsi="Times New Roman" w:eastAsia="宋体" w:cs="Times New Roman"/>
                <w:kern w:val="2"/>
                <w:sz w:val="18"/>
                <w:szCs w:val="18"/>
                <w:lang w:val="en-US" w:eastAsia="zh-CN" w:bidi="ar-SA"/>
              </w:rPr>
            </w:pPr>
            <w:r>
              <w:rPr>
                <w:rFonts w:hint="eastAsia"/>
                <w:sz w:val="18"/>
                <w:szCs w:val="18"/>
              </w:rPr>
              <w:t>+0.1</w:t>
            </w:r>
            <w:r>
              <w:rPr>
                <w:rFonts w:hint="eastAsia"/>
                <w:snapToGrid w:val="0"/>
                <w:kern w:val="21"/>
                <w:sz w:val="18"/>
                <w:szCs w:val="18"/>
              </w:rPr>
              <w:t>t</w:t>
            </w:r>
            <w:r>
              <w:rPr>
                <w:snapToGrid w:val="0"/>
                <w:kern w:val="21"/>
                <w:sz w:val="18"/>
                <w:szCs w:val="18"/>
              </w:rPr>
              <w:t>/a</w:t>
            </w:r>
          </w:p>
        </w:tc>
      </w:tr>
    </w:tbl>
    <w:p w14:paraId="48512D53">
      <w:pPr>
        <w:pStyle w:val="55"/>
        <w:spacing w:before="192" w:beforeLines="80" w:after="24"/>
        <w:jc w:val="left"/>
        <w:rPr>
          <w:rFonts w:ascii="Times New Roman"/>
          <w:sz w:val="18"/>
          <w:szCs w:val="18"/>
        </w:rPr>
      </w:pPr>
      <w:r>
        <w:rPr>
          <w:rFonts w:ascii="Times New Roman"/>
          <w:snapToGrid w:val="0"/>
          <w:kern w:val="21"/>
          <w:sz w:val="18"/>
          <w:szCs w:val="18"/>
        </w:rPr>
        <w:t>注</w:t>
      </w:r>
      <w:bookmarkEnd w:id="25"/>
      <w:r>
        <w:rPr>
          <w:rFonts w:ascii="Times New Roman"/>
          <w:snapToGrid w:val="0"/>
          <w:kern w:val="21"/>
          <w:sz w:val="18"/>
          <w:szCs w:val="18"/>
        </w:rPr>
        <w:t>：</w:t>
      </w:r>
      <w:r>
        <w:rPr>
          <w:rFonts w:ascii="Times New Roman"/>
          <w:snapToGrid w:val="0"/>
          <w:spacing w:val="-16"/>
          <w:kern w:val="21"/>
          <w:sz w:val="18"/>
          <w:szCs w:val="18"/>
        </w:rPr>
        <w:fldChar w:fldCharType="begin"/>
      </w:r>
      <w:r>
        <w:rPr>
          <w:rFonts w:ascii="Times New Roman"/>
          <w:snapToGrid w:val="0"/>
          <w:spacing w:val="-16"/>
          <w:kern w:val="21"/>
          <w:sz w:val="18"/>
          <w:szCs w:val="18"/>
        </w:rPr>
        <w:instrText xml:space="preserve"> = 6 \* GB3 \* MERGEFORMAT </w:instrText>
      </w:r>
      <w:r>
        <w:rPr>
          <w:rFonts w:ascii="Times New Roman"/>
          <w:snapToGrid w:val="0"/>
          <w:spacing w:val="-16"/>
          <w:kern w:val="21"/>
          <w:sz w:val="18"/>
          <w:szCs w:val="18"/>
        </w:rPr>
        <w:fldChar w:fldCharType="separate"/>
      </w:r>
      <w:r>
        <w:rPr>
          <w:rFonts w:hint="eastAsia" w:hAnsi="宋体" w:cs="宋体"/>
          <w:sz w:val="18"/>
          <w:szCs w:val="18"/>
        </w:rPr>
        <w:t>⑥</w:t>
      </w:r>
      <w:r>
        <w:rPr>
          <w:rFonts w:ascii="Times New Roman"/>
          <w:snapToGrid w:val="0"/>
          <w:spacing w:val="-16"/>
          <w:kern w:val="21"/>
          <w:sz w:val="18"/>
          <w:szCs w:val="18"/>
        </w:rPr>
        <w:fldChar w:fldCharType="end"/>
      </w:r>
      <w:r>
        <w:rPr>
          <w:rFonts w:ascii="Times New Roman"/>
          <w:snapToGrid w:val="0"/>
          <w:spacing w:val="-16"/>
          <w:kern w:val="21"/>
          <w:sz w:val="18"/>
          <w:szCs w:val="18"/>
        </w:rPr>
        <w:t>=</w:t>
      </w:r>
      <w:r>
        <w:rPr>
          <w:rFonts w:ascii="Times New Roman"/>
          <w:snapToGrid w:val="0"/>
          <w:spacing w:val="-6"/>
          <w:kern w:val="21"/>
          <w:sz w:val="18"/>
          <w:szCs w:val="18"/>
        </w:rPr>
        <w:fldChar w:fldCharType="begin"/>
      </w:r>
      <w:r>
        <w:rPr>
          <w:rFonts w:ascii="Times New Roman"/>
          <w:snapToGrid w:val="0"/>
          <w:spacing w:val="-6"/>
          <w:kern w:val="21"/>
          <w:sz w:val="18"/>
          <w:szCs w:val="18"/>
        </w:rPr>
        <w:instrText xml:space="preserve"> = 1 \* GB3 \* MERGEFORMAT </w:instrText>
      </w:r>
      <w:r>
        <w:rPr>
          <w:rFonts w:ascii="Times New Roman"/>
          <w:snapToGrid w:val="0"/>
          <w:spacing w:val="-6"/>
          <w:kern w:val="21"/>
          <w:sz w:val="18"/>
          <w:szCs w:val="18"/>
        </w:rPr>
        <w:fldChar w:fldCharType="separate"/>
      </w:r>
      <w:r>
        <w:rPr>
          <w:rFonts w:hint="eastAsia" w:hAnsi="宋体" w:cs="宋体"/>
          <w:sz w:val="18"/>
          <w:szCs w:val="18"/>
        </w:rPr>
        <w:t>①</w:t>
      </w:r>
      <w:r>
        <w:rPr>
          <w:rFonts w:ascii="Times New Roman"/>
          <w:snapToGrid w:val="0"/>
          <w:spacing w:val="-6"/>
          <w:kern w:val="21"/>
          <w:sz w:val="18"/>
          <w:szCs w:val="18"/>
        </w:rPr>
        <w:fldChar w:fldCharType="end"/>
      </w:r>
      <w:r>
        <w:rPr>
          <w:rFonts w:ascii="Times New Roman"/>
          <w:snapToGrid w:val="0"/>
          <w:spacing w:val="-6"/>
          <w:kern w:val="21"/>
          <w:sz w:val="18"/>
          <w:szCs w:val="18"/>
        </w:rPr>
        <w:t>+</w:t>
      </w:r>
      <w:r>
        <w:rPr>
          <w:rFonts w:ascii="Times New Roman"/>
          <w:snapToGrid w:val="0"/>
          <w:spacing w:val="-6"/>
          <w:kern w:val="21"/>
          <w:sz w:val="18"/>
          <w:szCs w:val="18"/>
        </w:rPr>
        <w:fldChar w:fldCharType="begin"/>
      </w:r>
      <w:r>
        <w:rPr>
          <w:rFonts w:ascii="Times New Roman"/>
          <w:snapToGrid w:val="0"/>
          <w:spacing w:val="-6"/>
          <w:kern w:val="21"/>
          <w:sz w:val="18"/>
          <w:szCs w:val="18"/>
        </w:rPr>
        <w:instrText xml:space="preserve"> = 3 \* GB3 \* MERGEFORMAT </w:instrText>
      </w:r>
      <w:r>
        <w:rPr>
          <w:rFonts w:ascii="Times New Roman"/>
          <w:snapToGrid w:val="0"/>
          <w:spacing w:val="-6"/>
          <w:kern w:val="21"/>
          <w:sz w:val="18"/>
          <w:szCs w:val="18"/>
        </w:rPr>
        <w:fldChar w:fldCharType="separate"/>
      </w:r>
      <w:r>
        <w:rPr>
          <w:rFonts w:hint="eastAsia" w:hAnsi="宋体" w:cs="宋体"/>
          <w:sz w:val="18"/>
          <w:szCs w:val="18"/>
        </w:rPr>
        <w:t>③</w:t>
      </w:r>
      <w:r>
        <w:rPr>
          <w:rFonts w:ascii="Times New Roman"/>
          <w:snapToGrid w:val="0"/>
          <w:spacing w:val="-6"/>
          <w:kern w:val="21"/>
          <w:sz w:val="18"/>
          <w:szCs w:val="18"/>
        </w:rPr>
        <w:fldChar w:fldCharType="end"/>
      </w:r>
      <w:r>
        <w:rPr>
          <w:rFonts w:ascii="Times New Roman"/>
          <w:snapToGrid w:val="0"/>
          <w:spacing w:val="-6"/>
          <w:kern w:val="21"/>
          <w:sz w:val="18"/>
          <w:szCs w:val="18"/>
        </w:rPr>
        <w:t>+</w:t>
      </w:r>
      <w:r>
        <w:rPr>
          <w:rFonts w:ascii="Times New Roman"/>
          <w:snapToGrid w:val="0"/>
          <w:spacing w:val="-6"/>
          <w:kern w:val="21"/>
          <w:sz w:val="18"/>
          <w:szCs w:val="18"/>
        </w:rPr>
        <w:fldChar w:fldCharType="begin"/>
      </w:r>
      <w:r>
        <w:rPr>
          <w:rFonts w:ascii="Times New Roman"/>
          <w:snapToGrid w:val="0"/>
          <w:spacing w:val="-6"/>
          <w:kern w:val="21"/>
          <w:sz w:val="18"/>
          <w:szCs w:val="18"/>
        </w:rPr>
        <w:instrText xml:space="preserve"> = 4 \* GB3 \* MERGEFORMAT </w:instrText>
      </w:r>
      <w:r>
        <w:rPr>
          <w:rFonts w:ascii="Times New Roman"/>
          <w:snapToGrid w:val="0"/>
          <w:spacing w:val="-6"/>
          <w:kern w:val="21"/>
          <w:sz w:val="18"/>
          <w:szCs w:val="18"/>
        </w:rPr>
        <w:fldChar w:fldCharType="separate"/>
      </w:r>
      <w:r>
        <w:rPr>
          <w:rFonts w:hint="eastAsia" w:hAnsi="宋体" w:cs="宋体"/>
          <w:sz w:val="18"/>
          <w:szCs w:val="18"/>
        </w:rPr>
        <w:t>④</w:t>
      </w:r>
      <w:r>
        <w:rPr>
          <w:rFonts w:ascii="Times New Roman"/>
          <w:snapToGrid w:val="0"/>
          <w:spacing w:val="-6"/>
          <w:kern w:val="21"/>
          <w:sz w:val="18"/>
          <w:szCs w:val="18"/>
        </w:rPr>
        <w:fldChar w:fldCharType="end"/>
      </w:r>
      <w:r>
        <w:rPr>
          <w:rFonts w:ascii="Times New Roman"/>
          <w:snapToGrid w:val="0"/>
          <w:spacing w:val="-6"/>
          <w:kern w:val="21"/>
          <w:sz w:val="18"/>
          <w:szCs w:val="18"/>
        </w:rPr>
        <w:t>-</w:t>
      </w:r>
      <w:r>
        <w:rPr>
          <w:rFonts w:ascii="Times New Roman"/>
          <w:snapToGrid w:val="0"/>
          <w:spacing w:val="-16"/>
          <w:kern w:val="21"/>
          <w:sz w:val="18"/>
          <w:szCs w:val="18"/>
        </w:rPr>
        <w:fldChar w:fldCharType="begin"/>
      </w:r>
      <w:r>
        <w:rPr>
          <w:rFonts w:ascii="Times New Roman"/>
          <w:snapToGrid w:val="0"/>
          <w:spacing w:val="-16"/>
          <w:kern w:val="21"/>
          <w:sz w:val="18"/>
          <w:szCs w:val="18"/>
        </w:rPr>
        <w:instrText xml:space="preserve"> = 5 \* GB3 \* MERGEFORMAT </w:instrText>
      </w:r>
      <w:r>
        <w:rPr>
          <w:rFonts w:ascii="Times New Roman"/>
          <w:snapToGrid w:val="0"/>
          <w:spacing w:val="-16"/>
          <w:kern w:val="21"/>
          <w:sz w:val="18"/>
          <w:szCs w:val="18"/>
        </w:rPr>
        <w:fldChar w:fldCharType="separate"/>
      </w:r>
      <w:r>
        <w:rPr>
          <w:rFonts w:hint="eastAsia" w:hAnsi="宋体" w:cs="宋体"/>
          <w:sz w:val="18"/>
          <w:szCs w:val="18"/>
        </w:rPr>
        <w:t>⑤</w:t>
      </w:r>
      <w:r>
        <w:rPr>
          <w:rFonts w:ascii="Times New Roman"/>
          <w:snapToGrid w:val="0"/>
          <w:spacing w:val="-16"/>
          <w:kern w:val="21"/>
          <w:sz w:val="18"/>
          <w:szCs w:val="18"/>
        </w:rPr>
        <w:fldChar w:fldCharType="end"/>
      </w:r>
      <w:r>
        <w:rPr>
          <w:rFonts w:ascii="Times New Roman"/>
          <w:snapToGrid w:val="0"/>
          <w:spacing w:val="-16"/>
          <w:kern w:val="21"/>
          <w:sz w:val="18"/>
          <w:szCs w:val="18"/>
        </w:rPr>
        <w:t>；</w:t>
      </w:r>
      <w:r>
        <w:rPr>
          <w:rFonts w:ascii="Times New Roman"/>
          <w:snapToGrid w:val="0"/>
          <w:spacing w:val="-6"/>
          <w:kern w:val="21"/>
          <w:sz w:val="18"/>
          <w:szCs w:val="18"/>
        </w:rPr>
        <w:fldChar w:fldCharType="begin"/>
      </w:r>
      <w:r>
        <w:rPr>
          <w:rFonts w:ascii="Times New Roman"/>
          <w:snapToGrid w:val="0"/>
          <w:spacing w:val="-6"/>
          <w:kern w:val="21"/>
          <w:sz w:val="18"/>
          <w:szCs w:val="18"/>
        </w:rPr>
        <w:instrText xml:space="preserve"> = 7 \* GB3 \* MERGEFORMAT </w:instrText>
      </w:r>
      <w:r>
        <w:rPr>
          <w:rFonts w:ascii="Times New Roman"/>
          <w:snapToGrid w:val="0"/>
          <w:spacing w:val="-6"/>
          <w:kern w:val="21"/>
          <w:sz w:val="18"/>
          <w:szCs w:val="18"/>
        </w:rPr>
        <w:fldChar w:fldCharType="separate"/>
      </w:r>
      <w:r>
        <w:rPr>
          <w:rFonts w:hint="eastAsia" w:hAnsi="宋体" w:cs="宋体"/>
          <w:sz w:val="18"/>
          <w:szCs w:val="18"/>
        </w:rPr>
        <w:t>⑦</w:t>
      </w:r>
      <w:r>
        <w:rPr>
          <w:rFonts w:ascii="Times New Roman"/>
          <w:snapToGrid w:val="0"/>
          <w:spacing w:val="-6"/>
          <w:kern w:val="21"/>
          <w:sz w:val="18"/>
          <w:szCs w:val="18"/>
        </w:rPr>
        <w:fldChar w:fldCharType="end"/>
      </w:r>
      <w:r>
        <w:rPr>
          <w:rFonts w:ascii="Times New Roman"/>
          <w:snapToGrid w:val="0"/>
          <w:spacing w:val="-6"/>
          <w:kern w:val="21"/>
          <w:sz w:val="18"/>
          <w:szCs w:val="18"/>
        </w:rPr>
        <w:t>=</w:t>
      </w:r>
      <w:r>
        <w:rPr>
          <w:rFonts w:ascii="Times New Roman"/>
          <w:snapToGrid w:val="0"/>
          <w:spacing w:val="-16"/>
          <w:kern w:val="21"/>
          <w:sz w:val="18"/>
          <w:szCs w:val="18"/>
        </w:rPr>
        <w:fldChar w:fldCharType="begin"/>
      </w:r>
      <w:r>
        <w:rPr>
          <w:rFonts w:ascii="Times New Roman"/>
          <w:snapToGrid w:val="0"/>
          <w:spacing w:val="-16"/>
          <w:kern w:val="21"/>
          <w:sz w:val="18"/>
          <w:szCs w:val="18"/>
        </w:rPr>
        <w:instrText xml:space="preserve"> = 6 \* GB3 \* MERGEFORMAT </w:instrText>
      </w:r>
      <w:r>
        <w:rPr>
          <w:rFonts w:ascii="Times New Roman"/>
          <w:snapToGrid w:val="0"/>
          <w:spacing w:val="-16"/>
          <w:kern w:val="21"/>
          <w:sz w:val="18"/>
          <w:szCs w:val="18"/>
        </w:rPr>
        <w:fldChar w:fldCharType="separate"/>
      </w:r>
      <w:r>
        <w:rPr>
          <w:rFonts w:hint="eastAsia" w:hAnsi="宋体" w:cs="宋体"/>
          <w:sz w:val="18"/>
          <w:szCs w:val="18"/>
        </w:rPr>
        <w:t>⑥</w:t>
      </w:r>
      <w:r>
        <w:rPr>
          <w:rFonts w:ascii="Times New Roman"/>
          <w:snapToGrid w:val="0"/>
          <w:spacing w:val="-16"/>
          <w:kern w:val="21"/>
          <w:sz w:val="18"/>
          <w:szCs w:val="18"/>
        </w:rPr>
        <w:fldChar w:fldCharType="end"/>
      </w:r>
      <w:r>
        <w:rPr>
          <w:rFonts w:ascii="Times New Roman"/>
          <w:snapToGrid w:val="0"/>
          <w:spacing w:val="-16"/>
          <w:kern w:val="21"/>
          <w:sz w:val="18"/>
          <w:szCs w:val="18"/>
        </w:rPr>
        <w:t>-</w:t>
      </w:r>
      <w:r>
        <w:rPr>
          <w:rFonts w:ascii="Times New Roman"/>
          <w:snapToGrid w:val="0"/>
          <w:spacing w:val="-6"/>
          <w:kern w:val="21"/>
          <w:sz w:val="18"/>
          <w:szCs w:val="18"/>
        </w:rPr>
        <w:fldChar w:fldCharType="begin"/>
      </w:r>
      <w:r>
        <w:rPr>
          <w:rFonts w:ascii="Times New Roman"/>
          <w:snapToGrid w:val="0"/>
          <w:spacing w:val="-6"/>
          <w:kern w:val="21"/>
          <w:sz w:val="18"/>
          <w:szCs w:val="18"/>
        </w:rPr>
        <w:instrText xml:space="preserve"> = 1 \* GB3 \* MERGEFORMAT </w:instrText>
      </w:r>
      <w:r>
        <w:rPr>
          <w:rFonts w:ascii="Times New Roman"/>
          <w:snapToGrid w:val="0"/>
          <w:spacing w:val="-6"/>
          <w:kern w:val="21"/>
          <w:sz w:val="18"/>
          <w:szCs w:val="18"/>
        </w:rPr>
        <w:fldChar w:fldCharType="separate"/>
      </w:r>
      <w:r>
        <w:rPr>
          <w:rFonts w:hint="eastAsia" w:hAnsi="宋体" w:cs="宋体"/>
          <w:sz w:val="18"/>
          <w:szCs w:val="18"/>
        </w:rPr>
        <w:t>①</w:t>
      </w:r>
      <w:r>
        <w:rPr>
          <w:rFonts w:ascii="Times New Roman"/>
          <w:snapToGrid w:val="0"/>
          <w:spacing w:val="-6"/>
          <w:kern w:val="21"/>
          <w:sz w:val="18"/>
          <w:szCs w:val="18"/>
        </w:rPr>
        <w:fldChar w:fldCharType="end"/>
      </w:r>
    </w:p>
    <w:p w14:paraId="6D44ACF4">
      <w:pPr>
        <w:sectPr>
          <w:footerReference r:id="rId6" w:type="default"/>
          <w:pgSz w:w="16838" w:h="11906" w:orient="landscape"/>
          <w:pgMar w:top="1417" w:right="1418" w:bottom="1417" w:left="1418" w:header="851" w:footer="851" w:gutter="0"/>
          <w:pgBorders>
            <w:top w:val="none" w:sz="0" w:space="0"/>
            <w:left w:val="none" w:sz="0" w:space="0"/>
            <w:bottom w:val="none" w:sz="0" w:space="0"/>
            <w:right w:val="none" w:sz="0" w:space="0"/>
          </w:pgBorders>
          <w:cols w:space="720" w:num="1"/>
          <w:docGrid w:linePitch="312" w:charSpace="0"/>
        </w:sectPr>
      </w:pPr>
    </w:p>
    <w:p w14:paraId="7EAC0ABE">
      <w:pPr>
        <w:pStyle w:val="18"/>
        <w:adjustRightInd w:val="0"/>
        <w:snapToGrid w:val="0"/>
        <w:spacing w:before="648" w:beforeLines="270" w:beforeAutospacing="0" w:after="648" w:afterLines="270" w:afterAutospacing="0"/>
        <w:jc w:val="center"/>
        <w:outlineLvl w:val="0"/>
        <w:rPr>
          <w:rFonts w:ascii="Times New Roman" w:hAnsi="Times New Roman" w:eastAsia="方正小标宋_GBK"/>
          <w:snapToGrid w:val="0"/>
          <w:sz w:val="30"/>
          <w:szCs w:val="30"/>
        </w:rPr>
      </w:pPr>
      <w:bookmarkStart w:id="26" w:name="PageNo100860085"/>
      <w:r>
        <w:rPr>
          <w:rFonts w:ascii="Times New Roman" w:hAnsi="Times New Roman" w:eastAsia="方正小标宋_GBK"/>
          <w:snapToGrid w:val="0"/>
          <w:sz w:val="30"/>
          <w:szCs w:val="30"/>
        </w:rPr>
        <w:t>注</w:t>
      </w:r>
      <w:bookmarkEnd w:id="26"/>
      <w:r>
        <w:rPr>
          <w:rFonts w:ascii="Times New Roman" w:hAnsi="Times New Roman" w:eastAsia="方正小标宋_GBK"/>
          <w:snapToGrid w:val="0"/>
          <w:sz w:val="30"/>
          <w:szCs w:val="30"/>
        </w:rPr>
        <w:t>释</w:t>
      </w:r>
    </w:p>
    <w:p w14:paraId="29250FD7">
      <w:pPr>
        <w:adjustRightInd w:val="0"/>
        <w:snapToGrid w:val="0"/>
        <w:spacing w:line="360" w:lineRule="auto"/>
        <w:ind w:firstLine="420" w:firstLineChars="200"/>
      </w:pPr>
      <w:r>
        <w:t xml:space="preserve">附件1  </w:t>
      </w:r>
      <w:r>
        <w:rPr>
          <w:rFonts w:hint="eastAsia"/>
        </w:rPr>
        <w:t>环评委托书</w:t>
      </w:r>
    </w:p>
    <w:p w14:paraId="0DDD657A">
      <w:pPr>
        <w:adjustRightInd w:val="0"/>
        <w:snapToGrid w:val="0"/>
        <w:spacing w:line="360" w:lineRule="auto"/>
        <w:ind w:firstLine="420" w:firstLineChars="200"/>
      </w:pPr>
      <w:r>
        <w:t xml:space="preserve">附件2  </w:t>
      </w:r>
      <w:r>
        <w:rPr>
          <w:rFonts w:hint="eastAsia"/>
        </w:rPr>
        <w:t>预审意见</w:t>
      </w:r>
    </w:p>
    <w:p w14:paraId="018ABFE8">
      <w:pPr>
        <w:adjustRightInd w:val="0"/>
        <w:snapToGrid w:val="0"/>
        <w:spacing w:line="360" w:lineRule="auto"/>
        <w:ind w:firstLine="420" w:firstLineChars="200"/>
      </w:pPr>
      <w:r>
        <w:t xml:space="preserve">附件3  </w:t>
      </w:r>
      <w:r>
        <w:rPr>
          <w:rFonts w:hint="eastAsia"/>
        </w:rPr>
        <w:t>项目</w:t>
      </w:r>
      <w:r>
        <w:t>备案证</w:t>
      </w:r>
    </w:p>
    <w:p w14:paraId="42F0DECE">
      <w:pPr>
        <w:adjustRightInd w:val="0"/>
        <w:snapToGrid w:val="0"/>
        <w:spacing w:line="360" w:lineRule="auto"/>
        <w:ind w:firstLine="420" w:firstLineChars="200"/>
      </w:pPr>
      <w:r>
        <w:t>附件4  营业执照</w:t>
      </w:r>
      <w:r>
        <w:rPr>
          <w:rFonts w:hint="eastAsia"/>
        </w:rPr>
        <w:t>、</w:t>
      </w:r>
      <w:r>
        <w:t>法人</w:t>
      </w:r>
      <w:r>
        <w:rPr>
          <w:rFonts w:hint="eastAsia"/>
        </w:rPr>
        <w:t>代表</w:t>
      </w:r>
      <w:r>
        <w:t>身份证</w:t>
      </w:r>
    </w:p>
    <w:p w14:paraId="2DA04F2B">
      <w:pPr>
        <w:adjustRightInd w:val="0"/>
        <w:snapToGrid w:val="0"/>
        <w:spacing w:line="360" w:lineRule="auto"/>
        <w:ind w:firstLine="420" w:firstLineChars="200"/>
      </w:pPr>
      <w:r>
        <w:t>附件</w:t>
      </w:r>
      <w:r>
        <w:rPr>
          <w:rFonts w:hint="eastAsia"/>
        </w:rPr>
        <w:t>5</w:t>
      </w:r>
      <w:r>
        <w:t xml:space="preserve"> </w:t>
      </w:r>
      <w:r>
        <w:rPr>
          <w:rFonts w:hint="eastAsia"/>
        </w:rPr>
        <w:t xml:space="preserve"> 租赁协议</w:t>
      </w:r>
      <w:r>
        <w:t xml:space="preserve"> </w:t>
      </w:r>
    </w:p>
    <w:p w14:paraId="7A09EAC0">
      <w:pPr>
        <w:adjustRightInd w:val="0"/>
        <w:snapToGrid w:val="0"/>
        <w:spacing w:line="360" w:lineRule="auto"/>
        <w:ind w:firstLine="420" w:firstLineChars="200"/>
      </w:pPr>
      <w:r>
        <w:t xml:space="preserve">附件6 </w:t>
      </w:r>
      <w:r>
        <w:rPr>
          <w:rFonts w:hint="eastAsia"/>
        </w:rPr>
        <w:t xml:space="preserve"> 不动产权证</w:t>
      </w:r>
    </w:p>
    <w:p w14:paraId="697FC88D">
      <w:pPr>
        <w:adjustRightInd w:val="0"/>
        <w:snapToGrid w:val="0"/>
        <w:spacing w:line="360" w:lineRule="auto"/>
        <w:ind w:firstLine="420" w:firstLineChars="200"/>
      </w:pPr>
      <w:r>
        <w:t>附件</w:t>
      </w:r>
      <w:r>
        <w:rPr>
          <w:rFonts w:hint="eastAsia"/>
        </w:rPr>
        <w:t>7  建设单位承诺书</w:t>
      </w:r>
    </w:p>
    <w:p w14:paraId="663DAC5A">
      <w:pPr>
        <w:adjustRightInd w:val="0"/>
        <w:snapToGrid w:val="0"/>
        <w:spacing w:line="360" w:lineRule="auto"/>
        <w:ind w:firstLine="420" w:firstLineChars="200"/>
      </w:pPr>
      <w:r>
        <w:t>附件</w:t>
      </w:r>
      <w:r>
        <w:rPr>
          <w:rFonts w:hint="eastAsia"/>
        </w:rPr>
        <w:t>8</w:t>
      </w:r>
      <w:r>
        <w:t xml:space="preserve">  </w:t>
      </w:r>
      <w:r>
        <w:rPr>
          <w:rFonts w:hint="eastAsia"/>
        </w:rPr>
        <w:t>污水接管</w:t>
      </w:r>
      <w:r>
        <w:t>承诺书</w:t>
      </w:r>
    </w:p>
    <w:p w14:paraId="6709DE72">
      <w:pPr>
        <w:adjustRightInd w:val="0"/>
        <w:snapToGrid w:val="0"/>
        <w:spacing w:line="360" w:lineRule="auto"/>
        <w:ind w:firstLine="420" w:firstLineChars="200"/>
      </w:pPr>
      <w:r>
        <w:t>附件</w:t>
      </w:r>
      <w:r>
        <w:rPr>
          <w:rFonts w:hint="eastAsia"/>
        </w:rPr>
        <w:t>9</w:t>
      </w:r>
      <w:r>
        <w:t xml:space="preserve">  危险废物处置承诺书</w:t>
      </w:r>
    </w:p>
    <w:p w14:paraId="00A7AEE2">
      <w:pPr>
        <w:adjustRightInd w:val="0"/>
        <w:snapToGrid w:val="0"/>
        <w:spacing w:line="360" w:lineRule="auto"/>
        <w:ind w:firstLine="420" w:firstLineChars="200"/>
      </w:pPr>
      <w:r>
        <w:t>附件</w:t>
      </w:r>
      <w:r>
        <w:rPr>
          <w:rFonts w:hint="eastAsia"/>
        </w:rPr>
        <w:t>10</w:t>
      </w:r>
      <w:r>
        <w:t xml:space="preserve"> 环评合同</w:t>
      </w:r>
    </w:p>
    <w:p w14:paraId="3BECC40E">
      <w:pPr>
        <w:adjustRightInd w:val="0"/>
        <w:snapToGrid w:val="0"/>
        <w:spacing w:line="360" w:lineRule="auto"/>
        <w:ind w:firstLine="420" w:firstLineChars="200"/>
        <w:rPr>
          <w:sz w:val="10"/>
          <w:szCs w:val="10"/>
        </w:rPr>
      </w:pPr>
      <w:r>
        <w:t>附件1</w:t>
      </w:r>
      <w:r>
        <w:rPr>
          <w:rFonts w:hint="eastAsia"/>
        </w:rPr>
        <w:t>1</w:t>
      </w:r>
      <w:r>
        <w:t xml:space="preserve"> 环评公示截图</w:t>
      </w:r>
    </w:p>
    <w:p w14:paraId="052A3085">
      <w:pPr>
        <w:adjustRightInd w:val="0"/>
        <w:snapToGrid w:val="0"/>
        <w:spacing w:line="360" w:lineRule="auto"/>
        <w:ind w:firstLine="420" w:firstLineChars="200"/>
      </w:pPr>
    </w:p>
    <w:p w14:paraId="3E941EAE">
      <w:pPr>
        <w:adjustRightInd w:val="0"/>
        <w:snapToGrid w:val="0"/>
        <w:spacing w:line="360" w:lineRule="auto"/>
        <w:ind w:firstLine="420" w:firstLineChars="200"/>
      </w:pPr>
      <w:r>
        <w:t>附图1  建设项目地理位置图</w:t>
      </w:r>
    </w:p>
    <w:p w14:paraId="5369D42C">
      <w:pPr>
        <w:adjustRightInd w:val="0"/>
        <w:snapToGrid w:val="0"/>
        <w:spacing w:line="360" w:lineRule="auto"/>
        <w:ind w:firstLine="420" w:firstLineChars="200"/>
      </w:pPr>
      <w:r>
        <w:t>附图2  海安生态管控区域图</w:t>
      </w:r>
    </w:p>
    <w:p w14:paraId="1DFD8975">
      <w:pPr>
        <w:adjustRightInd w:val="0"/>
        <w:snapToGrid w:val="0"/>
        <w:spacing w:line="360" w:lineRule="auto"/>
        <w:ind w:firstLine="420" w:firstLineChars="200"/>
      </w:pPr>
      <w:r>
        <w:t xml:space="preserve">附图3  </w:t>
      </w:r>
      <w:r>
        <w:rPr>
          <w:rFonts w:hint="eastAsia"/>
        </w:rPr>
        <w:t>南通市环境管控单元图</w:t>
      </w:r>
    </w:p>
    <w:p w14:paraId="228F0F71">
      <w:pPr>
        <w:adjustRightInd w:val="0"/>
        <w:snapToGrid w:val="0"/>
        <w:spacing w:line="360" w:lineRule="auto"/>
        <w:ind w:firstLine="420" w:firstLineChars="200"/>
      </w:pPr>
      <w:r>
        <w:t>附图4</w:t>
      </w:r>
      <w:r>
        <w:rPr>
          <w:rFonts w:hint="eastAsia"/>
        </w:rPr>
        <w:t xml:space="preserve"> 江苏省生态环境分区管控单元图</w:t>
      </w:r>
    </w:p>
    <w:p w14:paraId="655035E5">
      <w:pPr>
        <w:adjustRightInd w:val="0"/>
        <w:snapToGrid w:val="0"/>
        <w:spacing w:line="360" w:lineRule="auto"/>
        <w:ind w:firstLine="420" w:firstLineChars="200"/>
      </w:pPr>
      <w:r>
        <w:t xml:space="preserve">附图5  </w:t>
      </w:r>
      <w:r>
        <w:rPr>
          <w:rFonts w:hint="eastAsia"/>
        </w:rPr>
        <w:t>海安市水系图</w:t>
      </w:r>
    </w:p>
    <w:p w14:paraId="513075D8">
      <w:pPr>
        <w:adjustRightInd w:val="0"/>
        <w:snapToGrid w:val="0"/>
        <w:spacing w:line="360" w:lineRule="auto"/>
        <w:ind w:firstLine="420" w:firstLineChars="200"/>
      </w:pPr>
      <w:r>
        <w:t>附图</w:t>
      </w:r>
      <w:r>
        <w:rPr>
          <w:rFonts w:hint="eastAsia"/>
        </w:rPr>
        <w:t>6-1</w:t>
      </w:r>
      <w:r>
        <w:t xml:space="preserve">  </w:t>
      </w:r>
      <w:r>
        <w:rPr>
          <w:rFonts w:hint="eastAsia"/>
        </w:rPr>
        <w:t>海安市李堡镇工业集中区用地规划图</w:t>
      </w:r>
    </w:p>
    <w:p w14:paraId="4B25CFA3">
      <w:pPr>
        <w:adjustRightInd w:val="0"/>
        <w:snapToGrid w:val="0"/>
        <w:spacing w:line="360" w:lineRule="auto"/>
        <w:ind w:firstLine="420" w:firstLineChars="200"/>
      </w:pPr>
      <w:r>
        <w:t>附图</w:t>
      </w:r>
      <w:r>
        <w:rPr>
          <w:rFonts w:hint="eastAsia"/>
        </w:rPr>
        <w:t>6-2</w:t>
      </w:r>
      <w:r>
        <w:t xml:space="preserve">  </w:t>
      </w:r>
      <w:r>
        <w:rPr>
          <w:rFonts w:hint="eastAsia"/>
        </w:rPr>
        <w:t>国土空间规划图</w:t>
      </w:r>
    </w:p>
    <w:p w14:paraId="049B76D6">
      <w:pPr>
        <w:adjustRightInd w:val="0"/>
        <w:snapToGrid w:val="0"/>
        <w:spacing w:line="360" w:lineRule="auto"/>
        <w:ind w:firstLine="420" w:firstLineChars="200"/>
      </w:pPr>
      <w:r>
        <w:t>附图</w:t>
      </w:r>
      <w:r>
        <w:rPr>
          <w:rFonts w:hint="eastAsia"/>
        </w:rPr>
        <w:t>6-3</w:t>
      </w:r>
      <w:r>
        <w:t xml:space="preserve">  </w:t>
      </w:r>
      <w:r>
        <w:rPr>
          <w:rFonts w:hint="eastAsia"/>
        </w:rPr>
        <w:t>海安“三区三线”划定成果图</w:t>
      </w:r>
    </w:p>
    <w:p w14:paraId="5B2AA251">
      <w:pPr>
        <w:adjustRightInd w:val="0"/>
        <w:snapToGrid w:val="0"/>
        <w:spacing w:line="360" w:lineRule="auto"/>
        <w:ind w:firstLine="420" w:firstLineChars="200"/>
      </w:pPr>
      <w:r>
        <w:t>附图</w:t>
      </w:r>
      <w:r>
        <w:rPr>
          <w:rFonts w:hint="eastAsia"/>
        </w:rPr>
        <w:t>7</w:t>
      </w:r>
      <w:r>
        <w:t xml:space="preserve">  </w:t>
      </w:r>
      <w:r>
        <w:rPr>
          <w:rFonts w:hint="eastAsia"/>
        </w:rPr>
        <w:t>声环境功能区划分图</w:t>
      </w:r>
    </w:p>
    <w:p w14:paraId="0DA1EE92">
      <w:pPr>
        <w:adjustRightInd w:val="0"/>
        <w:snapToGrid w:val="0"/>
        <w:spacing w:line="360" w:lineRule="auto"/>
        <w:ind w:firstLine="420" w:firstLineChars="200"/>
      </w:pPr>
      <w:r>
        <w:t>附图</w:t>
      </w:r>
      <w:r>
        <w:rPr>
          <w:rFonts w:hint="eastAsia"/>
        </w:rPr>
        <w:t>8</w:t>
      </w:r>
      <w:r>
        <w:t xml:space="preserve">  建设项目周边环境概况图</w:t>
      </w:r>
    </w:p>
    <w:p w14:paraId="184A1528">
      <w:pPr>
        <w:adjustRightInd w:val="0"/>
        <w:snapToGrid w:val="0"/>
        <w:spacing w:line="360" w:lineRule="auto"/>
        <w:ind w:firstLine="420" w:firstLineChars="200"/>
      </w:pPr>
      <w:r>
        <w:t>附图</w:t>
      </w:r>
      <w:r>
        <w:rPr>
          <w:rFonts w:hint="eastAsia"/>
        </w:rPr>
        <w:t>9-1</w:t>
      </w:r>
      <w:r>
        <w:t xml:space="preserve">  建设项目厂区平面图</w:t>
      </w:r>
    </w:p>
    <w:p w14:paraId="6D1A6942">
      <w:pPr>
        <w:adjustRightInd w:val="0"/>
        <w:snapToGrid w:val="0"/>
        <w:spacing w:line="360" w:lineRule="auto"/>
        <w:ind w:firstLine="420" w:firstLineChars="200"/>
      </w:pPr>
      <w:r>
        <w:t>附图</w:t>
      </w:r>
      <w:r>
        <w:rPr>
          <w:rFonts w:hint="eastAsia"/>
        </w:rPr>
        <w:t>9-2</w:t>
      </w:r>
      <w:r>
        <w:t xml:space="preserve">  建设项目厂区</w:t>
      </w:r>
      <w:r>
        <w:rPr>
          <w:rFonts w:hint="eastAsia"/>
        </w:rPr>
        <w:t>分区防渗图</w:t>
      </w:r>
    </w:p>
    <w:p w14:paraId="2944FEFE">
      <w:pPr>
        <w:adjustRightInd w:val="0"/>
        <w:snapToGrid w:val="0"/>
        <w:spacing w:line="360" w:lineRule="auto"/>
        <w:ind w:firstLine="420" w:firstLineChars="200"/>
      </w:pPr>
      <w:r>
        <w:t>附图</w:t>
      </w:r>
      <w:r>
        <w:rPr>
          <w:rFonts w:hint="eastAsia"/>
        </w:rPr>
        <w:t>10</w:t>
      </w:r>
      <w:r>
        <w:t xml:space="preserve"> 建设项目</w:t>
      </w:r>
      <w:r>
        <w:rPr>
          <w:rFonts w:hint="eastAsia"/>
        </w:rPr>
        <w:t>北侧研发检测车间平面布置图</w:t>
      </w:r>
    </w:p>
    <w:p w14:paraId="56F70D0C">
      <w:pPr>
        <w:adjustRightInd w:val="0"/>
        <w:snapToGrid w:val="0"/>
        <w:spacing w:line="360" w:lineRule="auto"/>
        <w:ind w:firstLine="420" w:firstLineChars="200"/>
      </w:pPr>
      <w:r>
        <w:t>附图1</w:t>
      </w:r>
      <w:r>
        <w:rPr>
          <w:rFonts w:hint="eastAsia"/>
        </w:rPr>
        <w:t>1</w:t>
      </w:r>
      <w:r>
        <w:t xml:space="preserve"> 项目四周现状图</w:t>
      </w:r>
    </w:p>
    <w:p w14:paraId="5EBC56BB">
      <w:pPr>
        <w:adjustRightInd w:val="0"/>
        <w:snapToGrid w:val="0"/>
        <w:spacing w:line="360" w:lineRule="auto"/>
        <w:ind w:firstLine="420" w:firstLineChars="200"/>
      </w:pPr>
      <w:r>
        <w:t>附图1</w:t>
      </w:r>
      <w:r>
        <w:rPr>
          <w:rFonts w:hint="eastAsia"/>
        </w:rPr>
        <w:t>2</w:t>
      </w:r>
      <w:r>
        <w:t xml:space="preserve"> 编制主持人现场踏勘照片</w:t>
      </w:r>
    </w:p>
    <w:p w14:paraId="7EB4CF46">
      <w:pPr>
        <w:rPr>
          <w:rFonts w:eastAsia="黑体"/>
        </w:rPr>
      </w:pPr>
    </w:p>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Arial Black">
    <w:panose1 w:val="020B0A04020102020204"/>
    <w:charset w:val="00"/>
    <w:family w:val="swiss"/>
    <w:pitch w:val="default"/>
    <w:sig w:usb0="A00002AF" w:usb1="400078FB" w:usb2="00000000" w:usb3="00000000" w:csb0="6000009F" w:csb1="DFD70000"/>
  </w:font>
  <w:font w:name="幼圆">
    <w:panose1 w:val="0201050906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体">
    <w:altName w:val="宋体"/>
    <w:panose1 w:val="00000000000000000000"/>
    <w:charset w:val="86"/>
    <w:family w:val="roman"/>
    <w:pitch w:val="default"/>
    <w:sig w:usb0="00000000" w:usb1="00000000" w:usb2="00000010" w:usb3="00000000" w:csb0="00040000" w:csb1="00000000"/>
  </w:font>
  <w:font w:name="方正小标宋_GBK">
    <w:altName w:val="微软雅黑"/>
    <w:panose1 w:val="00000000000000000000"/>
    <w:charset w:val="86"/>
    <w:family w:val="script"/>
    <w:pitch w:val="default"/>
    <w:sig w:usb0="00000000" w:usb1="00000000" w:usb2="00082016" w:usb3="00000000" w:csb0="00040001" w:csb1="00000000"/>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楷体_GB2312">
    <w:altName w:val="楷体"/>
    <w:panose1 w:val="00000000000000000000"/>
    <w:charset w:val="86"/>
    <w:family w:val="modern"/>
    <w:pitch w:val="default"/>
    <w:sig w:usb0="00000000" w:usb1="0000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 w:name="Cambria Math">
    <w:panose1 w:val="02040503050406030204"/>
    <w:charset w:val="00"/>
    <w:family w:val="roman"/>
    <w:pitch w:val="default"/>
    <w:sig w:usb0="E00006FF" w:usb1="420024FF" w:usb2="02000000" w:usb3="00000000" w:csb0="2000019F" w:csb1="00000000"/>
  </w:font>
  <w:font w:name="Helvetica">
    <w:altName w:val="Arial"/>
    <w:panose1 w:val="020B0604020202020204"/>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D813E">
    <w:pPr>
      <w:pStyle w:val="14"/>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BB6D3">
    <w:pPr>
      <w:pStyle w:val="14"/>
      <w:framePr w:wrap="around" w:vAnchor="text" w:hAnchor="margin" w:xAlign="center" w:y="1"/>
      <w:rPr>
        <w:rStyle w:val="27"/>
      </w:rPr>
    </w:pPr>
    <w:r>
      <w:fldChar w:fldCharType="begin"/>
    </w:r>
    <w:r>
      <w:rPr>
        <w:rStyle w:val="27"/>
      </w:rPr>
      <w:instrText xml:space="preserve">PAGE  </w:instrText>
    </w:r>
    <w:r>
      <w:fldChar w:fldCharType="separate"/>
    </w:r>
    <w:r>
      <w:rPr>
        <w:rStyle w:val="27"/>
      </w:rPr>
      <w:t>2</w:t>
    </w:r>
    <w:r>
      <w:fldChar w:fldCharType="end"/>
    </w:r>
  </w:p>
  <w:p w14:paraId="4C91BD14">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6C100">
    <w:pPr>
      <w:pStyle w:val="14"/>
      <w:jc w:val="center"/>
    </w:pPr>
    <w:r>
      <w:fldChar w:fldCharType="begin"/>
    </w:r>
    <w:r>
      <w:instrText xml:space="preserve">PAGE   \* MERGEFORMAT</w:instrText>
    </w:r>
    <w:r>
      <w:fldChar w:fldCharType="separate"/>
    </w:r>
    <w:r>
      <w:rPr>
        <w:lang w:val="zh-CN"/>
      </w:rP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522FFC">
    <w:pPr>
      <w:pStyle w:val="14"/>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AC74A">
    <w:pPr>
      <w:pStyle w:val="14"/>
      <w:ind w:left="-54" w:right="-54"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8A2AFD"/>
    <w:multiLevelType w:val="singleLevel"/>
    <w:tmpl w:val="888A2AFD"/>
    <w:lvl w:ilvl="0" w:tentative="0">
      <w:start w:val="3"/>
      <w:numFmt w:val="decimal"/>
      <w:suff w:val="nothing"/>
      <w:lvlText w:val="（%1）"/>
      <w:lvlJc w:val="left"/>
    </w:lvl>
  </w:abstractNum>
  <w:abstractNum w:abstractNumId="1">
    <w:nsid w:val="958EFFFC"/>
    <w:multiLevelType w:val="singleLevel"/>
    <w:tmpl w:val="958EFFFC"/>
    <w:lvl w:ilvl="0" w:tentative="0">
      <w:start w:val="1"/>
      <w:numFmt w:val="lowerLetter"/>
      <w:suff w:val="nothing"/>
      <w:lvlText w:val="%1）"/>
      <w:lvlJc w:val="left"/>
    </w:lvl>
  </w:abstractNum>
  <w:abstractNum w:abstractNumId="2">
    <w:nsid w:val="B0D68BC8"/>
    <w:multiLevelType w:val="singleLevel"/>
    <w:tmpl w:val="B0D68BC8"/>
    <w:lvl w:ilvl="0" w:tentative="0">
      <w:start w:val="1"/>
      <w:numFmt w:val="bullet"/>
      <w:pStyle w:val="9"/>
      <w:lvlText w:val=""/>
      <w:lvlJc w:val="left"/>
      <w:pPr>
        <w:tabs>
          <w:tab w:val="left" w:pos="2040"/>
        </w:tabs>
        <w:ind w:left="2040" w:hanging="360"/>
      </w:pPr>
      <w:rPr>
        <w:rFonts w:hint="default" w:ascii="Wingdings" w:hAnsi="Wingdings"/>
      </w:rPr>
    </w:lvl>
  </w:abstractNum>
  <w:abstractNum w:abstractNumId="3">
    <w:nsid w:val="0EE08D35"/>
    <w:multiLevelType w:val="singleLevel"/>
    <w:tmpl w:val="0EE08D35"/>
    <w:lvl w:ilvl="0" w:tentative="0">
      <w:start w:val="1"/>
      <w:numFmt w:val="decimal"/>
      <w:lvlText w:val="%1."/>
      <w:lvlJc w:val="left"/>
      <w:pPr>
        <w:tabs>
          <w:tab w:val="left" w:pos="312"/>
        </w:tabs>
      </w:pPr>
    </w:lvl>
  </w:abstractNum>
  <w:abstractNum w:abstractNumId="4">
    <w:nsid w:val="5B615111"/>
    <w:multiLevelType w:val="multilevel"/>
    <w:tmpl w:val="5B615111"/>
    <w:lvl w:ilvl="0" w:tentative="0">
      <w:start w:val="1"/>
      <w:numFmt w:val="decimal"/>
      <w:pStyle w:val="19"/>
      <w:suff w:val="space"/>
      <w:lvlText w:val="%1"/>
      <w:lvlJc w:val="left"/>
      <w:pPr>
        <w:ind w:left="0" w:firstLine="0"/>
      </w:pPr>
      <w:rPr>
        <w:rFonts w:hint="default" w:ascii="Times New Roman" w:hAnsi="Times New Roman" w:cs="Times New Roman"/>
      </w:rPr>
    </w:lvl>
    <w:lvl w:ilvl="1" w:tentative="0">
      <w:start w:val="1"/>
      <w:numFmt w:val="decimal"/>
      <w:pStyle w:val="83"/>
      <w:suff w:val="space"/>
      <w:lvlText w:val="%1.%2"/>
      <w:lvlJc w:val="left"/>
      <w:pPr>
        <w:ind w:left="0" w:firstLine="0"/>
      </w:pPr>
      <w:rPr>
        <w:rFonts w:hint="default" w:ascii="Times New Roman" w:hAnsi="Times New Roman" w:cs="Times New Roman"/>
      </w:rPr>
    </w:lvl>
    <w:lvl w:ilvl="2" w:tentative="0">
      <w:start w:val="1"/>
      <w:numFmt w:val="decimal"/>
      <w:suff w:val="space"/>
      <w:lvlText w:val="%1.%2.%3"/>
      <w:lvlJc w:val="left"/>
      <w:pPr>
        <w:ind w:left="0" w:firstLine="0"/>
      </w:pPr>
      <w:rPr>
        <w:rFonts w:hint="eastAsia"/>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5">
    <w:nsid w:val="7175515D"/>
    <w:multiLevelType w:val="singleLevel"/>
    <w:tmpl w:val="7175515D"/>
    <w:lvl w:ilvl="0" w:tentative="0">
      <w:start w:val="1"/>
      <w:numFmt w:val="decimal"/>
      <w:lvlText w:val="%1."/>
      <w:lvlJc w:val="left"/>
      <w:pPr>
        <w:tabs>
          <w:tab w:val="left" w:pos="312"/>
        </w:tabs>
      </w:pPr>
    </w:lvl>
  </w:abstractNum>
  <w:abstractNum w:abstractNumId="6">
    <w:nsid w:val="7639C92C"/>
    <w:multiLevelType w:val="singleLevel"/>
    <w:tmpl w:val="7639C92C"/>
    <w:lvl w:ilvl="0" w:tentative="0">
      <w:start w:val="14"/>
      <w:numFmt w:val="decimal"/>
      <w:lvlText w:val="%1."/>
      <w:lvlJc w:val="left"/>
      <w:pPr>
        <w:tabs>
          <w:tab w:val="left" w:pos="312"/>
        </w:tabs>
      </w:pPr>
    </w:lvl>
  </w:abstractNum>
  <w:num w:numId="1">
    <w:abstractNumId w:val="2"/>
  </w:num>
  <w:num w:numId="2">
    <w:abstractNumId w:val="4"/>
  </w:num>
  <w:num w:numId="3">
    <w:abstractNumId w:val="1"/>
  </w:num>
  <w:num w:numId="4">
    <w:abstractNumId w:val="6"/>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JiZjBlNjY1YjYxZjg4ZTQwMjBiODRjMWQ1ODkzYjEifQ=="/>
  </w:docVars>
  <w:rsids>
    <w:rsidRoot w:val="003C3E36"/>
    <w:rsid w:val="00010D01"/>
    <w:rsid w:val="00145A6F"/>
    <w:rsid w:val="002000FD"/>
    <w:rsid w:val="00236B81"/>
    <w:rsid w:val="002D76CF"/>
    <w:rsid w:val="00352AB5"/>
    <w:rsid w:val="00371967"/>
    <w:rsid w:val="003C3E36"/>
    <w:rsid w:val="005A6A48"/>
    <w:rsid w:val="00642D29"/>
    <w:rsid w:val="00677E6D"/>
    <w:rsid w:val="00690FF0"/>
    <w:rsid w:val="006E1D1E"/>
    <w:rsid w:val="006E38D7"/>
    <w:rsid w:val="007155CF"/>
    <w:rsid w:val="00761BDE"/>
    <w:rsid w:val="0079543B"/>
    <w:rsid w:val="0084025A"/>
    <w:rsid w:val="00880DB9"/>
    <w:rsid w:val="008B7C78"/>
    <w:rsid w:val="009105C9"/>
    <w:rsid w:val="009250D6"/>
    <w:rsid w:val="00A27210"/>
    <w:rsid w:val="00A81131"/>
    <w:rsid w:val="00AE41B3"/>
    <w:rsid w:val="00AF0E58"/>
    <w:rsid w:val="00B479EF"/>
    <w:rsid w:val="00C845C4"/>
    <w:rsid w:val="00CB0440"/>
    <w:rsid w:val="00CC5398"/>
    <w:rsid w:val="00D20335"/>
    <w:rsid w:val="00D553CB"/>
    <w:rsid w:val="00DB6D1B"/>
    <w:rsid w:val="00F725C5"/>
    <w:rsid w:val="00FC29E5"/>
    <w:rsid w:val="028F099B"/>
    <w:rsid w:val="02AE18E4"/>
    <w:rsid w:val="05680E77"/>
    <w:rsid w:val="05EB03E7"/>
    <w:rsid w:val="06432F0A"/>
    <w:rsid w:val="06984A6A"/>
    <w:rsid w:val="074C4243"/>
    <w:rsid w:val="07673B7C"/>
    <w:rsid w:val="093F5B16"/>
    <w:rsid w:val="0A407F4A"/>
    <w:rsid w:val="0B1316BA"/>
    <w:rsid w:val="0BC1013B"/>
    <w:rsid w:val="0BFA28FB"/>
    <w:rsid w:val="0CD8573D"/>
    <w:rsid w:val="0EE0368C"/>
    <w:rsid w:val="10655B61"/>
    <w:rsid w:val="11512479"/>
    <w:rsid w:val="13587E66"/>
    <w:rsid w:val="19450696"/>
    <w:rsid w:val="197C38F4"/>
    <w:rsid w:val="19861934"/>
    <w:rsid w:val="19AC242B"/>
    <w:rsid w:val="1A0C7D49"/>
    <w:rsid w:val="1B723200"/>
    <w:rsid w:val="1CD20010"/>
    <w:rsid w:val="1D156FB2"/>
    <w:rsid w:val="1D76522A"/>
    <w:rsid w:val="1D7E7C3A"/>
    <w:rsid w:val="1E3173A3"/>
    <w:rsid w:val="20407429"/>
    <w:rsid w:val="21CB4E87"/>
    <w:rsid w:val="2418246B"/>
    <w:rsid w:val="25E62821"/>
    <w:rsid w:val="27F33C10"/>
    <w:rsid w:val="28674DA3"/>
    <w:rsid w:val="2A587A65"/>
    <w:rsid w:val="2B1E6CE9"/>
    <w:rsid w:val="2BF8505C"/>
    <w:rsid w:val="2D4F5A62"/>
    <w:rsid w:val="2ECD6C74"/>
    <w:rsid w:val="2F560A36"/>
    <w:rsid w:val="2F620668"/>
    <w:rsid w:val="301441F9"/>
    <w:rsid w:val="30986E0D"/>
    <w:rsid w:val="314407FC"/>
    <w:rsid w:val="31E16592"/>
    <w:rsid w:val="36C032EC"/>
    <w:rsid w:val="396F3BB8"/>
    <w:rsid w:val="39B81D58"/>
    <w:rsid w:val="39FF4F78"/>
    <w:rsid w:val="3A5B1371"/>
    <w:rsid w:val="3AF729BD"/>
    <w:rsid w:val="3B0A2F6B"/>
    <w:rsid w:val="3B781D15"/>
    <w:rsid w:val="3D3659E4"/>
    <w:rsid w:val="408E5B37"/>
    <w:rsid w:val="42AB1CAF"/>
    <w:rsid w:val="450E7246"/>
    <w:rsid w:val="49645C9F"/>
    <w:rsid w:val="4B517E8D"/>
    <w:rsid w:val="4CC83BF9"/>
    <w:rsid w:val="4EC5790E"/>
    <w:rsid w:val="4EE20B98"/>
    <w:rsid w:val="4F0040A4"/>
    <w:rsid w:val="50631789"/>
    <w:rsid w:val="51764AF1"/>
    <w:rsid w:val="51B53883"/>
    <w:rsid w:val="52FB3500"/>
    <w:rsid w:val="534238B1"/>
    <w:rsid w:val="54D54BF1"/>
    <w:rsid w:val="55B34A09"/>
    <w:rsid w:val="578C56EF"/>
    <w:rsid w:val="57A71585"/>
    <w:rsid w:val="58366084"/>
    <w:rsid w:val="58627B7D"/>
    <w:rsid w:val="58E42340"/>
    <w:rsid w:val="5A863F18"/>
    <w:rsid w:val="5AA10BBF"/>
    <w:rsid w:val="5CD728EE"/>
    <w:rsid w:val="5DE7641D"/>
    <w:rsid w:val="5E7973DB"/>
    <w:rsid w:val="5F53219D"/>
    <w:rsid w:val="5F8959EF"/>
    <w:rsid w:val="603E67DA"/>
    <w:rsid w:val="60835902"/>
    <w:rsid w:val="61D87997"/>
    <w:rsid w:val="63E1404C"/>
    <w:rsid w:val="671E7ED0"/>
    <w:rsid w:val="696451AA"/>
    <w:rsid w:val="6A7A2B04"/>
    <w:rsid w:val="6AE12B83"/>
    <w:rsid w:val="6ED24CBD"/>
    <w:rsid w:val="6FAA5C3A"/>
    <w:rsid w:val="703727D7"/>
    <w:rsid w:val="708D1DA0"/>
    <w:rsid w:val="7186627E"/>
    <w:rsid w:val="74AD0402"/>
    <w:rsid w:val="75A1188D"/>
    <w:rsid w:val="77A25449"/>
    <w:rsid w:val="780A11FC"/>
    <w:rsid w:val="78B66D47"/>
    <w:rsid w:val="79CB0C87"/>
    <w:rsid w:val="7A014E87"/>
    <w:rsid w:val="7BEC2585"/>
    <w:rsid w:val="7CED7166"/>
    <w:rsid w:val="7DD61531"/>
    <w:rsid w:val="7EA65696"/>
    <w:rsid w:val="7EF65E83"/>
    <w:rsid w:val="7F4D1374"/>
    <w:rsid w:val="7F6556D9"/>
    <w:rsid w:val="7FF810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autoRedefine/>
    <w:qFormat/>
    <w:uiPriority w:val="0"/>
    <w:pPr>
      <w:spacing w:beforeLines="50"/>
      <w:jc w:val="left"/>
      <w:outlineLvl w:val="1"/>
    </w:pPr>
    <w:rPr>
      <w:rFonts w:ascii="楷体" w:hAnsi="楷体"/>
      <w:b/>
      <w:bCs/>
      <w:szCs w:val="32"/>
    </w:rPr>
  </w:style>
  <w:style w:type="paragraph" w:styleId="4">
    <w:name w:val="heading 3"/>
    <w:basedOn w:val="1"/>
    <w:next w:val="1"/>
    <w:link w:val="31"/>
    <w:autoRedefine/>
    <w:qFormat/>
    <w:uiPriority w:val="0"/>
    <w:pPr>
      <w:keepNext/>
      <w:keepLines/>
      <w:spacing w:before="260" w:after="260" w:line="416" w:lineRule="auto"/>
      <w:outlineLvl w:val="2"/>
    </w:pPr>
    <w:rPr>
      <w:b/>
      <w:bCs/>
      <w:sz w:val="32"/>
      <w:szCs w:val="3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32"/>
    <w:autoRedefine/>
    <w:qFormat/>
    <w:uiPriority w:val="0"/>
    <w:pPr>
      <w:ind w:firstLine="200" w:firstLineChars="200"/>
    </w:pPr>
    <w:rPr>
      <w:sz w:val="28"/>
      <w:szCs w:val="20"/>
    </w:rPr>
  </w:style>
  <w:style w:type="paragraph" w:styleId="6">
    <w:name w:val="caption"/>
    <w:basedOn w:val="1"/>
    <w:next w:val="1"/>
    <w:link w:val="33"/>
    <w:autoRedefine/>
    <w:qFormat/>
    <w:uiPriority w:val="0"/>
    <w:pPr>
      <w:keepNext/>
      <w:spacing w:beforeLines="50"/>
      <w:jc w:val="center"/>
    </w:pPr>
    <w:rPr>
      <w:rFonts w:eastAsia="黑体" w:cs="Calibri"/>
      <w:color w:val="0000FF"/>
      <w:szCs w:val="20"/>
    </w:rPr>
  </w:style>
  <w:style w:type="paragraph" w:styleId="7">
    <w:name w:val="annotation text"/>
    <w:basedOn w:val="1"/>
    <w:link w:val="34"/>
    <w:autoRedefine/>
    <w:qFormat/>
    <w:uiPriority w:val="99"/>
    <w:pPr>
      <w:jc w:val="left"/>
    </w:pPr>
    <w:rPr>
      <w:kern w:val="0"/>
      <w:sz w:val="24"/>
      <w:szCs w:val="20"/>
    </w:rPr>
  </w:style>
  <w:style w:type="paragraph" w:styleId="8">
    <w:name w:val="Body Text"/>
    <w:basedOn w:val="1"/>
    <w:next w:val="9"/>
    <w:link w:val="35"/>
    <w:autoRedefine/>
    <w:qFormat/>
    <w:uiPriority w:val="0"/>
    <w:pPr>
      <w:widowControl/>
      <w:snapToGrid w:val="0"/>
      <w:spacing w:before="60" w:after="160" w:line="259" w:lineRule="auto"/>
      <w:ind w:right="113"/>
    </w:pPr>
    <w:rPr>
      <w:kern w:val="0"/>
      <w:sz w:val="18"/>
      <w:szCs w:val="20"/>
    </w:rPr>
  </w:style>
  <w:style w:type="paragraph" w:styleId="9">
    <w:name w:val="List Bullet 5"/>
    <w:basedOn w:val="1"/>
    <w:autoRedefine/>
    <w:qFormat/>
    <w:uiPriority w:val="0"/>
    <w:pPr>
      <w:numPr>
        <w:ilvl w:val="0"/>
        <w:numId w:val="1"/>
      </w:numPr>
    </w:pPr>
  </w:style>
  <w:style w:type="paragraph" w:styleId="10">
    <w:name w:val="Body Text Indent"/>
    <w:basedOn w:val="1"/>
    <w:link w:val="36"/>
    <w:autoRedefine/>
    <w:qFormat/>
    <w:uiPriority w:val="0"/>
    <w:pPr>
      <w:spacing w:after="120"/>
      <w:ind w:left="420" w:leftChars="200"/>
    </w:pPr>
    <w:rPr>
      <w:kern w:val="0"/>
      <w:sz w:val="24"/>
      <w:szCs w:val="20"/>
    </w:rPr>
  </w:style>
  <w:style w:type="paragraph" w:styleId="11">
    <w:name w:val="Plain Text"/>
    <w:basedOn w:val="1"/>
    <w:link w:val="37"/>
    <w:autoRedefine/>
    <w:qFormat/>
    <w:uiPriority w:val="0"/>
    <w:rPr>
      <w:rFonts w:ascii="宋体" w:hAnsi="Courier New" w:cs="Calibri"/>
      <w:color w:val="0000FF"/>
      <w:sz w:val="20"/>
      <w:szCs w:val="20"/>
    </w:rPr>
  </w:style>
  <w:style w:type="paragraph" w:styleId="12">
    <w:name w:val="Date"/>
    <w:basedOn w:val="1"/>
    <w:next w:val="1"/>
    <w:link w:val="38"/>
    <w:autoRedefine/>
    <w:qFormat/>
    <w:uiPriority w:val="0"/>
    <w:pPr>
      <w:ind w:left="100" w:leftChars="2500"/>
    </w:pPr>
    <w:rPr>
      <w:kern w:val="0"/>
      <w:sz w:val="24"/>
      <w:szCs w:val="20"/>
    </w:rPr>
  </w:style>
  <w:style w:type="paragraph" w:styleId="13">
    <w:name w:val="Balloon Text"/>
    <w:basedOn w:val="1"/>
    <w:link w:val="39"/>
    <w:autoRedefine/>
    <w:semiHidden/>
    <w:qFormat/>
    <w:uiPriority w:val="0"/>
    <w:rPr>
      <w:kern w:val="0"/>
      <w:sz w:val="18"/>
      <w:szCs w:val="20"/>
    </w:rPr>
  </w:style>
  <w:style w:type="paragraph" w:styleId="14">
    <w:name w:val="footer"/>
    <w:basedOn w:val="1"/>
    <w:link w:val="40"/>
    <w:autoRedefine/>
    <w:qFormat/>
    <w:uiPriority w:val="99"/>
    <w:pPr>
      <w:tabs>
        <w:tab w:val="center" w:pos="4153"/>
        <w:tab w:val="right" w:pos="8306"/>
      </w:tabs>
      <w:snapToGrid w:val="0"/>
      <w:jc w:val="left"/>
    </w:pPr>
    <w:rPr>
      <w:kern w:val="0"/>
      <w:sz w:val="18"/>
      <w:szCs w:val="20"/>
    </w:rPr>
  </w:style>
  <w:style w:type="paragraph" w:styleId="15">
    <w:name w:val="header"/>
    <w:basedOn w:val="1"/>
    <w:link w:val="41"/>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16">
    <w:name w:val="List"/>
    <w:basedOn w:val="1"/>
    <w:autoRedefine/>
    <w:qFormat/>
    <w:uiPriority w:val="0"/>
    <w:pPr>
      <w:spacing w:line="360" w:lineRule="exact"/>
      <w:jc w:val="center"/>
    </w:pPr>
    <w:rPr>
      <w:rFonts w:ascii="仿宋_GB2312"/>
    </w:rPr>
  </w:style>
  <w:style w:type="paragraph" w:styleId="17">
    <w:name w:val="Body Text 2"/>
    <w:basedOn w:val="1"/>
    <w:autoRedefine/>
    <w:unhideWhenUsed/>
    <w:qFormat/>
    <w:uiPriority w:val="99"/>
    <w:pPr>
      <w:spacing w:after="120" w:line="480" w:lineRule="auto"/>
    </w:pPr>
  </w:style>
  <w:style w:type="paragraph" w:styleId="18">
    <w:name w:val="Normal (Web)"/>
    <w:basedOn w:val="1"/>
    <w:link w:val="42"/>
    <w:autoRedefine/>
    <w:qFormat/>
    <w:uiPriority w:val="0"/>
    <w:pPr>
      <w:widowControl/>
      <w:spacing w:before="100" w:beforeAutospacing="1" w:after="100" w:afterAutospacing="1"/>
      <w:jc w:val="left"/>
    </w:pPr>
    <w:rPr>
      <w:rFonts w:ascii="宋体" w:hAnsi="宋体"/>
      <w:kern w:val="0"/>
      <w:sz w:val="24"/>
      <w:szCs w:val="20"/>
    </w:rPr>
  </w:style>
  <w:style w:type="paragraph" w:styleId="19">
    <w:name w:val="Title"/>
    <w:basedOn w:val="1"/>
    <w:next w:val="1"/>
    <w:autoRedefine/>
    <w:qFormat/>
    <w:uiPriority w:val="0"/>
    <w:pPr>
      <w:numPr>
        <w:ilvl w:val="0"/>
        <w:numId w:val="2"/>
      </w:numPr>
      <w:spacing w:before="60" w:line="360" w:lineRule="auto"/>
      <w:jc w:val="left"/>
      <w:outlineLvl w:val="0"/>
    </w:pPr>
    <w:rPr>
      <w:rFonts w:ascii="等线 Light" w:hAnsi="等线 Light"/>
      <w:b/>
      <w:bCs/>
      <w:sz w:val="24"/>
      <w:szCs w:val="32"/>
    </w:rPr>
  </w:style>
  <w:style w:type="paragraph" w:styleId="20">
    <w:name w:val="annotation subject"/>
    <w:basedOn w:val="7"/>
    <w:next w:val="7"/>
    <w:link w:val="43"/>
    <w:autoRedefine/>
    <w:semiHidden/>
    <w:qFormat/>
    <w:uiPriority w:val="0"/>
    <w:rPr>
      <w:b/>
      <w:kern w:val="2"/>
    </w:rPr>
  </w:style>
  <w:style w:type="paragraph" w:styleId="21">
    <w:name w:val="Body Text First Indent"/>
    <w:basedOn w:val="8"/>
    <w:link w:val="44"/>
    <w:autoRedefine/>
    <w:qFormat/>
    <w:uiPriority w:val="0"/>
    <w:pPr>
      <w:widowControl w:val="0"/>
      <w:snapToGrid/>
      <w:spacing w:before="0" w:after="120" w:line="240" w:lineRule="auto"/>
      <w:ind w:right="0" w:firstLine="420" w:firstLineChars="100"/>
    </w:pPr>
    <w:rPr>
      <w:kern w:val="2"/>
      <w:sz w:val="21"/>
      <w:szCs w:val="24"/>
    </w:rPr>
  </w:style>
  <w:style w:type="paragraph" w:styleId="22">
    <w:name w:val="Body Text First Indent 2"/>
    <w:basedOn w:val="1"/>
    <w:next w:val="1"/>
    <w:link w:val="30"/>
    <w:autoRedefine/>
    <w:qFormat/>
    <w:uiPriority w:val="0"/>
    <w:pPr>
      <w:ind w:firstLine="420" w:firstLineChars="200"/>
    </w:pPr>
    <w:rPr>
      <w:szCs w:val="20"/>
    </w:rPr>
  </w:style>
  <w:style w:type="table" w:styleId="24">
    <w:name w:val="Table Grid"/>
    <w:basedOn w:val="23"/>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0"/>
    <w:rPr>
      <w:b/>
    </w:rPr>
  </w:style>
  <w:style w:type="character" w:styleId="27">
    <w:name w:val="page number"/>
    <w:autoRedefine/>
    <w:qFormat/>
    <w:uiPriority w:val="0"/>
  </w:style>
  <w:style w:type="character" w:styleId="28">
    <w:name w:val="Hyperlink"/>
    <w:autoRedefine/>
    <w:qFormat/>
    <w:uiPriority w:val="99"/>
    <w:rPr>
      <w:color w:val="0000FF"/>
      <w:u w:val="single"/>
    </w:rPr>
  </w:style>
  <w:style w:type="character" w:styleId="29">
    <w:name w:val="annotation reference"/>
    <w:autoRedefine/>
    <w:qFormat/>
    <w:uiPriority w:val="0"/>
    <w:rPr>
      <w:sz w:val="21"/>
    </w:rPr>
  </w:style>
  <w:style w:type="character" w:customStyle="1" w:styleId="30">
    <w:name w:val="正文文本首行缩进 2 字符"/>
    <w:link w:val="22"/>
    <w:autoRedefine/>
    <w:qFormat/>
    <w:uiPriority w:val="0"/>
    <w:rPr>
      <w:kern w:val="2"/>
      <w:sz w:val="21"/>
    </w:rPr>
  </w:style>
  <w:style w:type="character" w:customStyle="1" w:styleId="31">
    <w:name w:val="标题 3 字符1"/>
    <w:link w:val="4"/>
    <w:autoRedefine/>
    <w:qFormat/>
    <w:uiPriority w:val="0"/>
    <w:rPr>
      <w:b/>
      <w:bCs/>
      <w:kern w:val="2"/>
      <w:sz w:val="32"/>
      <w:szCs w:val="32"/>
    </w:rPr>
  </w:style>
  <w:style w:type="character" w:customStyle="1" w:styleId="32">
    <w:name w:val="正文缩进 字符"/>
    <w:link w:val="5"/>
    <w:autoRedefine/>
    <w:qFormat/>
    <w:uiPriority w:val="0"/>
    <w:rPr>
      <w:kern w:val="2"/>
      <w:sz w:val="28"/>
    </w:rPr>
  </w:style>
  <w:style w:type="character" w:customStyle="1" w:styleId="33">
    <w:name w:val="题注 字符"/>
    <w:link w:val="6"/>
    <w:autoRedefine/>
    <w:qFormat/>
    <w:uiPriority w:val="0"/>
    <w:rPr>
      <w:rFonts w:eastAsia="黑体" w:cs="Calibri"/>
      <w:color w:val="0000FF"/>
      <w:kern w:val="2"/>
      <w:sz w:val="21"/>
    </w:rPr>
  </w:style>
  <w:style w:type="character" w:customStyle="1" w:styleId="34">
    <w:name w:val="批注文字 字符"/>
    <w:link w:val="7"/>
    <w:autoRedefine/>
    <w:qFormat/>
    <w:uiPriority w:val="99"/>
    <w:rPr>
      <w:rFonts w:ascii="Times New Roman" w:hAnsi="Times New Roman" w:eastAsia="宋体"/>
      <w:sz w:val="24"/>
    </w:rPr>
  </w:style>
  <w:style w:type="character" w:customStyle="1" w:styleId="35">
    <w:name w:val="正文文本 字符"/>
    <w:link w:val="8"/>
    <w:autoRedefine/>
    <w:qFormat/>
    <w:uiPriority w:val="0"/>
    <w:rPr>
      <w:sz w:val="18"/>
    </w:rPr>
  </w:style>
  <w:style w:type="character" w:customStyle="1" w:styleId="36">
    <w:name w:val="正文文本缩进 字符"/>
    <w:link w:val="10"/>
    <w:autoRedefine/>
    <w:semiHidden/>
    <w:qFormat/>
    <w:uiPriority w:val="0"/>
    <w:rPr>
      <w:rFonts w:ascii="Times New Roman" w:hAnsi="Times New Roman" w:eastAsia="宋体"/>
      <w:sz w:val="24"/>
    </w:rPr>
  </w:style>
  <w:style w:type="character" w:customStyle="1" w:styleId="37">
    <w:name w:val="纯文本 字符"/>
    <w:link w:val="11"/>
    <w:autoRedefine/>
    <w:qFormat/>
    <w:uiPriority w:val="0"/>
    <w:rPr>
      <w:rFonts w:ascii="宋体" w:hAnsi="Courier New" w:cs="Calibri"/>
      <w:color w:val="0000FF"/>
      <w:kern w:val="2"/>
    </w:rPr>
  </w:style>
  <w:style w:type="character" w:customStyle="1" w:styleId="38">
    <w:name w:val="日期 字符1"/>
    <w:link w:val="12"/>
    <w:autoRedefine/>
    <w:qFormat/>
    <w:uiPriority w:val="0"/>
    <w:rPr>
      <w:rFonts w:ascii="Times New Roman" w:hAnsi="Times New Roman" w:eastAsia="宋体"/>
      <w:sz w:val="24"/>
    </w:rPr>
  </w:style>
  <w:style w:type="character" w:customStyle="1" w:styleId="39">
    <w:name w:val="批注框文本 字符"/>
    <w:link w:val="13"/>
    <w:autoRedefine/>
    <w:semiHidden/>
    <w:qFormat/>
    <w:uiPriority w:val="0"/>
    <w:rPr>
      <w:rFonts w:ascii="Times New Roman" w:hAnsi="Times New Roman" w:eastAsia="宋体"/>
      <w:sz w:val="18"/>
    </w:rPr>
  </w:style>
  <w:style w:type="character" w:customStyle="1" w:styleId="40">
    <w:name w:val="页脚 字符1"/>
    <w:link w:val="14"/>
    <w:autoRedefine/>
    <w:qFormat/>
    <w:uiPriority w:val="99"/>
    <w:rPr>
      <w:sz w:val="18"/>
    </w:rPr>
  </w:style>
  <w:style w:type="character" w:customStyle="1" w:styleId="41">
    <w:name w:val="页眉 字符"/>
    <w:link w:val="15"/>
    <w:autoRedefine/>
    <w:qFormat/>
    <w:uiPriority w:val="0"/>
    <w:rPr>
      <w:sz w:val="18"/>
    </w:rPr>
  </w:style>
  <w:style w:type="character" w:customStyle="1" w:styleId="42">
    <w:name w:val="普通(网站) 字符"/>
    <w:link w:val="18"/>
    <w:autoRedefine/>
    <w:qFormat/>
    <w:uiPriority w:val="0"/>
    <w:rPr>
      <w:rFonts w:ascii="宋体" w:hAnsi="宋体" w:eastAsia="宋体"/>
      <w:sz w:val="24"/>
    </w:rPr>
  </w:style>
  <w:style w:type="character" w:customStyle="1" w:styleId="43">
    <w:name w:val="批注主题 字符"/>
    <w:link w:val="20"/>
    <w:autoRedefine/>
    <w:semiHidden/>
    <w:qFormat/>
    <w:uiPriority w:val="0"/>
    <w:rPr>
      <w:rFonts w:ascii="Times New Roman" w:hAnsi="Times New Roman" w:eastAsia="宋体"/>
      <w:b/>
      <w:kern w:val="2"/>
      <w:sz w:val="24"/>
    </w:rPr>
  </w:style>
  <w:style w:type="character" w:customStyle="1" w:styleId="44">
    <w:name w:val="正文文本首行缩进 字符"/>
    <w:link w:val="21"/>
    <w:autoRedefine/>
    <w:qFormat/>
    <w:uiPriority w:val="0"/>
    <w:rPr>
      <w:kern w:val="2"/>
      <w:sz w:val="21"/>
      <w:szCs w:val="24"/>
    </w:rPr>
  </w:style>
  <w:style w:type="character" w:customStyle="1" w:styleId="45">
    <w:name w:val="日期 字符"/>
    <w:autoRedefine/>
    <w:semiHidden/>
    <w:qFormat/>
    <w:uiPriority w:val="0"/>
    <w:rPr>
      <w:rFonts w:ascii="Times New Roman" w:hAnsi="Times New Roman" w:eastAsia="宋体"/>
      <w:sz w:val="24"/>
    </w:rPr>
  </w:style>
  <w:style w:type="character" w:customStyle="1" w:styleId="46">
    <w:name w:val="YY表格正文 字符"/>
    <w:link w:val="47"/>
    <w:autoRedefine/>
    <w:qFormat/>
    <w:uiPriority w:val="0"/>
    <w:rPr>
      <w:color w:val="000000"/>
      <w:kern w:val="2"/>
      <w:sz w:val="21"/>
      <w:szCs w:val="24"/>
    </w:rPr>
  </w:style>
  <w:style w:type="paragraph" w:customStyle="1" w:styleId="47">
    <w:name w:val="YY表格正文"/>
    <w:basedOn w:val="48"/>
    <w:link w:val="46"/>
    <w:autoRedefine/>
    <w:qFormat/>
    <w:uiPriority w:val="0"/>
    <w:pPr>
      <w:tabs>
        <w:tab w:val="left" w:pos="0"/>
      </w:tabs>
    </w:pPr>
    <w:rPr>
      <w:color w:val="000000"/>
    </w:rPr>
  </w:style>
  <w:style w:type="paragraph" w:customStyle="1" w:styleId="48">
    <w:name w:val="表格内文字"/>
    <w:basedOn w:val="1"/>
    <w:autoRedefine/>
    <w:qFormat/>
    <w:uiPriority w:val="0"/>
    <w:pPr>
      <w:tabs>
        <w:tab w:val="left" w:pos="0"/>
      </w:tabs>
      <w:adjustRightInd w:val="0"/>
      <w:snapToGrid w:val="0"/>
      <w:jc w:val="center"/>
    </w:pPr>
    <w:rPr>
      <w:rFonts w:eastAsia="仿宋_GB2312"/>
      <w:sz w:val="24"/>
    </w:rPr>
  </w:style>
  <w:style w:type="character" w:customStyle="1" w:styleId="49">
    <w:name w:val="正文文本 字符1"/>
    <w:autoRedefine/>
    <w:semiHidden/>
    <w:qFormat/>
    <w:uiPriority w:val="0"/>
    <w:rPr>
      <w:rFonts w:ascii="Times New Roman" w:hAnsi="Times New Roman" w:eastAsia="宋体"/>
      <w:sz w:val="24"/>
    </w:rPr>
  </w:style>
  <w:style w:type="character" w:customStyle="1" w:styleId="50">
    <w:name w:val="批注文字 字符1"/>
    <w:autoRedefine/>
    <w:semiHidden/>
    <w:qFormat/>
    <w:uiPriority w:val="0"/>
    <w:rPr>
      <w:rFonts w:ascii="Times New Roman" w:hAnsi="Times New Roman" w:eastAsia="宋体"/>
      <w:sz w:val="24"/>
    </w:rPr>
  </w:style>
  <w:style w:type="character" w:customStyle="1" w:styleId="51">
    <w:name w:val="页脚 字符"/>
    <w:autoRedefine/>
    <w:qFormat/>
    <w:uiPriority w:val="99"/>
  </w:style>
  <w:style w:type="character" w:customStyle="1" w:styleId="52">
    <w:name w:val="表内表 字符"/>
    <w:link w:val="53"/>
    <w:autoRedefine/>
    <w:qFormat/>
    <w:uiPriority w:val="0"/>
    <w:rPr>
      <w:bCs/>
      <w:kern w:val="2"/>
      <w:sz w:val="21"/>
      <w:szCs w:val="21"/>
    </w:rPr>
  </w:style>
  <w:style w:type="paragraph" w:customStyle="1" w:styleId="53">
    <w:name w:val="表内表"/>
    <w:basedOn w:val="1"/>
    <w:link w:val="52"/>
    <w:autoRedefine/>
    <w:qFormat/>
    <w:uiPriority w:val="0"/>
    <w:pPr>
      <w:spacing w:line="240" w:lineRule="atLeast"/>
      <w:jc w:val="center"/>
    </w:pPr>
    <w:rPr>
      <w:bCs/>
      <w:szCs w:val="21"/>
    </w:rPr>
  </w:style>
  <w:style w:type="character" w:customStyle="1" w:styleId="54">
    <w:name w:val="表格 Char"/>
    <w:link w:val="55"/>
    <w:autoRedefine/>
    <w:qFormat/>
    <w:uiPriority w:val="0"/>
    <w:rPr>
      <w:rFonts w:ascii="宋体"/>
      <w:sz w:val="21"/>
    </w:rPr>
  </w:style>
  <w:style w:type="paragraph" w:customStyle="1" w:styleId="55">
    <w:name w:val="表格"/>
    <w:basedOn w:val="1"/>
    <w:next w:val="1"/>
    <w:link w:val="54"/>
    <w:autoRedefine/>
    <w:qFormat/>
    <w:uiPriority w:val="0"/>
    <w:pPr>
      <w:adjustRightInd w:val="0"/>
      <w:snapToGrid w:val="0"/>
      <w:spacing w:beforeLines="10" w:afterLines="10" w:line="259" w:lineRule="auto"/>
      <w:jc w:val="center"/>
    </w:pPr>
    <w:rPr>
      <w:rFonts w:ascii="宋体"/>
      <w:kern w:val="0"/>
      <w:szCs w:val="20"/>
    </w:rPr>
  </w:style>
  <w:style w:type="character" w:customStyle="1" w:styleId="56">
    <w:name w:val="1.....正文 Char"/>
    <w:link w:val="57"/>
    <w:autoRedefine/>
    <w:qFormat/>
    <w:uiPriority w:val="0"/>
    <w:rPr>
      <w:rFonts w:ascii="仿宋_GB2312" w:eastAsia="仿宋_GB2312"/>
      <w:kern w:val="2"/>
      <w:sz w:val="28"/>
      <w:szCs w:val="28"/>
    </w:rPr>
  </w:style>
  <w:style w:type="paragraph" w:customStyle="1" w:styleId="57">
    <w:name w:val="1.....正文"/>
    <w:basedOn w:val="1"/>
    <w:link w:val="56"/>
    <w:autoRedefine/>
    <w:qFormat/>
    <w:uiPriority w:val="0"/>
    <w:pPr>
      <w:adjustRightInd w:val="0"/>
      <w:snapToGrid w:val="0"/>
      <w:ind w:firstLine="560" w:firstLineChars="200"/>
    </w:pPr>
    <w:rPr>
      <w:rFonts w:ascii="仿宋_GB2312" w:eastAsia="仿宋_GB2312"/>
      <w:sz w:val="28"/>
      <w:szCs w:val="28"/>
    </w:rPr>
  </w:style>
  <w:style w:type="character" w:customStyle="1" w:styleId="58">
    <w:name w:val="段 Char"/>
    <w:link w:val="59"/>
    <w:autoRedefine/>
    <w:qFormat/>
    <w:uiPriority w:val="0"/>
    <w:rPr>
      <w:rFonts w:ascii="宋体"/>
      <w:sz w:val="21"/>
      <w:lang w:bidi="ar-SA"/>
    </w:rPr>
  </w:style>
  <w:style w:type="paragraph" w:customStyle="1" w:styleId="59">
    <w:name w:val="段"/>
    <w:link w:val="58"/>
    <w:autoRedefine/>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60">
    <w:name w:val="标题 3 字符"/>
    <w:autoRedefine/>
    <w:semiHidden/>
    <w:qFormat/>
    <w:uiPriority w:val="0"/>
    <w:rPr>
      <w:b/>
      <w:bCs/>
      <w:kern w:val="2"/>
      <w:sz w:val="32"/>
      <w:szCs w:val="32"/>
    </w:rPr>
  </w:style>
  <w:style w:type="character" w:customStyle="1" w:styleId="61">
    <w:name w:val="Default Char"/>
    <w:link w:val="62"/>
    <w:autoRedefine/>
    <w:qFormat/>
    <w:uiPriority w:val="0"/>
    <w:rPr>
      <w:rFonts w:ascii="宋体" w:cs="宋体"/>
      <w:color w:val="000000"/>
      <w:sz w:val="24"/>
      <w:szCs w:val="24"/>
    </w:rPr>
  </w:style>
  <w:style w:type="paragraph" w:customStyle="1" w:styleId="62">
    <w:name w:val="Default"/>
    <w:basedOn w:val="63"/>
    <w:link w:val="61"/>
    <w:autoRedefine/>
    <w:qFormat/>
    <w:uiPriority w:val="0"/>
    <w:pPr>
      <w:widowControl w:val="0"/>
      <w:autoSpaceDE w:val="0"/>
      <w:autoSpaceDN w:val="0"/>
      <w:adjustRightInd w:val="0"/>
    </w:pPr>
    <w:rPr>
      <w:rFonts w:ascii="宋体" w:cs="宋体"/>
      <w:color w:val="000000"/>
      <w:sz w:val="24"/>
    </w:rPr>
  </w:style>
  <w:style w:type="paragraph" w:customStyle="1" w:styleId="63">
    <w:name w:val="标题 段落4级"/>
    <w:autoRedefine/>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character" w:customStyle="1" w:styleId="64">
    <w:name w:val="正文缩进 Char"/>
    <w:autoRedefine/>
    <w:qFormat/>
    <w:uiPriority w:val="0"/>
    <w:rPr>
      <w:sz w:val="28"/>
    </w:rPr>
  </w:style>
  <w:style w:type="character" w:customStyle="1" w:styleId="65">
    <w:name w:val="表标题 Char"/>
    <w:link w:val="66"/>
    <w:autoRedefine/>
    <w:qFormat/>
    <w:uiPriority w:val="0"/>
    <w:rPr>
      <w:b/>
      <w:kern w:val="2"/>
      <w:sz w:val="24"/>
      <w:szCs w:val="24"/>
    </w:rPr>
  </w:style>
  <w:style w:type="paragraph" w:customStyle="1" w:styleId="66">
    <w:name w:val="表标题"/>
    <w:next w:val="1"/>
    <w:link w:val="65"/>
    <w:autoRedefine/>
    <w:qFormat/>
    <w:uiPriority w:val="0"/>
    <w:pPr>
      <w:spacing w:before="60"/>
      <w:jc w:val="center"/>
    </w:pPr>
    <w:rPr>
      <w:rFonts w:ascii="Times New Roman" w:hAnsi="Times New Roman" w:eastAsia="宋体" w:cs="Times New Roman"/>
      <w:b/>
      <w:kern w:val="2"/>
      <w:sz w:val="24"/>
      <w:szCs w:val="24"/>
      <w:lang w:val="en-US" w:eastAsia="zh-CN" w:bidi="ar-SA"/>
    </w:rPr>
  </w:style>
  <w:style w:type="character" w:customStyle="1" w:styleId="67">
    <w:name w:val="+正文 Char"/>
    <w:autoRedefine/>
    <w:qFormat/>
    <w:uiPriority w:val="0"/>
    <w:rPr>
      <w:kern w:val="2"/>
      <w:sz w:val="28"/>
      <w:szCs w:val="28"/>
    </w:rPr>
  </w:style>
  <w:style w:type="character" w:customStyle="1" w:styleId="68">
    <w:name w:val="1表格 Char"/>
    <w:link w:val="69"/>
    <w:autoRedefine/>
    <w:qFormat/>
    <w:uiPriority w:val="0"/>
    <w:rPr>
      <w:spacing w:val="4"/>
      <w:szCs w:val="24"/>
    </w:rPr>
  </w:style>
  <w:style w:type="paragraph" w:customStyle="1" w:styleId="69">
    <w:name w:val="1表格"/>
    <w:basedOn w:val="1"/>
    <w:link w:val="68"/>
    <w:autoRedefine/>
    <w:qFormat/>
    <w:uiPriority w:val="0"/>
    <w:pPr>
      <w:adjustRightInd w:val="0"/>
      <w:snapToGrid w:val="0"/>
      <w:jc w:val="center"/>
    </w:pPr>
    <w:rPr>
      <w:spacing w:val="4"/>
      <w:kern w:val="0"/>
      <w:sz w:val="20"/>
    </w:rPr>
  </w:style>
  <w:style w:type="character" w:customStyle="1" w:styleId="70">
    <w:name w:val="表格内容 Char"/>
    <w:link w:val="71"/>
    <w:autoRedefine/>
    <w:qFormat/>
    <w:uiPriority w:val="0"/>
    <w:rPr>
      <w:rFonts w:ascii="Arial" w:hAnsi="Arial" w:eastAsia="仿宋_GB2312"/>
      <w:sz w:val="24"/>
    </w:rPr>
  </w:style>
  <w:style w:type="paragraph" w:customStyle="1" w:styleId="71">
    <w:name w:val="表格内容"/>
    <w:basedOn w:val="1"/>
    <w:link w:val="70"/>
    <w:autoRedefine/>
    <w:qFormat/>
    <w:uiPriority w:val="0"/>
    <w:pPr>
      <w:overflowPunct w:val="0"/>
      <w:spacing w:before="40" w:after="60" w:line="200" w:lineRule="atLeast"/>
      <w:textAlignment w:val="baseline"/>
    </w:pPr>
    <w:rPr>
      <w:rFonts w:ascii="Arial" w:hAnsi="Arial" w:eastAsia="仿宋_GB2312"/>
      <w:kern w:val="0"/>
      <w:sz w:val="24"/>
      <w:szCs w:val="20"/>
    </w:rPr>
  </w:style>
  <w:style w:type="character" w:customStyle="1" w:styleId="72">
    <w:name w:val="纯文本 字符1"/>
    <w:autoRedefine/>
    <w:qFormat/>
    <w:uiPriority w:val="0"/>
    <w:rPr>
      <w:rFonts w:ascii="宋体" w:hAnsi="Courier New" w:cs="Courier New"/>
      <w:kern w:val="2"/>
      <w:sz w:val="21"/>
      <w:szCs w:val="21"/>
    </w:rPr>
  </w:style>
  <w:style w:type="character" w:customStyle="1" w:styleId="73">
    <w:name w:val="表格文字 Char"/>
    <w:link w:val="74"/>
    <w:autoRedefine/>
    <w:qFormat/>
    <w:uiPriority w:val="0"/>
    <w:rPr>
      <w:rFonts w:ascii="仿宋_GB2312" w:hAnsi="Arial Black" w:eastAsia="仿宋_GB2312"/>
      <w:kern w:val="44"/>
      <w:sz w:val="24"/>
    </w:rPr>
  </w:style>
  <w:style w:type="paragraph" w:customStyle="1" w:styleId="74">
    <w:name w:val="表格文字"/>
    <w:basedOn w:val="1"/>
    <w:link w:val="73"/>
    <w:autoRedefine/>
    <w:qFormat/>
    <w:uiPriority w:val="0"/>
    <w:pPr>
      <w:jc w:val="center"/>
    </w:pPr>
    <w:rPr>
      <w:rFonts w:ascii="仿宋_GB2312" w:hAnsi="Arial Black" w:eastAsia="仿宋_GB2312"/>
      <w:kern w:val="44"/>
      <w:sz w:val="24"/>
      <w:szCs w:val="20"/>
    </w:rPr>
  </w:style>
  <w:style w:type="character" w:customStyle="1" w:styleId="75">
    <w:name w:val="表格/图表标题 Char"/>
    <w:link w:val="76"/>
    <w:autoRedefine/>
    <w:qFormat/>
    <w:uiPriority w:val="0"/>
    <w:rPr>
      <w:rFonts w:cs="Calibri"/>
      <w:b/>
      <w:bCs/>
      <w:color w:val="0000FF"/>
      <w:sz w:val="24"/>
      <w:szCs w:val="24"/>
    </w:rPr>
  </w:style>
  <w:style w:type="paragraph" w:customStyle="1" w:styleId="76">
    <w:name w:val="表格/图表标题"/>
    <w:basedOn w:val="1"/>
    <w:next w:val="1"/>
    <w:link w:val="75"/>
    <w:autoRedefine/>
    <w:qFormat/>
    <w:uiPriority w:val="0"/>
    <w:pPr>
      <w:spacing w:beforeLines="50"/>
      <w:jc w:val="center"/>
    </w:pPr>
    <w:rPr>
      <w:rFonts w:cs="Calibri"/>
      <w:b/>
      <w:bCs/>
      <w:color w:val="0000FF"/>
      <w:kern w:val="0"/>
      <w:sz w:val="24"/>
    </w:rPr>
  </w:style>
  <w:style w:type="character" w:customStyle="1" w:styleId="77">
    <w:name w:val="ask-title"/>
    <w:autoRedefine/>
    <w:qFormat/>
    <w:uiPriority w:val="0"/>
  </w:style>
  <w:style w:type="character" w:customStyle="1" w:styleId="78">
    <w:name w:val="题注 Char"/>
    <w:autoRedefine/>
    <w:qFormat/>
    <w:uiPriority w:val="0"/>
    <w:rPr>
      <w:rFonts w:hAnsi="宋体"/>
      <w:b/>
      <w:kern w:val="2"/>
      <w:sz w:val="24"/>
      <w:szCs w:val="24"/>
      <w:lang w:val="zh-CN"/>
    </w:rPr>
  </w:style>
  <w:style w:type="character" w:customStyle="1" w:styleId="79">
    <w:name w:val="纯文本 Char"/>
    <w:autoRedefine/>
    <w:qFormat/>
    <w:uiPriority w:val="0"/>
    <w:rPr>
      <w:rFonts w:ascii="宋体" w:hAnsi="Courier New" w:cs="Courier New"/>
      <w:kern w:val="2"/>
      <w:sz w:val="21"/>
      <w:szCs w:val="21"/>
      <w:lang w:eastAsia="en-US" w:bidi="en-US"/>
    </w:rPr>
  </w:style>
  <w:style w:type="character" w:customStyle="1" w:styleId="80">
    <w:name w:val="_Style 78"/>
    <w:autoRedefine/>
    <w:unhideWhenUsed/>
    <w:qFormat/>
    <w:uiPriority w:val="99"/>
    <w:rPr>
      <w:color w:val="605E5C"/>
      <w:shd w:val="clear" w:color="auto" w:fill="E1DFDD"/>
    </w:rPr>
  </w:style>
  <w:style w:type="paragraph" w:customStyle="1" w:styleId="81">
    <w:name w:val="_Style 4"/>
    <w:basedOn w:val="1"/>
    <w:autoRedefine/>
    <w:qFormat/>
    <w:uiPriority w:val="34"/>
    <w:pPr>
      <w:spacing w:line="360" w:lineRule="auto"/>
      <w:ind w:firstLine="420" w:firstLineChars="200"/>
    </w:pPr>
    <w:rPr>
      <w:rFonts w:cs="Calibri"/>
      <w:color w:val="0000FF"/>
      <w:sz w:val="24"/>
      <w:szCs w:val="21"/>
    </w:rPr>
  </w:style>
  <w:style w:type="paragraph" w:customStyle="1" w:styleId="82">
    <w:name w:val="中文报告书样式"/>
    <w:basedOn w:val="1"/>
    <w:autoRedefine/>
    <w:qFormat/>
    <w:uiPriority w:val="99"/>
    <w:pPr>
      <w:spacing w:line="360" w:lineRule="auto"/>
      <w:ind w:firstLine="480" w:firstLineChars="200"/>
      <w:textAlignment w:val="baseline"/>
    </w:pPr>
    <w:rPr>
      <w:rFonts w:cs="Calibri"/>
      <w:color w:val="0000FF"/>
      <w:kern w:val="24"/>
      <w:sz w:val="24"/>
      <w:szCs w:val="22"/>
    </w:rPr>
  </w:style>
  <w:style w:type="paragraph" w:customStyle="1" w:styleId="83">
    <w:name w:val="标题1-1"/>
    <w:basedOn w:val="19"/>
    <w:autoRedefine/>
    <w:qFormat/>
    <w:uiPriority w:val="0"/>
    <w:pPr>
      <w:numPr>
        <w:ilvl w:val="1"/>
      </w:numPr>
      <w:spacing w:before="0"/>
      <w:jc w:val="both"/>
      <w:outlineLvl w:val="1"/>
    </w:pPr>
    <w:rPr>
      <w:rFonts w:ascii="Times New Roman" w:hAnsi="Times New Roman"/>
    </w:rPr>
  </w:style>
  <w:style w:type="paragraph" w:customStyle="1" w:styleId="84">
    <w:name w:val="表格文字2"/>
    <w:basedOn w:val="1"/>
    <w:autoRedefine/>
    <w:qFormat/>
    <w:uiPriority w:val="0"/>
    <w:pPr>
      <w:tabs>
        <w:tab w:val="left" w:pos="277"/>
        <w:tab w:val="left" w:pos="600"/>
        <w:tab w:val="left" w:pos="780"/>
        <w:tab w:val="left" w:pos="2517"/>
      </w:tabs>
      <w:adjustRightInd w:val="0"/>
      <w:snapToGrid w:val="0"/>
      <w:jc w:val="center"/>
      <w:textAlignment w:val="baseline"/>
    </w:pPr>
    <w:rPr>
      <w:kern w:val="0"/>
    </w:rPr>
  </w:style>
  <w:style w:type="paragraph" w:customStyle="1" w:styleId="85">
    <w:name w:val="正文-zy"/>
    <w:basedOn w:val="1"/>
    <w:next w:val="1"/>
    <w:autoRedefine/>
    <w:unhideWhenUsed/>
    <w:qFormat/>
    <w:uiPriority w:val="0"/>
    <w:pPr>
      <w:spacing w:line="360" w:lineRule="auto"/>
      <w:ind w:firstLine="200" w:firstLineChars="200"/>
    </w:pPr>
    <w:rPr>
      <w:rFonts w:cs="Calibri"/>
      <w:color w:val="0000FF"/>
      <w:sz w:val="24"/>
      <w:szCs w:val="21"/>
    </w:rPr>
  </w:style>
  <w:style w:type="paragraph" w:customStyle="1" w:styleId="86">
    <w:name w:val="列出段落1"/>
    <w:basedOn w:val="1"/>
    <w:autoRedefine/>
    <w:qFormat/>
    <w:uiPriority w:val="0"/>
    <w:pPr>
      <w:spacing w:line="360" w:lineRule="auto"/>
      <w:ind w:firstLine="420" w:firstLineChars="200"/>
    </w:pPr>
    <w:rPr>
      <w:sz w:val="24"/>
    </w:rPr>
  </w:style>
  <w:style w:type="paragraph" w:customStyle="1" w:styleId="87">
    <w:name w:val="正文1"/>
    <w:basedOn w:val="1"/>
    <w:autoRedefine/>
    <w:qFormat/>
    <w:uiPriority w:val="0"/>
    <w:pPr>
      <w:spacing w:line="360" w:lineRule="auto"/>
      <w:ind w:firstLine="200" w:firstLineChars="200"/>
    </w:pPr>
  </w:style>
  <w:style w:type="paragraph" w:customStyle="1" w:styleId="88">
    <w:name w:val="图表文字"/>
    <w:basedOn w:val="1"/>
    <w:autoRedefine/>
    <w:qFormat/>
    <w:uiPriority w:val="0"/>
    <w:pPr>
      <w:widowControl/>
      <w:jc w:val="center"/>
    </w:pPr>
    <w:rPr>
      <w:rFonts w:ascii="仿宋_GB2312" w:hAnsi="仿宋_GB2312" w:eastAsia="仿宋_GB2312"/>
      <w:kern w:val="0"/>
      <w:sz w:val="20"/>
    </w:rPr>
  </w:style>
  <w:style w:type="paragraph" w:customStyle="1" w:styleId="89">
    <w:name w:val="首行缩进"/>
    <w:basedOn w:val="1"/>
    <w:autoRedefine/>
    <w:qFormat/>
    <w:uiPriority w:val="0"/>
    <w:pPr>
      <w:ind w:firstLine="480"/>
    </w:pPr>
    <w:rPr>
      <w:rFonts w:cs="Calibri"/>
      <w:color w:val="0000FF"/>
      <w:szCs w:val="21"/>
    </w:rPr>
  </w:style>
  <w:style w:type="paragraph" w:customStyle="1" w:styleId="90">
    <w:name w:val="封面标题"/>
    <w:basedOn w:val="1"/>
    <w:autoRedefine/>
    <w:qFormat/>
    <w:uiPriority w:val="0"/>
    <w:pPr>
      <w:widowControl/>
      <w:jc w:val="center"/>
    </w:pPr>
    <w:rPr>
      <w:rFonts w:ascii="宋体" w:hAnsi="宋体" w:cs="宋体"/>
      <w:b/>
      <w:color w:val="0000FF"/>
      <w:kern w:val="0"/>
      <w:sz w:val="52"/>
      <w:szCs w:val="21"/>
    </w:rPr>
  </w:style>
  <w:style w:type="paragraph" w:customStyle="1" w:styleId="91">
    <w:name w:val="正文4号"/>
    <w:basedOn w:val="1"/>
    <w:autoRedefine/>
    <w:qFormat/>
    <w:uiPriority w:val="0"/>
    <w:pPr>
      <w:adjustRightInd w:val="0"/>
      <w:snapToGrid w:val="0"/>
      <w:spacing w:line="360" w:lineRule="auto"/>
      <w:ind w:firstLine="200" w:firstLineChars="200"/>
    </w:pPr>
    <w:rPr>
      <w:rFonts w:cs="Calibri"/>
      <w:color w:val="0000FF"/>
      <w:sz w:val="24"/>
      <w:szCs w:val="21"/>
    </w:rPr>
  </w:style>
  <w:style w:type="paragraph" w:customStyle="1" w:styleId="92">
    <w:name w:val="标准表头"/>
    <w:basedOn w:val="1"/>
    <w:autoRedefine/>
    <w:qFormat/>
    <w:uiPriority w:val="0"/>
    <w:pPr>
      <w:adjustRightInd w:val="0"/>
      <w:snapToGrid w:val="0"/>
      <w:spacing w:line="324" w:lineRule="auto"/>
      <w:ind w:firstLine="562" w:firstLineChars="200"/>
      <w:jc w:val="center"/>
    </w:pPr>
    <w:rPr>
      <w:rFonts w:eastAsia="仿宋_GB2312"/>
      <w:b/>
      <w:bCs/>
      <w:sz w:val="28"/>
    </w:rPr>
  </w:style>
  <w:style w:type="paragraph" w:customStyle="1" w:styleId="93">
    <w:name w:val="小四表格"/>
    <w:basedOn w:val="1"/>
    <w:autoRedefine/>
    <w:qFormat/>
    <w:uiPriority w:val="0"/>
    <w:pPr>
      <w:keepNext/>
      <w:autoSpaceDE w:val="0"/>
      <w:autoSpaceDN w:val="0"/>
      <w:spacing w:line="480" w:lineRule="atLeast"/>
      <w:jc w:val="center"/>
    </w:pPr>
    <w:rPr>
      <w:rFonts w:cs="Calibri"/>
      <w:color w:val="000000"/>
      <w:sz w:val="24"/>
      <w:szCs w:val="20"/>
    </w:rPr>
  </w:style>
  <w:style w:type="paragraph" w:customStyle="1" w:styleId="94">
    <w:name w:val="小标题"/>
    <w:autoRedefine/>
    <w:qFormat/>
    <w:uiPriority w:val="0"/>
    <w:pPr>
      <w:spacing w:before="60" w:line="360" w:lineRule="auto"/>
    </w:pPr>
    <w:rPr>
      <w:rFonts w:ascii="Times New Roman" w:hAnsi="Times New Roman" w:eastAsia="宋体" w:cs="Times New Roman"/>
      <w:b/>
      <w:kern w:val="2"/>
      <w:sz w:val="24"/>
      <w:szCs w:val="24"/>
      <w:lang w:val="en-US" w:eastAsia="zh-CN" w:bidi="ar-SA"/>
    </w:rPr>
  </w:style>
  <w:style w:type="paragraph" w:customStyle="1" w:styleId="95">
    <w:name w:val="Table Paragraph"/>
    <w:basedOn w:val="1"/>
    <w:autoRedefine/>
    <w:qFormat/>
    <w:uiPriority w:val="1"/>
    <w:pPr>
      <w:jc w:val="left"/>
    </w:pPr>
    <w:rPr>
      <w:rFonts w:ascii="Calibri" w:hAnsi="Calibri"/>
      <w:kern w:val="0"/>
      <w:sz w:val="22"/>
      <w:szCs w:val="22"/>
      <w:lang w:eastAsia="en-US"/>
    </w:rPr>
  </w:style>
  <w:style w:type="paragraph" w:customStyle="1" w:styleId="96">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97">
    <w:name w:val="样式2"/>
    <w:basedOn w:val="1"/>
    <w:autoRedefine/>
    <w:qFormat/>
    <w:uiPriority w:val="0"/>
    <w:pPr>
      <w:spacing w:line="480" w:lineRule="auto"/>
      <w:jc w:val="center"/>
      <w:textAlignment w:val="baseline"/>
    </w:pPr>
    <w:rPr>
      <w:rFonts w:eastAsia="幼圆"/>
      <w:spacing w:val="12"/>
      <w:kern w:val="24"/>
    </w:rPr>
  </w:style>
  <w:style w:type="paragraph" w:customStyle="1" w:styleId="98">
    <w:name w:val="样式 标题 3条标题1.1.1条标题1.1.11条标题1.1.12条标题1.1.13条标题1.1.111条标题1.1...2"/>
    <w:basedOn w:val="4"/>
    <w:autoRedefine/>
    <w:qFormat/>
    <w:uiPriority w:val="0"/>
    <w:pPr>
      <w:spacing w:before="120" w:after="120" w:line="500" w:lineRule="exact"/>
    </w:pPr>
    <w:rPr>
      <w:rFonts w:ascii="宋体" w:hAnsi="宋体" w:cs="宋体"/>
      <w:sz w:val="24"/>
      <w:szCs w:val="20"/>
    </w:rPr>
  </w:style>
  <w:style w:type="paragraph" w:customStyle="1" w:styleId="99">
    <w:name w:val="图、表内容"/>
    <w:basedOn w:val="1"/>
    <w:autoRedefine/>
    <w:qFormat/>
    <w:uiPriority w:val="0"/>
    <w:pPr>
      <w:jc w:val="center"/>
    </w:pPr>
  </w:style>
  <w:style w:type="paragraph" w:customStyle="1" w:styleId="100">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101">
    <w:name w:val="图表"/>
    <w:basedOn w:val="1"/>
    <w:autoRedefine/>
    <w:qFormat/>
    <w:uiPriority w:val="0"/>
    <w:pPr>
      <w:adjustRightInd w:val="0"/>
      <w:snapToGrid w:val="0"/>
      <w:jc w:val="center"/>
    </w:pPr>
    <w:rPr>
      <w:rFonts w:ascii="Calibri" w:hAnsi="Calibri"/>
      <w:color w:val="000000"/>
      <w:szCs w:val="21"/>
      <w:lang w:val="zh-CN"/>
    </w:rPr>
  </w:style>
  <w:style w:type="paragraph" w:customStyle="1" w:styleId="102">
    <w:name w:val="图文框"/>
    <w:basedOn w:val="1"/>
    <w:autoRedefine/>
    <w:qFormat/>
    <w:uiPriority w:val="0"/>
    <w:pPr>
      <w:jc w:val="center"/>
    </w:pPr>
    <w:rPr>
      <w:szCs w:val="20"/>
    </w:rPr>
  </w:style>
  <w:style w:type="paragraph" w:customStyle="1" w:styleId="103">
    <w:name w:val="22"/>
    <w:basedOn w:val="1"/>
    <w:autoRedefine/>
    <w:qFormat/>
    <w:uiPriority w:val="0"/>
    <w:pPr>
      <w:keepNext/>
      <w:keepLines/>
      <w:widowControl/>
      <w:outlineLvl w:val="1"/>
    </w:pPr>
    <w:rPr>
      <w:rFonts w:cs="Calibri"/>
      <w:b/>
      <w:bCs/>
      <w:color w:val="0000FF"/>
      <w:kern w:val="0"/>
      <w:sz w:val="28"/>
      <w:szCs w:val="32"/>
    </w:rPr>
  </w:style>
  <w:style w:type="paragraph" w:customStyle="1" w:styleId="104">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5">
    <w:name w:val="YY书正文"/>
    <w:basedOn w:val="1"/>
    <w:autoRedefine/>
    <w:qFormat/>
    <w:uiPriority w:val="0"/>
    <w:pPr>
      <w:adjustRightInd w:val="0"/>
      <w:snapToGrid w:val="0"/>
      <w:spacing w:line="324" w:lineRule="auto"/>
    </w:pPr>
  </w:style>
  <w:style w:type="paragraph" w:styleId="106">
    <w:name w:val="List Paragraph"/>
    <w:basedOn w:val="1"/>
    <w:autoRedefine/>
    <w:qFormat/>
    <w:uiPriority w:val="34"/>
    <w:pPr>
      <w:ind w:firstLine="420" w:firstLineChars="200"/>
    </w:pPr>
    <w:rPr>
      <w:rFonts w:ascii="Calibri" w:hAnsi="Calibri"/>
      <w:szCs w:val="22"/>
    </w:rPr>
  </w:style>
  <w:style w:type="paragraph" w:customStyle="1" w:styleId="107">
    <w:name w:val="小四表文左齐"/>
    <w:basedOn w:val="1"/>
    <w:autoRedefine/>
    <w:qFormat/>
    <w:uiPriority w:val="0"/>
    <w:pPr>
      <w:widowControl/>
      <w:jc w:val="center"/>
    </w:pPr>
    <w:rPr>
      <w:rFonts w:ascii="宋体" w:hAnsi="宋体" w:cs="宋体"/>
      <w:kern w:val="0"/>
      <w:sz w:val="24"/>
      <w:szCs w:val="21"/>
    </w:rPr>
  </w:style>
  <w:style w:type="paragraph" w:customStyle="1" w:styleId="108">
    <w:name w:val="正文-lcc"/>
    <w:basedOn w:val="1"/>
    <w:autoRedefine/>
    <w:qFormat/>
    <w:uiPriority w:val="0"/>
    <w:pPr>
      <w:snapToGrid w:val="0"/>
      <w:spacing w:line="360" w:lineRule="auto"/>
      <w:ind w:firstLine="200" w:firstLineChars="200"/>
    </w:pPr>
    <w:rPr>
      <w:rFonts w:ascii="等线" w:hAnsi="等线" w:eastAsia="仿宋"/>
      <w:color w:val="000000"/>
      <w:sz w:val="24"/>
      <w:szCs w:val="20"/>
    </w:rPr>
  </w:style>
  <w:style w:type="paragraph" w:customStyle="1" w:styleId="109">
    <w:name w:val="正文 首行缩进:  2 字符"/>
    <w:basedOn w:val="1"/>
    <w:autoRedefine/>
    <w:qFormat/>
    <w:uiPriority w:val="99"/>
    <w:pPr>
      <w:ind w:firstLine="579" w:firstLineChars="200"/>
    </w:pPr>
    <w:rPr>
      <w:rFonts w:eastAsia="等线" w:cs="宋体"/>
      <w:szCs w:val="20"/>
    </w:rPr>
  </w:style>
  <w:style w:type="paragraph" w:customStyle="1" w:styleId="110">
    <w:name w:val="111表头"/>
    <w:basedOn w:val="1"/>
    <w:autoRedefine/>
    <w:qFormat/>
    <w:uiPriority w:val="0"/>
    <w:pPr>
      <w:tabs>
        <w:tab w:val="left" w:pos="600"/>
      </w:tabs>
      <w:spacing w:line="400" w:lineRule="exact"/>
      <w:jc w:val="center"/>
    </w:pPr>
    <w:rPr>
      <w:rFonts w:ascii="Calibri" w:hAnsi="Calibri" w:cs="Calibri"/>
      <w:b/>
      <w:color w:val="0000FF"/>
      <w:kern w:val="0"/>
      <w:sz w:val="24"/>
      <w:szCs w:val="21"/>
    </w:rPr>
  </w:style>
  <w:style w:type="paragraph" w:customStyle="1" w:styleId="111">
    <w:name w:val="1 正文"/>
    <w:basedOn w:val="112"/>
    <w:autoRedefine/>
    <w:qFormat/>
    <w:uiPriority w:val="0"/>
    <w:pPr>
      <w:adjustRightInd w:val="0"/>
      <w:snapToGrid w:val="0"/>
      <w:ind w:firstLine="200" w:firstLineChars="200"/>
    </w:pPr>
    <w:rPr>
      <w:rFonts w:cs="Calibri"/>
      <w:color w:val="0000FF"/>
    </w:rPr>
  </w:style>
  <w:style w:type="paragraph" w:customStyle="1" w:styleId="112">
    <w:name w:val="样式6"/>
    <w:basedOn w:val="1"/>
    <w:autoRedefine/>
    <w:qFormat/>
    <w:uiPriority w:val="0"/>
    <w:pPr>
      <w:spacing w:line="360" w:lineRule="auto"/>
      <w:ind w:firstLine="480"/>
    </w:pPr>
    <w:rPr>
      <w:kern w:val="0"/>
      <w:sz w:val="24"/>
      <w:szCs w:val="20"/>
    </w:rPr>
  </w:style>
  <w:style w:type="paragraph" w:customStyle="1" w:styleId="113">
    <w:name w:val="111正文"/>
    <w:basedOn w:val="1"/>
    <w:autoRedefine/>
    <w:qFormat/>
    <w:uiPriority w:val="0"/>
    <w:pPr>
      <w:tabs>
        <w:tab w:val="left" w:pos="600"/>
      </w:tabs>
      <w:spacing w:line="360" w:lineRule="auto"/>
      <w:ind w:firstLine="200" w:firstLineChars="200"/>
    </w:pPr>
    <w:rPr>
      <w:rFonts w:ascii="Calibri" w:hAnsi="Calibri" w:cs="Calibri"/>
      <w:color w:val="0000FF"/>
      <w:kern w:val="0"/>
      <w:sz w:val="24"/>
      <w:szCs w:val="21"/>
    </w:rPr>
  </w:style>
  <w:style w:type="paragraph" w:customStyle="1" w:styleId="114">
    <w:name w:val="谏壁正文chen"/>
    <w:basedOn w:val="1"/>
    <w:autoRedefine/>
    <w:qFormat/>
    <w:uiPriority w:val="99"/>
    <w:pPr>
      <w:spacing w:line="360" w:lineRule="auto"/>
      <w:ind w:firstLine="200" w:firstLineChars="200"/>
    </w:pPr>
    <w:rPr>
      <w:rFonts w:cs="Calibri"/>
      <w:color w:val="0000FF"/>
      <w:sz w:val="24"/>
    </w:rPr>
  </w:style>
  <w:style w:type="paragraph" w:customStyle="1" w:styleId="115">
    <w:name w:val="报告书正文"/>
    <w:basedOn w:val="1"/>
    <w:autoRedefine/>
    <w:qFormat/>
    <w:uiPriority w:val="0"/>
    <w:pPr>
      <w:adjustRightInd w:val="0"/>
      <w:snapToGrid w:val="0"/>
      <w:spacing w:line="360" w:lineRule="auto"/>
      <w:ind w:firstLine="425"/>
      <w:textAlignment w:val="baseline"/>
    </w:pPr>
    <w:rPr>
      <w:rFonts w:ascii="Arial" w:hAnsi="Arial" w:cs="Calibri"/>
      <w:color w:val="0000FF"/>
    </w:rPr>
  </w:style>
  <w:style w:type="paragraph" w:customStyle="1" w:styleId="116">
    <w:name w:val="xl67"/>
    <w:basedOn w:val="1"/>
    <w:autoRedefine/>
    <w:qFormat/>
    <w:uiPriority w:val="0"/>
    <w:pPr>
      <w:pBdr>
        <w:left w:val="single" w:color="auto" w:sz="4" w:space="0"/>
      </w:pBdr>
      <w:spacing w:before="100" w:beforeAutospacing="1" w:after="100" w:afterAutospacing="1"/>
      <w:jc w:val="center"/>
    </w:pPr>
    <w:rPr>
      <w:rFonts w:hint="eastAsia" w:ascii="仿宋_GB2312" w:hAnsi="宋体" w:cs="Calibri"/>
      <w:color w:val="0000FF"/>
      <w:szCs w:val="21"/>
    </w:rPr>
  </w:style>
  <w:style w:type="paragraph" w:customStyle="1" w:styleId="117">
    <w:name w:val="Body Text 21"/>
    <w:basedOn w:val="1"/>
    <w:autoRedefine/>
    <w:qFormat/>
    <w:uiPriority w:val="0"/>
    <w:pPr>
      <w:adjustRightInd w:val="0"/>
      <w:textAlignment w:val="baseline"/>
    </w:pPr>
    <w:rPr>
      <w:rFonts w:ascii="仿宋_GB2312" w:hAnsi="Calibri" w:eastAsia="仿宋体" w:cs="Calibri"/>
      <w:color w:val="0000FF"/>
      <w:sz w:val="24"/>
      <w:szCs w:val="20"/>
    </w:rPr>
  </w:style>
  <w:style w:type="paragraph" w:customStyle="1" w:styleId="118">
    <w:name w:val="标题 21"/>
    <w:basedOn w:val="1"/>
    <w:autoRedefine/>
    <w:qFormat/>
    <w:uiPriority w:val="1"/>
    <w:pPr>
      <w:spacing w:before="26"/>
      <w:ind w:left="213"/>
      <w:jc w:val="left"/>
      <w:outlineLvl w:val="2"/>
    </w:pPr>
    <w:rPr>
      <w:rFonts w:ascii="宋体" w:hAnsi="宋体"/>
      <w:b/>
      <w:bCs/>
      <w:color w:val="0000FF"/>
      <w:kern w:val="0"/>
      <w:sz w:val="24"/>
      <w:szCs w:val="21"/>
      <w:lang w:eastAsia="en-US"/>
    </w:rPr>
  </w:style>
  <w:style w:type="paragraph" w:customStyle="1" w:styleId="119">
    <w:name w:val="彩色列表1"/>
    <w:basedOn w:val="1"/>
    <w:autoRedefine/>
    <w:qFormat/>
    <w:uiPriority w:val="0"/>
    <w:pPr>
      <w:ind w:firstLine="420"/>
    </w:pPr>
    <w:rPr>
      <w:rFonts w:cs="Calibri"/>
      <w:color w:val="0000FF"/>
      <w:szCs w:val="20"/>
    </w:rPr>
  </w:style>
  <w:style w:type="paragraph" w:customStyle="1" w:styleId="120">
    <w:name w:val="_Style 117"/>
    <w:autoRedefine/>
    <w:unhideWhenUsed/>
    <w:qFormat/>
    <w:uiPriority w:val="99"/>
    <w:rPr>
      <w:rFonts w:ascii="Times New Roman" w:hAnsi="Times New Roman" w:eastAsia="宋体" w:cs="Calibri"/>
      <w:color w:val="0000FF"/>
      <w:kern w:val="2"/>
      <w:sz w:val="21"/>
      <w:szCs w:val="24"/>
      <w:lang w:val="en-US" w:eastAsia="zh-CN" w:bidi="ar-SA"/>
    </w:rPr>
  </w:style>
  <w:style w:type="paragraph" w:customStyle="1" w:styleId="121">
    <w:name w:val="1表格文字"/>
    <w:basedOn w:val="1"/>
    <w:autoRedefine/>
    <w:qFormat/>
    <w:uiPriority w:val="0"/>
    <w:pPr>
      <w:adjustRightInd w:val="0"/>
      <w:snapToGrid w:val="0"/>
      <w:jc w:val="center"/>
    </w:pPr>
  </w:style>
  <w:style w:type="character" w:customStyle="1" w:styleId="122">
    <w:name w:val="font21"/>
    <w:basedOn w:val="25"/>
    <w:qFormat/>
    <w:uiPriority w:val="0"/>
    <w:rPr>
      <w:rFonts w:hint="eastAsia" w:ascii="宋体" w:hAnsi="宋体" w:eastAsia="宋体" w:cs="宋体"/>
      <w:b/>
      <w:bCs/>
      <w:color w:val="000000"/>
      <w:sz w:val="22"/>
      <w:szCs w:val="22"/>
      <w:u w:val="none"/>
    </w:rPr>
  </w:style>
  <w:style w:type="character" w:customStyle="1" w:styleId="123">
    <w:name w:val="font11"/>
    <w:basedOn w:val="25"/>
    <w:qFormat/>
    <w:uiPriority w:val="0"/>
    <w:rPr>
      <w:rFonts w:hint="eastAsia" w:ascii="仿宋" w:hAnsi="仿宋" w:eastAsia="仿宋" w:cs="仿宋"/>
      <w:b/>
      <w:bCs/>
      <w:color w:val="000000"/>
      <w:sz w:val="22"/>
      <w:szCs w:val="22"/>
      <w:u w:val="none"/>
    </w:rPr>
  </w:style>
  <w:style w:type="paragraph" w:customStyle="1" w:styleId="124">
    <w:name w:val="样式11"/>
    <w:basedOn w:val="1"/>
    <w:autoRedefine/>
    <w:qFormat/>
    <w:uiPriority w:val="0"/>
    <w:pPr>
      <w:adjustRightInd w:val="0"/>
      <w:snapToGrid w:val="0"/>
      <w:spacing w:line="360" w:lineRule="auto"/>
      <w:ind w:firstLine="420" w:firstLineChars="200"/>
    </w:pPr>
  </w:style>
  <w:style w:type="paragraph" w:customStyle="1" w:styleId="125">
    <w:name w:val="表格内容海门港"/>
    <w:basedOn w:val="1"/>
    <w:qFormat/>
    <w:uiPriority w:val="0"/>
    <w:pPr>
      <w:widowControl/>
      <w:jc w:val="center"/>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image" Target="media/image33.wmf"/><Relationship Id="rId55" Type="http://schemas.openxmlformats.org/officeDocument/2006/relationships/oleObject" Target="embeddings/oleObject15.bin"/><Relationship Id="rId54" Type="http://schemas.openxmlformats.org/officeDocument/2006/relationships/image" Target="media/image32.png"/><Relationship Id="rId53" Type="http://schemas.openxmlformats.org/officeDocument/2006/relationships/image" Target="media/image31.png"/><Relationship Id="rId52" Type="http://schemas.openxmlformats.org/officeDocument/2006/relationships/image" Target="media/image30.png"/><Relationship Id="rId51" Type="http://schemas.openxmlformats.org/officeDocument/2006/relationships/image" Target="media/image29.png"/><Relationship Id="rId50" Type="http://schemas.openxmlformats.org/officeDocument/2006/relationships/image" Target="media/image28.png"/><Relationship Id="rId5" Type="http://schemas.openxmlformats.org/officeDocument/2006/relationships/footer" Target="footer3.xml"/><Relationship Id="rId49" Type="http://schemas.openxmlformats.org/officeDocument/2006/relationships/image" Target="media/image27.png"/><Relationship Id="rId48" Type="http://schemas.openxmlformats.org/officeDocument/2006/relationships/image" Target="media/image26.png"/><Relationship Id="rId47" Type="http://schemas.openxmlformats.org/officeDocument/2006/relationships/image" Target="media/image25.png"/><Relationship Id="rId46" Type="http://schemas.openxmlformats.org/officeDocument/2006/relationships/image" Target="media/image24.wmf"/><Relationship Id="rId45" Type="http://schemas.openxmlformats.org/officeDocument/2006/relationships/oleObject" Target="embeddings/oleObject14.bin"/><Relationship Id="rId44" Type="http://schemas.openxmlformats.org/officeDocument/2006/relationships/image" Target="media/image23.wmf"/><Relationship Id="rId43" Type="http://schemas.openxmlformats.org/officeDocument/2006/relationships/image" Target="media/image22.wmf"/><Relationship Id="rId42" Type="http://schemas.openxmlformats.org/officeDocument/2006/relationships/oleObject" Target="embeddings/oleObject13.bin"/><Relationship Id="rId41" Type="http://schemas.openxmlformats.org/officeDocument/2006/relationships/oleObject" Target="embeddings/oleObject12.bin"/><Relationship Id="rId40" Type="http://schemas.openxmlformats.org/officeDocument/2006/relationships/image" Target="media/image21.wmf"/><Relationship Id="rId4" Type="http://schemas.openxmlformats.org/officeDocument/2006/relationships/footer" Target="footer2.xml"/><Relationship Id="rId39" Type="http://schemas.openxmlformats.org/officeDocument/2006/relationships/oleObject" Target="embeddings/oleObject11.bin"/><Relationship Id="rId38" Type="http://schemas.openxmlformats.org/officeDocument/2006/relationships/image" Target="media/image20.wmf"/><Relationship Id="rId37" Type="http://schemas.openxmlformats.org/officeDocument/2006/relationships/image" Target="media/image19.wmf"/><Relationship Id="rId36" Type="http://schemas.openxmlformats.org/officeDocument/2006/relationships/oleObject" Target="embeddings/oleObject10.bin"/><Relationship Id="rId35" Type="http://schemas.openxmlformats.org/officeDocument/2006/relationships/image" Target="media/image18.wmf"/><Relationship Id="rId34" Type="http://schemas.openxmlformats.org/officeDocument/2006/relationships/oleObject" Target="embeddings/oleObject9.bin"/><Relationship Id="rId33" Type="http://schemas.openxmlformats.org/officeDocument/2006/relationships/image" Target="media/image17.wmf"/><Relationship Id="rId32" Type="http://schemas.openxmlformats.org/officeDocument/2006/relationships/oleObject" Target="embeddings/oleObject8.bin"/><Relationship Id="rId31" Type="http://schemas.openxmlformats.org/officeDocument/2006/relationships/image" Target="media/image16.wmf"/><Relationship Id="rId30" Type="http://schemas.openxmlformats.org/officeDocument/2006/relationships/image" Target="media/image15.wmf"/><Relationship Id="rId3" Type="http://schemas.openxmlformats.org/officeDocument/2006/relationships/footer" Target="footer1.xml"/><Relationship Id="rId29" Type="http://schemas.openxmlformats.org/officeDocument/2006/relationships/oleObject" Target="embeddings/oleObject7.bin"/><Relationship Id="rId28" Type="http://schemas.openxmlformats.org/officeDocument/2006/relationships/image" Target="media/image14.wmf"/><Relationship Id="rId27" Type="http://schemas.openxmlformats.org/officeDocument/2006/relationships/oleObject" Target="embeddings/oleObject6.bin"/><Relationship Id="rId26" Type="http://schemas.openxmlformats.org/officeDocument/2006/relationships/image" Target="media/image13.wmf"/><Relationship Id="rId25" Type="http://schemas.openxmlformats.org/officeDocument/2006/relationships/oleObject" Target="embeddings/oleObject5.bin"/><Relationship Id="rId24" Type="http://schemas.openxmlformats.org/officeDocument/2006/relationships/image" Target="media/image12.wmf"/><Relationship Id="rId23" Type="http://schemas.openxmlformats.org/officeDocument/2006/relationships/image" Target="media/image11.jpeg"/><Relationship Id="rId22" Type="http://schemas.openxmlformats.org/officeDocument/2006/relationships/image" Target="media/image10.wmf"/><Relationship Id="rId21" Type="http://schemas.openxmlformats.org/officeDocument/2006/relationships/oleObject" Target="embeddings/oleObject4.bin"/><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8.wmf"/><Relationship Id="rId17" Type="http://schemas.openxmlformats.org/officeDocument/2006/relationships/oleObject" Target="embeddings/oleObject2.bin"/><Relationship Id="rId16" Type="http://schemas.openxmlformats.org/officeDocument/2006/relationships/image" Target="media/image7.emf"/><Relationship Id="rId15" Type="http://schemas.openxmlformats.org/officeDocument/2006/relationships/image" Target="media/image6.png"/><Relationship Id="rId14" Type="http://schemas.openxmlformats.org/officeDocument/2006/relationships/image" Target="media/image5.wmf"/><Relationship Id="rId13" Type="http://schemas.openxmlformats.org/officeDocument/2006/relationships/oleObject" Target="embeddings/oleObject1.bin"/><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wdzx97</Template>
  <Company>微软中国</Company>
  <Pages>94</Pages>
  <Words>25597</Words>
  <Characters>27199</Characters>
  <Lines>8147</Lines>
  <Paragraphs>7907</Paragraphs>
  <TotalTime>3</TotalTime>
  <ScaleCrop>false</ScaleCrop>
  <LinksUpToDate>false</LinksUpToDate>
  <CharactersWithSpaces>27400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2025-08-07T14:30:00Z</dcterms:created>
  <dc:creator>lhj</dc:creator>
  <cp:lastModifiedBy>婧文妈</cp:lastModifiedBy>
  <cp:lastPrinted>2023-11-28T09:49:00Z</cp:lastPrinted>
  <dcterms:modified xsi:type="dcterms:W3CDTF">2025-12-01T07:23:55Z</dcterms:modified>
  <dc:title>附件2</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199CD77F15EE4BDAA65510BCE47CB76C_13</vt:lpwstr>
  </property>
  <property fmtid="{D5CDD505-2E9C-101B-9397-08002B2CF9AE}" pid="4" name="KSOTemplateDocerSaveRecord">
    <vt:lpwstr>eyJoZGlkIjoiZTJiZjBlNjY1YjYxZjg4ZTQwMjBiODRjMWQ1ODkzYjEiLCJ1c2VySWQiOiI0MzA4NjkzMTAifQ==</vt:lpwstr>
  </property>
</Properties>
</file>