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7997A">
      <w:pPr>
        <w:spacing w:after="0" w:line="400" w:lineRule="exact"/>
        <w:ind w:firstLine="560" w:firstLineChars="200"/>
        <w:rPr>
          <w:rFonts w:hint="eastAsia" w:ascii="宋体" w:hAnsi="宋体" w:eastAsia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/>
          <w:sz w:val="28"/>
          <w:szCs w:val="28"/>
        </w:rPr>
        <w:t>附表2</w:t>
      </w:r>
    </w:p>
    <w:tbl>
      <w:tblPr>
        <w:tblStyle w:val="15"/>
        <w:tblpPr w:leftFromText="180" w:rightFromText="180" w:vertAnchor="text" w:horzAnchor="page" w:tblpX="1413" w:tblpY="98"/>
        <w:tblOverlap w:val="never"/>
        <w:tblW w:w="949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418"/>
        <w:gridCol w:w="6095"/>
        <w:gridCol w:w="709"/>
      </w:tblGrid>
      <w:tr w14:paraId="4DE75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649324">
            <w:pPr>
              <w:spacing w:after="0" w:line="400" w:lineRule="exact"/>
              <w:ind w:firstLine="600" w:firstLineChars="200"/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农作物病虫草害绿色防控展示区评价指标（参考）</w:t>
            </w:r>
          </w:p>
          <w:p w14:paraId="7327835C">
            <w:pPr>
              <w:spacing w:after="0" w:line="400" w:lineRule="exact"/>
              <w:ind w:firstLine="560" w:firstLineChars="200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主体：____________________</w:t>
            </w:r>
          </w:p>
        </w:tc>
      </w:tr>
      <w:tr w14:paraId="26B2C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E5FD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 xml:space="preserve">项目 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4355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指标</w:t>
            </w:r>
          </w:p>
        </w:tc>
        <w:tc>
          <w:tcPr>
            <w:tcW w:w="6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324C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评价标准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B2F24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得分</w:t>
            </w:r>
          </w:p>
        </w:tc>
      </w:tr>
      <w:tr w14:paraId="46B15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E3E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主体条件</w:t>
            </w:r>
          </w:p>
          <w:p w14:paraId="33C6AF6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（50分）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113FFE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bidi="ar"/>
              </w:rPr>
              <w:t>主体资格</w:t>
            </w:r>
          </w:p>
          <w:p w14:paraId="68442576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仿宋_GB2312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bidi="ar"/>
              </w:rPr>
              <w:t>（10分）</w:t>
            </w:r>
          </w:p>
        </w:tc>
        <w:tc>
          <w:tcPr>
            <w:tcW w:w="60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E034D">
            <w:pPr>
              <w:widowControl/>
              <w:spacing w:line="240" w:lineRule="auto"/>
              <w:textAlignment w:val="center"/>
              <w:rPr>
                <w:rFonts w:hint="eastAsia" w:ascii="宋体" w:hAnsi="宋体" w:eastAsia="宋体" w:cs="仿宋_GB2312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bidi="ar"/>
              </w:rPr>
              <w:t>经工商登记注册；近两年内未发生农产品质量安全、粮桑矛盾纠纷事件、未种植直播稻和无违规使用洁田稻类除草剂（咪唑啉酮类）、未受到农业行政处罚；</w:t>
            </w:r>
            <w:r>
              <w:rPr>
                <w:rFonts w:ascii="宋体" w:hAnsi="宋体" w:eastAsia="宋体" w:cs="仿宋_GB2312"/>
                <w:kern w:val="0"/>
                <w:sz w:val="21"/>
                <w:szCs w:val="21"/>
                <w:lang w:bidi="ar"/>
              </w:rPr>
              <w:t>新技术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bidi="ar"/>
              </w:rPr>
              <w:t>接受程度高，示范带动能力强；优先考虑省级及以上涉农示范基地、家庭农场、绿色食品生产基地等。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5C867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DE48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82EFF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6F9E17">
            <w:pPr>
              <w:spacing w:line="240" w:lineRule="auto"/>
              <w:jc w:val="center"/>
              <w:rPr>
                <w:rFonts w:hint="eastAsia" w:ascii="宋体" w:hAnsi="宋体" w:eastAsia="宋体" w:cs="仿宋_GB2312"/>
                <w:sz w:val="21"/>
                <w:szCs w:val="21"/>
              </w:rPr>
            </w:pPr>
          </w:p>
        </w:tc>
        <w:tc>
          <w:tcPr>
            <w:tcW w:w="60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0ADB2">
            <w:pPr>
              <w:spacing w:line="240" w:lineRule="auto"/>
              <w:rPr>
                <w:rFonts w:hint="eastAsia" w:ascii="宋体" w:hAnsi="宋体" w:eastAsia="宋体" w:cs="仿宋_GB2312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7F95F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14AA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C8ED9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F37EEF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bidi="ar"/>
              </w:rPr>
              <w:t>主体意愿</w:t>
            </w:r>
          </w:p>
          <w:p w14:paraId="4E10BA27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bidi="ar"/>
              </w:rPr>
              <w:t>（15分）</w:t>
            </w:r>
          </w:p>
        </w:tc>
        <w:tc>
          <w:tcPr>
            <w:tcW w:w="6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24129">
            <w:pPr>
              <w:widowControl/>
              <w:spacing w:line="240" w:lineRule="auto"/>
              <w:textAlignment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bidi="ar"/>
              </w:rPr>
              <w:t>主动参与意愿强，积极支持配合后续各项工作的开展。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CE2F3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</w:tr>
      <w:tr w14:paraId="37830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E2CF8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B57390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bidi="ar"/>
              </w:rPr>
              <w:t>区位优势</w:t>
            </w:r>
          </w:p>
          <w:p w14:paraId="3FE0143D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bidi="ar"/>
              </w:rPr>
              <w:t>（10分）</w:t>
            </w:r>
          </w:p>
        </w:tc>
        <w:tc>
          <w:tcPr>
            <w:tcW w:w="6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54274">
            <w:pPr>
              <w:widowControl/>
              <w:spacing w:line="240" w:lineRule="auto"/>
              <w:textAlignment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bidi="ar"/>
              </w:rPr>
              <w:t>核心方（100亩左右）田块方整，交通便利，适宜展示观摩。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6786A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</w:tr>
      <w:tr w14:paraId="1EC7A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5DA38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78CDB3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bidi="ar"/>
              </w:rPr>
              <w:t>生产条件</w:t>
            </w:r>
          </w:p>
          <w:p w14:paraId="47D166D1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仿宋_GB2312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bidi="ar"/>
              </w:rPr>
              <w:t>（10分）</w:t>
            </w:r>
          </w:p>
        </w:tc>
        <w:tc>
          <w:tcPr>
            <w:tcW w:w="60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23CE9">
            <w:pPr>
              <w:widowControl/>
              <w:spacing w:line="240" w:lineRule="auto"/>
              <w:textAlignment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bidi="ar"/>
              </w:rPr>
              <w:t>绿色防控基础较好，生产管理水平较高，作物长势中上，田间配套完善。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BF16D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</w:tr>
      <w:tr w14:paraId="7DBC1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2FB2C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4AA4F2">
            <w:pPr>
              <w:spacing w:line="240" w:lineRule="auto"/>
              <w:jc w:val="center"/>
              <w:rPr>
                <w:rFonts w:hint="eastAsia" w:ascii="宋体" w:hAnsi="宋体" w:eastAsia="宋体" w:cs="仿宋_GB2312"/>
                <w:sz w:val="21"/>
                <w:szCs w:val="21"/>
              </w:rPr>
            </w:pPr>
          </w:p>
        </w:tc>
        <w:tc>
          <w:tcPr>
            <w:tcW w:w="60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6A95C">
            <w:pPr>
              <w:widowControl/>
              <w:spacing w:line="240" w:lineRule="auto"/>
              <w:textAlignment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A61BC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</w:tr>
      <w:tr w14:paraId="35880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246CE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9E43E0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bidi="ar"/>
              </w:rPr>
              <w:t>展示区规模</w:t>
            </w:r>
          </w:p>
          <w:p w14:paraId="2203257A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仿宋_GB2312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bidi="ar"/>
              </w:rPr>
              <w:t>（5分）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C18E96">
            <w:pPr>
              <w:widowControl/>
              <w:spacing w:line="240" w:lineRule="auto"/>
              <w:textAlignment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bidi="ar"/>
              </w:rPr>
              <w:t>粮食作物1000亩以上（病虫害）或500亩以上（杂草）、园艺作物200亩左右（均可由2个主体共同承担）。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CEF335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</w:tr>
      <w:tr w14:paraId="536FA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621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技术应用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（50分）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511D4D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bidi="ar"/>
              </w:rPr>
              <w:t>绿色防控措施应用</w:t>
            </w:r>
          </w:p>
          <w:p w14:paraId="238BE6E8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仿宋_GB2312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bidi="ar"/>
              </w:rPr>
              <w:t>（20分）</w:t>
            </w:r>
          </w:p>
        </w:tc>
        <w:tc>
          <w:tcPr>
            <w:tcW w:w="60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B0C4C">
            <w:pPr>
              <w:widowControl/>
              <w:spacing w:line="240" w:lineRule="auto"/>
              <w:textAlignment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bidi="ar"/>
              </w:rPr>
              <w:t>病虫：</w:t>
            </w:r>
            <w:r>
              <w:rPr>
                <w:rFonts w:ascii="宋体" w:hAnsi="宋体" w:eastAsia="宋体" w:cs="仿宋_GB2312"/>
                <w:kern w:val="0"/>
                <w:sz w:val="21"/>
                <w:szCs w:val="21"/>
                <w:lang w:bidi="ar"/>
              </w:rPr>
              <w:t>综合诱杀、生态调控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bidi="ar"/>
              </w:rPr>
              <w:t>、生物天敌、生物农药防治绿色</w:t>
            </w:r>
            <w:r>
              <w:rPr>
                <w:rFonts w:ascii="宋体" w:hAnsi="宋体" w:eastAsia="宋体" w:cs="仿宋_GB2312"/>
                <w:kern w:val="0"/>
                <w:sz w:val="21"/>
                <w:szCs w:val="21"/>
                <w:lang w:bidi="ar"/>
              </w:rPr>
              <w:t>防控技术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bidi="ar"/>
              </w:rPr>
              <w:t>措施应用至少2项，技术覆盖率50%以上；</w:t>
            </w:r>
          </w:p>
          <w:p w14:paraId="49260A8D">
            <w:pPr>
              <w:widowControl/>
              <w:spacing w:line="240" w:lineRule="auto"/>
              <w:textAlignment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bidi="ar"/>
              </w:rPr>
              <w:t>杂草：采用</w:t>
            </w:r>
            <w:r>
              <w:rPr>
                <w:rFonts w:ascii="宋体" w:hAnsi="宋体" w:eastAsia="宋体" w:cs="仿宋_GB2312"/>
                <w:kern w:val="0"/>
                <w:sz w:val="21"/>
                <w:szCs w:val="21"/>
                <w:lang w:bidi="ar"/>
              </w:rPr>
              <w:t>土壤封闭除草、苗后精准除草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bidi="ar"/>
              </w:rPr>
              <w:t>综合防控技术，</w:t>
            </w:r>
            <w:r>
              <w:rPr>
                <w:rFonts w:ascii="宋体" w:hAnsi="宋体" w:eastAsia="宋体" w:cs="仿宋_GB2312"/>
                <w:kern w:val="0"/>
                <w:sz w:val="21"/>
                <w:szCs w:val="21"/>
                <w:lang w:bidi="ar"/>
              </w:rPr>
              <w:t>示范应用麦田越冬早期和稻田中后期杂草封杀技术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bidi="ar"/>
              </w:rPr>
              <w:t>。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27756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</w:tr>
      <w:tr w14:paraId="47367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7C531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64F55E">
            <w:pPr>
              <w:spacing w:line="240" w:lineRule="auto"/>
              <w:jc w:val="center"/>
              <w:rPr>
                <w:rFonts w:hint="eastAsia" w:ascii="宋体" w:hAnsi="宋体" w:eastAsia="宋体" w:cs="仿宋_GB2312"/>
                <w:sz w:val="21"/>
                <w:szCs w:val="21"/>
              </w:rPr>
            </w:pPr>
          </w:p>
        </w:tc>
        <w:tc>
          <w:tcPr>
            <w:tcW w:w="60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5E7B3">
            <w:pPr>
              <w:widowControl/>
              <w:spacing w:line="240" w:lineRule="auto"/>
              <w:textAlignment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3B84B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</w:tr>
      <w:tr w14:paraId="32E37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14214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56C488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bidi="ar"/>
              </w:rPr>
              <w:t>科学用药</w:t>
            </w:r>
          </w:p>
          <w:p w14:paraId="4CC0BF66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bidi="ar"/>
              </w:rPr>
              <w:t>（20分）</w:t>
            </w:r>
          </w:p>
        </w:tc>
        <w:tc>
          <w:tcPr>
            <w:tcW w:w="6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B867F">
            <w:pPr>
              <w:widowControl/>
              <w:spacing w:line="240" w:lineRule="auto"/>
              <w:textAlignment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bidi="ar"/>
              </w:rPr>
              <w:t>应用高效低风险化学农药，无违规用药，防治次数和化学农药使用量显著低于非绿色防控地区。农残检测指标全部合格。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F39DE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</w:tr>
      <w:tr w14:paraId="14E32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90DCC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45AF7A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bidi="ar"/>
              </w:rPr>
              <w:t>技术创新</w:t>
            </w:r>
          </w:p>
          <w:p w14:paraId="085342B3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仿宋_GB2312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bidi="ar"/>
              </w:rPr>
              <w:t>（5分）</w:t>
            </w:r>
          </w:p>
        </w:tc>
        <w:tc>
          <w:tcPr>
            <w:tcW w:w="60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27C9A">
            <w:pPr>
              <w:widowControl/>
              <w:spacing w:line="240" w:lineRule="auto"/>
              <w:textAlignment w:val="center"/>
              <w:rPr>
                <w:rFonts w:hint="eastAsia" w:ascii="宋体" w:hAnsi="宋体" w:eastAsia="宋体" w:cs="仿宋_GB2312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bidi="ar"/>
              </w:rPr>
              <w:t>开展新产品新技术试验示范1项以上。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C8DE2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5FCB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C2CFE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66FB52">
            <w:pPr>
              <w:spacing w:line="240" w:lineRule="auto"/>
              <w:jc w:val="center"/>
              <w:rPr>
                <w:rFonts w:hint="eastAsia" w:ascii="宋体" w:hAnsi="宋体" w:eastAsia="宋体" w:cs="仿宋_GB2312"/>
                <w:sz w:val="21"/>
                <w:szCs w:val="21"/>
              </w:rPr>
            </w:pPr>
          </w:p>
        </w:tc>
        <w:tc>
          <w:tcPr>
            <w:tcW w:w="60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4339C">
            <w:pPr>
              <w:spacing w:line="240" w:lineRule="auto"/>
              <w:rPr>
                <w:rFonts w:hint="eastAsia" w:ascii="宋体" w:hAnsi="宋体" w:eastAsia="宋体" w:cs="仿宋_GB2312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76860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8D87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A0B8E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BE595C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bidi="ar"/>
              </w:rPr>
              <w:t>台账记录</w:t>
            </w:r>
          </w:p>
          <w:p w14:paraId="6FD9ECCC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仿宋_GB2312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bidi="ar"/>
              </w:rPr>
              <w:t>（5分）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5E4061">
            <w:pPr>
              <w:widowControl/>
              <w:spacing w:line="240" w:lineRule="auto"/>
              <w:textAlignment w:val="center"/>
              <w:rPr>
                <w:rFonts w:hint="eastAsia" w:ascii="宋体" w:hAnsi="宋体" w:eastAsia="宋体" w:cs="仿宋_GB2312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bidi="ar"/>
              </w:rPr>
              <w:t>农业投入品使用情况记录详实、内容真实。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9F3DCF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74E8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8BE7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合计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7FD656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29C021EF">
      <w:pPr>
        <w:spacing w:after="0" w:line="400" w:lineRule="exact"/>
        <w:ind w:firstLine="420" w:firstLineChars="200"/>
        <w:rPr>
          <w:rFonts w:hint="eastAsia" w:ascii="宋体" w:hAnsi="宋体" w:eastAsia="宋体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D14"/>
    <w:rsid w:val="00001DF3"/>
    <w:rsid w:val="00067A99"/>
    <w:rsid w:val="000A09F8"/>
    <w:rsid w:val="00101439"/>
    <w:rsid w:val="001E38B9"/>
    <w:rsid w:val="00245B31"/>
    <w:rsid w:val="00251B23"/>
    <w:rsid w:val="00294963"/>
    <w:rsid w:val="002C5E0E"/>
    <w:rsid w:val="00341D38"/>
    <w:rsid w:val="00351EED"/>
    <w:rsid w:val="00354350"/>
    <w:rsid w:val="0037120C"/>
    <w:rsid w:val="00392EAF"/>
    <w:rsid w:val="00394CB0"/>
    <w:rsid w:val="003A2A88"/>
    <w:rsid w:val="004D6A72"/>
    <w:rsid w:val="004F253D"/>
    <w:rsid w:val="00573C01"/>
    <w:rsid w:val="005D46D7"/>
    <w:rsid w:val="00613AF9"/>
    <w:rsid w:val="006567FB"/>
    <w:rsid w:val="006842A5"/>
    <w:rsid w:val="00685E98"/>
    <w:rsid w:val="006E0567"/>
    <w:rsid w:val="0071385E"/>
    <w:rsid w:val="0078415E"/>
    <w:rsid w:val="00865C85"/>
    <w:rsid w:val="00895051"/>
    <w:rsid w:val="00936242"/>
    <w:rsid w:val="009637C0"/>
    <w:rsid w:val="00997853"/>
    <w:rsid w:val="009A393A"/>
    <w:rsid w:val="009A3C79"/>
    <w:rsid w:val="009D4CB2"/>
    <w:rsid w:val="009E346B"/>
    <w:rsid w:val="00A96E9A"/>
    <w:rsid w:val="00AF7625"/>
    <w:rsid w:val="00B73E59"/>
    <w:rsid w:val="00B97806"/>
    <w:rsid w:val="00BC7944"/>
    <w:rsid w:val="00C93793"/>
    <w:rsid w:val="00CB7976"/>
    <w:rsid w:val="00D237AF"/>
    <w:rsid w:val="00D24388"/>
    <w:rsid w:val="00D260D7"/>
    <w:rsid w:val="00D75907"/>
    <w:rsid w:val="00D84D14"/>
    <w:rsid w:val="00E3566B"/>
    <w:rsid w:val="00E90FE7"/>
    <w:rsid w:val="00EA13BF"/>
    <w:rsid w:val="00F03116"/>
    <w:rsid w:val="00FD5318"/>
    <w:rsid w:val="1EE03AB4"/>
    <w:rsid w:val="238E2E63"/>
    <w:rsid w:val="5238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35"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rFonts w:ascii="仿宋" w:hAnsi="仿宋" w:eastAsia="仿宋" w:cs="仿宋"/>
      <w:snapToGrid w:val="0"/>
      <w:color w:val="000000"/>
      <w:kern w:val="0"/>
      <w:sz w:val="31"/>
      <w:szCs w:val="31"/>
      <w:lang w:eastAsia="en-US"/>
      <w14:ligatures w14:val="none"/>
    </w:rPr>
  </w:style>
  <w:style w:type="paragraph" w:styleId="12">
    <w:name w:val="Date"/>
    <w:basedOn w:val="1"/>
    <w:next w:val="1"/>
    <w:link w:val="36"/>
    <w:semiHidden/>
    <w:unhideWhenUsed/>
    <w:qFormat/>
    <w:uiPriority w:val="99"/>
    <w:pPr>
      <w:ind w:left="100" w:leftChars="2500"/>
    </w:p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正文文本 字符"/>
    <w:basedOn w:val="16"/>
    <w:link w:val="11"/>
    <w:semiHidden/>
    <w:uiPriority w:val="0"/>
    <w:rPr>
      <w:rFonts w:ascii="仿宋" w:hAnsi="仿宋" w:eastAsia="仿宋" w:cs="仿宋"/>
      <w:snapToGrid w:val="0"/>
      <w:color w:val="000000"/>
      <w:kern w:val="0"/>
      <w:sz w:val="31"/>
      <w:szCs w:val="31"/>
      <w:lang w:eastAsia="en-US"/>
      <w14:ligatures w14:val="none"/>
    </w:rPr>
  </w:style>
  <w:style w:type="character" w:customStyle="1" w:styleId="36">
    <w:name w:val="日期 字符"/>
    <w:basedOn w:val="16"/>
    <w:link w:val="1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19A64-9889-4926-9027-5B523D33E4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851</Words>
  <Characters>908</Characters>
  <Lines>74</Lines>
  <Paragraphs>61</Paragraphs>
  <TotalTime>205</TotalTime>
  <ScaleCrop>false</ScaleCrop>
  <LinksUpToDate>false</LinksUpToDate>
  <CharactersWithSpaces>993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2026-05-06T07:11:00Z</dcterms:created>
  <dc:creator>Administrator</dc:creator>
  <cp:lastModifiedBy>孙桑杰</cp:lastModifiedBy>
  <cp:lastPrinted>2026-05-08T01:38:00Z</cp:lastPrinted>
  <dcterms:modified xsi:type="dcterms:W3CDTF">2026-05-09T03:11:55Z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BDAF2737EF47498891C1F3996DF1454B_13</vt:lpwstr>
  </property>
  <property fmtid="{D5CDD505-2E9C-101B-9397-08002B2CF9AE}" pid="4" name="KSOTemplateDocerSaveRecord">
    <vt:lpwstr>eyJoZGlkIjoiYmE0ZDUzNDM4OWIxOTFjMGUyNzVhOGEzN2VmZjJlMDYiLCJ1c2VySWQiOiIzMTU3MzYxMzcifQ==</vt:lpwstr>
  </property>
</Properties>
</file>