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2AA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Tahoma" w:hAnsi="Tahoma" w:eastAsia="Tahoma" w:cs="Tahoma"/>
          <w:b w:val="0"/>
          <w:bCs w:val="0"/>
          <w:i w:val="0"/>
          <w:iCs w:val="0"/>
          <w:caps w:val="0"/>
          <w:color w:val="606060"/>
          <w:spacing w:val="0"/>
          <w:sz w:val="27"/>
          <w:szCs w:val="27"/>
        </w:rPr>
      </w:pPr>
      <w:r>
        <w:rPr>
          <w:rFonts w:hint="eastAsia" w:ascii="宋体" w:hAnsi="宋体" w:eastAsia="宋体" w:cs="宋体"/>
          <w:b/>
          <w:bCs/>
          <w:i w:val="0"/>
          <w:iCs w:val="0"/>
          <w:caps w:val="0"/>
          <w:color w:val="0052FF"/>
          <w:spacing w:val="0"/>
          <w:sz w:val="24"/>
          <w:szCs w:val="24"/>
          <w:bdr w:val="none" w:color="auto" w:sz="0" w:space="0"/>
          <w:shd w:val="clear" w:fill="FFFFFF"/>
        </w:rPr>
        <w:t>中华人民共和国农业农村部令</w:t>
      </w:r>
      <w:r>
        <w:rPr>
          <w:rFonts w:hint="default" w:ascii="Tahoma" w:hAnsi="Tahoma" w:eastAsia="Tahoma" w:cs="Tahoma"/>
          <w:b/>
          <w:bCs/>
          <w:i w:val="0"/>
          <w:iCs w:val="0"/>
          <w:caps w:val="0"/>
          <w:color w:val="0052FF"/>
          <w:spacing w:val="0"/>
          <w:sz w:val="24"/>
          <w:szCs w:val="24"/>
          <w:bdr w:val="none" w:color="auto" w:sz="0" w:space="0"/>
          <w:shd w:val="clear" w:fill="FFFFFF"/>
        </w:rPr>
        <w:t> </w:t>
      </w:r>
    </w:p>
    <w:p w14:paraId="1B4DD5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default" w:ascii="Tahoma" w:hAnsi="Tahoma" w:eastAsia="Tahoma" w:cs="Tahoma"/>
          <w:b w:val="0"/>
          <w:bCs w:val="0"/>
          <w:i w:val="0"/>
          <w:iCs w:val="0"/>
          <w:caps w:val="0"/>
          <w:color w:val="606060"/>
          <w:spacing w:val="0"/>
          <w:sz w:val="27"/>
          <w:szCs w:val="27"/>
        </w:rPr>
      </w:pPr>
      <w:r>
        <w:rPr>
          <w:rFonts w:hint="default" w:ascii="Tahoma" w:hAnsi="Tahoma" w:eastAsia="Tahoma" w:cs="Tahoma"/>
          <w:b/>
          <w:bCs/>
          <w:i w:val="0"/>
          <w:iCs w:val="0"/>
          <w:caps w:val="0"/>
          <w:color w:val="0052FF"/>
          <w:spacing w:val="0"/>
          <w:sz w:val="24"/>
          <w:szCs w:val="24"/>
          <w:bdr w:val="none" w:color="auto" w:sz="0" w:space="0"/>
          <w:shd w:val="clear" w:fill="FFFFFF"/>
        </w:rPr>
        <w:t>2025</w:t>
      </w:r>
      <w:r>
        <w:rPr>
          <w:rFonts w:hint="eastAsia" w:ascii="宋体" w:hAnsi="宋体" w:eastAsia="宋体" w:cs="宋体"/>
          <w:b/>
          <w:bCs/>
          <w:i w:val="0"/>
          <w:iCs w:val="0"/>
          <w:caps w:val="0"/>
          <w:color w:val="0052FF"/>
          <w:spacing w:val="0"/>
          <w:sz w:val="24"/>
          <w:szCs w:val="24"/>
          <w:bdr w:val="none" w:color="auto" w:sz="0" w:space="0"/>
          <w:shd w:val="clear" w:fill="FFFFFF"/>
        </w:rPr>
        <w:t>年第</w:t>
      </w:r>
      <w:r>
        <w:rPr>
          <w:rFonts w:hint="default" w:ascii="Times New Roman" w:hAnsi="Times New Roman" w:eastAsia="Tahoma" w:cs="Times New Roman"/>
          <w:b/>
          <w:bCs/>
          <w:i w:val="0"/>
          <w:iCs w:val="0"/>
          <w:caps w:val="0"/>
          <w:color w:val="0052FF"/>
          <w:spacing w:val="0"/>
          <w:sz w:val="24"/>
          <w:szCs w:val="24"/>
          <w:bdr w:val="none" w:color="auto" w:sz="0" w:space="0"/>
          <w:shd w:val="clear" w:fill="FFFFFF"/>
        </w:rPr>
        <w:t>1</w:t>
      </w:r>
      <w:r>
        <w:rPr>
          <w:rFonts w:hint="eastAsia" w:ascii="宋体" w:hAnsi="宋体" w:eastAsia="宋体" w:cs="宋体"/>
          <w:b/>
          <w:bCs/>
          <w:i w:val="0"/>
          <w:iCs w:val="0"/>
          <w:caps w:val="0"/>
          <w:color w:val="0052FF"/>
          <w:spacing w:val="0"/>
          <w:sz w:val="24"/>
          <w:szCs w:val="24"/>
          <w:bdr w:val="none" w:color="auto" w:sz="0" w:space="0"/>
          <w:shd w:val="clear" w:fill="FFFFFF"/>
        </w:rPr>
        <w:t>号</w:t>
      </w:r>
    </w:p>
    <w:p w14:paraId="3EC0C3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0"/>
        <w:jc w:val="center"/>
        <w:rPr>
          <w:rFonts w:hint="default" w:ascii="Tahoma" w:hAnsi="Tahoma" w:eastAsia="Tahoma" w:cs="Tahoma"/>
          <w:i w:val="0"/>
          <w:iCs w:val="0"/>
          <w:caps w:val="0"/>
          <w:color w:val="606060"/>
          <w:spacing w:val="0"/>
          <w:sz w:val="14"/>
          <w:szCs w:val="14"/>
        </w:rPr>
      </w:pPr>
      <w:r>
        <w:rPr>
          <w:rFonts w:hint="default" w:ascii="Tahoma" w:hAnsi="Tahoma" w:eastAsia="Tahoma" w:cs="Tahoma"/>
          <w:i w:val="0"/>
          <w:iCs w:val="0"/>
          <w:caps w:val="0"/>
          <w:color w:val="606060"/>
          <w:spacing w:val="0"/>
          <w:sz w:val="14"/>
          <w:szCs w:val="14"/>
          <w:bdr w:val="none" w:color="auto" w:sz="0" w:space="0"/>
          <w:shd w:val="clear" w:fill="FFFFFF"/>
        </w:rPr>
        <w:t> </w:t>
      </w:r>
    </w:p>
    <w:p w14:paraId="1D2C92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4"/>
          <w:szCs w:val="14"/>
        </w:rPr>
      </w:pPr>
      <w:r>
        <w:rPr>
          <w:rFonts w:hint="default" w:ascii="Tahoma" w:hAnsi="Tahoma" w:eastAsia="Tahoma" w:cs="Tahoma"/>
          <w:i w:val="0"/>
          <w:iCs w:val="0"/>
          <w:caps w:val="0"/>
          <w:color w:val="606060"/>
          <w:spacing w:val="0"/>
          <w:sz w:val="14"/>
          <w:szCs w:val="14"/>
          <w:bdr w:val="none" w:color="auto" w:sz="0" w:space="0"/>
          <w:shd w:val="clear" w:fill="FFFFFF"/>
        </w:rPr>
        <w:t> </w:t>
      </w:r>
    </w:p>
    <w:p w14:paraId="1A7705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ascii="仿宋_GB2312" w:hAnsi="Tahoma" w:eastAsia="仿宋_GB2312" w:cs="仿宋_GB2312"/>
          <w:i w:val="0"/>
          <w:iCs w:val="0"/>
          <w:caps w:val="0"/>
          <w:color w:val="606060"/>
          <w:spacing w:val="0"/>
          <w:sz w:val="27"/>
          <w:szCs w:val="27"/>
          <w:bdr w:val="none" w:color="auto" w:sz="0" w:space="0"/>
          <w:shd w:val="clear" w:fill="FFFFFF"/>
        </w:rPr>
        <w:t>《种畜禽生产经营许可管理办法》已经农业农村部</w:t>
      </w:r>
      <w:r>
        <w:rPr>
          <w:rFonts w:hint="default" w:ascii="Tahoma" w:hAnsi="Tahoma" w:eastAsia="Tahoma" w:cs="Tahoma"/>
          <w:i w:val="0"/>
          <w:iCs w:val="0"/>
          <w:caps w:val="0"/>
          <w:color w:val="606060"/>
          <w:spacing w:val="0"/>
          <w:sz w:val="27"/>
          <w:szCs w:val="27"/>
          <w:bdr w:val="none" w:color="auto" w:sz="0" w:space="0"/>
          <w:shd w:val="clear" w:fill="FFFFFF"/>
        </w:rPr>
        <w:t>2025</w:t>
      </w:r>
      <w:r>
        <w:rPr>
          <w:rFonts w:hint="eastAsia" w:ascii="仿宋_GB2312" w:hAnsi="Tahoma" w:eastAsia="仿宋_GB2312" w:cs="仿宋_GB2312"/>
          <w:i w:val="0"/>
          <w:iCs w:val="0"/>
          <w:caps w:val="0"/>
          <w:color w:val="606060"/>
          <w:spacing w:val="0"/>
          <w:sz w:val="27"/>
          <w:szCs w:val="27"/>
          <w:bdr w:val="none" w:color="auto" w:sz="0" w:space="0"/>
          <w:shd w:val="clear" w:fill="FFFFFF"/>
        </w:rPr>
        <w:t>年</w:t>
      </w:r>
      <w:r>
        <w:rPr>
          <w:rFonts w:hint="default" w:ascii="Times New Roman" w:hAnsi="Times New Roman" w:eastAsia="Tahoma" w:cs="Times New Roman"/>
          <w:i w:val="0"/>
          <w:iCs w:val="0"/>
          <w:caps w:val="0"/>
          <w:color w:val="606060"/>
          <w:spacing w:val="0"/>
          <w:sz w:val="27"/>
          <w:szCs w:val="27"/>
          <w:bdr w:val="none" w:color="auto" w:sz="0" w:space="0"/>
          <w:shd w:val="clear" w:fill="FFFFFF"/>
        </w:rPr>
        <w:t>2</w:t>
      </w:r>
      <w:r>
        <w:rPr>
          <w:rFonts w:hint="eastAsia" w:ascii="仿宋_GB2312" w:hAnsi="Tahoma" w:eastAsia="仿宋_GB2312" w:cs="仿宋_GB2312"/>
          <w:i w:val="0"/>
          <w:iCs w:val="0"/>
          <w:caps w:val="0"/>
          <w:color w:val="606060"/>
          <w:spacing w:val="0"/>
          <w:sz w:val="27"/>
          <w:szCs w:val="27"/>
          <w:bdr w:val="none" w:color="auto" w:sz="0" w:space="0"/>
          <w:shd w:val="clear" w:fill="FFFFFF"/>
        </w:rPr>
        <w:t>月</w:t>
      </w:r>
      <w:r>
        <w:rPr>
          <w:rFonts w:hint="default" w:ascii="Times New Roman" w:hAnsi="Times New Roman" w:eastAsia="Tahoma" w:cs="Times New Roman"/>
          <w:i w:val="0"/>
          <w:iCs w:val="0"/>
          <w:caps w:val="0"/>
          <w:color w:val="606060"/>
          <w:spacing w:val="0"/>
          <w:sz w:val="27"/>
          <w:szCs w:val="27"/>
          <w:bdr w:val="none" w:color="auto" w:sz="0" w:space="0"/>
          <w:shd w:val="clear" w:fill="FFFFFF"/>
        </w:rPr>
        <w:t>8</w:t>
      </w:r>
      <w:r>
        <w:rPr>
          <w:rFonts w:hint="eastAsia" w:ascii="仿宋_GB2312" w:hAnsi="Tahoma" w:eastAsia="仿宋_GB2312" w:cs="仿宋_GB2312"/>
          <w:i w:val="0"/>
          <w:iCs w:val="0"/>
          <w:caps w:val="0"/>
          <w:color w:val="606060"/>
          <w:spacing w:val="0"/>
          <w:sz w:val="27"/>
          <w:szCs w:val="27"/>
          <w:bdr w:val="none" w:color="auto" w:sz="0" w:space="0"/>
          <w:shd w:val="clear" w:fill="FFFFFF"/>
        </w:rPr>
        <w:t>日第</w:t>
      </w:r>
      <w:r>
        <w:rPr>
          <w:rFonts w:hint="default" w:ascii="Times New Roman" w:hAnsi="Times New Roman" w:eastAsia="Tahoma" w:cs="Times New Roman"/>
          <w:i w:val="0"/>
          <w:iCs w:val="0"/>
          <w:caps w:val="0"/>
          <w:color w:val="606060"/>
          <w:spacing w:val="0"/>
          <w:sz w:val="27"/>
          <w:szCs w:val="27"/>
          <w:bdr w:val="none" w:color="auto" w:sz="0" w:space="0"/>
          <w:shd w:val="clear" w:fill="FFFFFF"/>
        </w:rPr>
        <w:t>2</w:t>
      </w:r>
      <w:r>
        <w:rPr>
          <w:rFonts w:hint="eastAsia" w:ascii="仿宋_GB2312" w:hAnsi="Tahoma" w:eastAsia="仿宋_GB2312" w:cs="仿宋_GB2312"/>
          <w:i w:val="0"/>
          <w:iCs w:val="0"/>
          <w:caps w:val="0"/>
          <w:color w:val="606060"/>
          <w:spacing w:val="0"/>
          <w:sz w:val="27"/>
          <w:szCs w:val="27"/>
          <w:bdr w:val="none" w:color="auto" w:sz="0" w:space="0"/>
          <w:shd w:val="clear" w:fill="FFFFFF"/>
        </w:rPr>
        <w:t>次常务会议审议通过，现予公布，自</w:t>
      </w:r>
      <w:r>
        <w:rPr>
          <w:rFonts w:hint="default" w:ascii="Times New Roman" w:hAnsi="Times New Roman" w:eastAsia="Tahoma" w:cs="Times New Roman"/>
          <w:i w:val="0"/>
          <w:iCs w:val="0"/>
          <w:caps w:val="0"/>
          <w:color w:val="606060"/>
          <w:spacing w:val="0"/>
          <w:sz w:val="27"/>
          <w:szCs w:val="27"/>
          <w:bdr w:val="none" w:color="auto" w:sz="0" w:space="0"/>
          <w:shd w:val="clear" w:fill="FFFFFF"/>
        </w:rPr>
        <w:t>2025</w:t>
      </w:r>
      <w:r>
        <w:rPr>
          <w:rFonts w:hint="eastAsia" w:ascii="仿宋_GB2312" w:hAnsi="Tahoma" w:eastAsia="仿宋_GB2312" w:cs="仿宋_GB2312"/>
          <w:i w:val="0"/>
          <w:iCs w:val="0"/>
          <w:caps w:val="0"/>
          <w:color w:val="606060"/>
          <w:spacing w:val="0"/>
          <w:sz w:val="27"/>
          <w:szCs w:val="27"/>
          <w:bdr w:val="none" w:color="auto" w:sz="0" w:space="0"/>
          <w:shd w:val="clear" w:fill="FFFFFF"/>
        </w:rPr>
        <w:t>年</w:t>
      </w:r>
      <w:r>
        <w:rPr>
          <w:rFonts w:hint="default" w:ascii="Times New Roman" w:hAnsi="Times New Roman" w:eastAsia="Tahoma" w:cs="Times New Roman"/>
          <w:i w:val="0"/>
          <w:iCs w:val="0"/>
          <w:caps w:val="0"/>
          <w:color w:val="606060"/>
          <w:spacing w:val="0"/>
          <w:sz w:val="27"/>
          <w:szCs w:val="27"/>
          <w:bdr w:val="none" w:color="auto" w:sz="0" w:space="0"/>
          <w:shd w:val="clear" w:fill="FFFFFF"/>
        </w:rPr>
        <w:t>7</w:t>
      </w:r>
      <w:r>
        <w:rPr>
          <w:rFonts w:hint="eastAsia" w:ascii="仿宋_GB2312" w:hAnsi="Tahoma" w:eastAsia="仿宋_GB2312" w:cs="仿宋_GB2312"/>
          <w:i w:val="0"/>
          <w:iCs w:val="0"/>
          <w:caps w:val="0"/>
          <w:color w:val="606060"/>
          <w:spacing w:val="0"/>
          <w:sz w:val="27"/>
          <w:szCs w:val="27"/>
          <w:bdr w:val="none" w:color="auto" w:sz="0" w:space="0"/>
          <w:shd w:val="clear" w:fill="FFFFFF"/>
        </w:rPr>
        <w:t>月</w:t>
      </w:r>
      <w:r>
        <w:rPr>
          <w:rFonts w:hint="default" w:ascii="Times New Roman" w:hAnsi="Times New Roman" w:eastAsia="Tahoma" w:cs="Times New Roman"/>
          <w:i w:val="0"/>
          <w:iCs w:val="0"/>
          <w:caps w:val="0"/>
          <w:color w:val="606060"/>
          <w:spacing w:val="0"/>
          <w:sz w:val="27"/>
          <w:szCs w:val="27"/>
          <w:bdr w:val="none" w:color="auto" w:sz="0" w:space="0"/>
          <w:shd w:val="clear" w:fill="FFFFFF"/>
        </w:rPr>
        <w:t>1</w:t>
      </w:r>
      <w:r>
        <w:rPr>
          <w:rFonts w:hint="eastAsia" w:ascii="仿宋_GB2312" w:hAnsi="Tahoma" w:eastAsia="仿宋_GB2312" w:cs="仿宋_GB2312"/>
          <w:i w:val="0"/>
          <w:iCs w:val="0"/>
          <w:caps w:val="0"/>
          <w:color w:val="606060"/>
          <w:spacing w:val="0"/>
          <w:sz w:val="27"/>
          <w:szCs w:val="27"/>
          <w:bdr w:val="none" w:color="auto" w:sz="0" w:space="0"/>
          <w:shd w:val="clear" w:fill="FFFFFF"/>
        </w:rPr>
        <w:t>日起施行。</w:t>
      </w:r>
    </w:p>
    <w:p w14:paraId="0996FC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jc w:val="right"/>
        <w:rPr>
          <w:rFonts w:hint="default" w:ascii="Tahoma" w:hAnsi="Tahoma" w:eastAsia="Tahoma" w:cs="Tahoma"/>
          <w:i w:val="0"/>
          <w:iCs w:val="0"/>
          <w:caps w:val="0"/>
          <w:color w:val="606060"/>
          <w:spacing w:val="0"/>
          <w:sz w:val="19"/>
          <w:szCs w:val="19"/>
        </w:rPr>
      </w:pP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部长</w:t>
      </w:r>
      <w:r>
        <w:rPr>
          <w:rFonts w:hint="default" w:ascii="Times New Roman" w:hAnsi="Times New Roman" w:eastAsia="Tahoma" w:cs="Times New Roman"/>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韩俊</w:t>
      </w:r>
    </w:p>
    <w:p w14:paraId="5C9CA8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jc w:val="right"/>
        <w:rPr>
          <w:rFonts w:hint="default" w:ascii="Tahoma" w:hAnsi="Tahoma" w:eastAsia="Tahoma" w:cs="Tahoma"/>
          <w:i w:val="0"/>
          <w:iCs w:val="0"/>
          <w:caps w:val="0"/>
          <w:color w:val="606060"/>
          <w:spacing w:val="0"/>
          <w:sz w:val="19"/>
          <w:szCs w:val="19"/>
        </w:rPr>
      </w:pPr>
      <w:r>
        <w:rPr>
          <w:rFonts w:hint="default" w:ascii="Tahoma" w:hAnsi="Tahoma" w:eastAsia="Tahoma" w:cs="Tahoma"/>
          <w:i w:val="0"/>
          <w:iCs w:val="0"/>
          <w:caps w:val="0"/>
          <w:color w:val="606060"/>
          <w:spacing w:val="0"/>
          <w:sz w:val="27"/>
          <w:szCs w:val="27"/>
          <w:bdr w:val="none" w:color="auto" w:sz="0" w:space="0"/>
          <w:shd w:val="clear" w:fill="FFFFFF"/>
        </w:rPr>
        <w:t>                                     2025</w:t>
      </w:r>
      <w:r>
        <w:rPr>
          <w:rFonts w:hint="eastAsia" w:ascii="仿宋_GB2312" w:hAnsi="Tahoma" w:eastAsia="仿宋_GB2312" w:cs="仿宋_GB2312"/>
          <w:i w:val="0"/>
          <w:iCs w:val="0"/>
          <w:caps w:val="0"/>
          <w:color w:val="606060"/>
          <w:spacing w:val="0"/>
          <w:sz w:val="27"/>
          <w:szCs w:val="27"/>
          <w:bdr w:val="none" w:color="auto" w:sz="0" w:space="0"/>
          <w:shd w:val="clear" w:fill="FFFFFF"/>
        </w:rPr>
        <w:t>年</w:t>
      </w:r>
      <w:r>
        <w:rPr>
          <w:rFonts w:hint="default" w:ascii="Times New Roman" w:hAnsi="Times New Roman" w:eastAsia="Tahoma" w:cs="Times New Roman"/>
          <w:i w:val="0"/>
          <w:iCs w:val="0"/>
          <w:caps w:val="0"/>
          <w:color w:val="606060"/>
          <w:spacing w:val="0"/>
          <w:sz w:val="27"/>
          <w:szCs w:val="27"/>
          <w:bdr w:val="none" w:color="auto" w:sz="0" w:space="0"/>
          <w:shd w:val="clear" w:fill="FFFFFF"/>
        </w:rPr>
        <w:t>3</w:t>
      </w:r>
      <w:r>
        <w:rPr>
          <w:rFonts w:hint="eastAsia" w:ascii="仿宋_GB2312" w:hAnsi="Tahoma" w:eastAsia="仿宋_GB2312" w:cs="仿宋_GB2312"/>
          <w:i w:val="0"/>
          <w:iCs w:val="0"/>
          <w:caps w:val="0"/>
          <w:color w:val="606060"/>
          <w:spacing w:val="0"/>
          <w:sz w:val="27"/>
          <w:szCs w:val="27"/>
          <w:bdr w:val="none" w:color="auto" w:sz="0" w:space="0"/>
          <w:shd w:val="clear" w:fill="FFFFFF"/>
        </w:rPr>
        <w:t>月</w:t>
      </w:r>
      <w:r>
        <w:rPr>
          <w:rFonts w:hint="default" w:ascii="Times New Roman" w:hAnsi="Times New Roman" w:eastAsia="Tahoma" w:cs="Times New Roman"/>
          <w:i w:val="0"/>
          <w:iCs w:val="0"/>
          <w:caps w:val="0"/>
          <w:color w:val="606060"/>
          <w:spacing w:val="0"/>
          <w:sz w:val="27"/>
          <w:szCs w:val="27"/>
          <w:bdr w:val="none" w:color="auto" w:sz="0" w:space="0"/>
          <w:shd w:val="clear" w:fill="FFFFFF"/>
        </w:rPr>
        <w:t>10</w:t>
      </w:r>
      <w:r>
        <w:rPr>
          <w:rFonts w:hint="eastAsia" w:ascii="仿宋_GB2312" w:hAnsi="Tahoma" w:eastAsia="仿宋_GB2312" w:cs="仿宋_GB2312"/>
          <w:i w:val="0"/>
          <w:iCs w:val="0"/>
          <w:caps w:val="0"/>
          <w:color w:val="606060"/>
          <w:spacing w:val="0"/>
          <w:sz w:val="27"/>
          <w:szCs w:val="27"/>
          <w:bdr w:val="none" w:color="auto" w:sz="0" w:space="0"/>
          <w:shd w:val="clear" w:fill="FFFFFF"/>
        </w:rPr>
        <w:t>日</w:t>
      </w:r>
    </w:p>
    <w:p w14:paraId="4583FD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0"/>
        <w:jc w:val="center"/>
        <w:rPr>
          <w:rFonts w:hint="default" w:ascii="Tahoma" w:hAnsi="Tahoma" w:eastAsia="Tahoma" w:cs="Tahoma"/>
          <w:i w:val="0"/>
          <w:iCs w:val="0"/>
          <w:caps w:val="0"/>
          <w:color w:val="606060"/>
          <w:spacing w:val="0"/>
          <w:sz w:val="19"/>
          <w:szCs w:val="19"/>
        </w:rPr>
      </w:pPr>
      <w:r>
        <w:rPr>
          <w:rFonts w:hint="default" w:ascii="Tahoma" w:hAnsi="Tahoma" w:eastAsia="Tahoma" w:cs="Tahoma"/>
          <w:i w:val="0"/>
          <w:iCs w:val="0"/>
          <w:caps w:val="0"/>
          <w:color w:val="606060"/>
          <w:spacing w:val="0"/>
          <w:sz w:val="27"/>
          <w:szCs w:val="27"/>
          <w:bdr w:val="none" w:color="auto" w:sz="0" w:space="0"/>
          <w:shd w:val="clear" w:fill="FFFFFF"/>
        </w:rPr>
        <w:t> </w:t>
      </w:r>
    </w:p>
    <w:p w14:paraId="460816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0"/>
        <w:jc w:val="center"/>
        <w:rPr>
          <w:rFonts w:hint="default" w:ascii="Tahoma" w:hAnsi="Tahoma" w:eastAsia="Tahoma" w:cs="Tahoma"/>
          <w:i w:val="0"/>
          <w:iCs w:val="0"/>
          <w:caps w:val="0"/>
          <w:color w:val="606060"/>
          <w:spacing w:val="0"/>
          <w:sz w:val="19"/>
          <w:szCs w:val="19"/>
        </w:rPr>
      </w:pPr>
      <w:bookmarkStart w:id="0" w:name="_GoBack"/>
      <w:r>
        <w:rPr>
          <w:rFonts w:ascii="华文中宋" w:hAnsi="华文中宋" w:eastAsia="华文中宋" w:cs="华文中宋"/>
          <w:b/>
          <w:bCs/>
          <w:i w:val="0"/>
          <w:iCs w:val="0"/>
          <w:caps w:val="0"/>
          <w:color w:val="606060"/>
          <w:spacing w:val="0"/>
          <w:sz w:val="27"/>
          <w:szCs w:val="27"/>
          <w:bdr w:val="none" w:color="auto" w:sz="0" w:space="0"/>
          <w:shd w:val="clear" w:fill="FFFFFF"/>
        </w:rPr>
        <w:t>种畜禽生产经营许可管理办法</w:t>
      </w:r>
    </w:p>
    <w:bookmarkEnd w:id="0"/>
    <w:p w14:paraId="2A98EF9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0"/>
        <w:rPr>
          <w:rFonts w:hint="default" w:ascii="Tahoma" w:hAnsi="Tahoma" w:eastAsia="Tahoma" w:cs="Tahoma"/>
          <w:i w:val="0"/>
          <w:iCs w:val="0"/>
          <w:caps w:val="0"/>
          <w:color w:val="606060"/>
          <w:spacing w:val="0"/>
          <w:sz w:val="19"/>
          <w:szCs w:val="19"/>
        </w:rPr>
      </w:pPr>
      <w:r>
        <w:rPr>
          <w:rFonts w:hint="default" w:ascii="Tahoma" w:hAnsi="Tahoma" w:eastAsia="Tahoma" w:cs="Tahoma"/>
          <w:b/>
          <w:bCs/>
          <w:i w:val="0"/>
          <w:iCs w:val="0"/>
          <w:caps w:val="0"/>
          <w:color w:val="606060"/>
          <w:spacing w:val="0"/>
          <w:sz w:val="27"/>
          <w:szCs w:val="27"/>
          <w:bdr w:val="none" w:color="auto" w:sz="0" w:space="0"/>
          <w:shd w:val="clear" w:fill="FFFFFF"/>
        </w:rPr>
        <w:t> </w:t>
      </w:r>
    </w:p>
    <w:p w14:paraId="0A1A7CA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ascii="黑体" w:hAnsi="宋体" w:eastAsia="黑体" w:cs="黑体"/>
          <w:i w:val="0"/>
          <w:iCs w:val="0"/>
          <w:caps w:val="0"/>
          <w:color w:val="606060"/>
          <w:spacing w:val="0"/>
          <w:sz w:val="27"/>
          <w:szCs w:val="27"/>
          <w:bdr w:val="none" w:color="auto" w:sz="0" w:space="0"/>
          <w:shd w:val="clear" w:fill="FFFFFF"/>
        </w:rPr>
        <w:t>第一条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为了加强种畜禽生产经营许可管理，规范种畜禽生产经营秩序，促进畜禽种业高质量发展，根据《中华人民共和国畜牧法》，制定本办法。</w:t>
      </w:r>
    </w:p>
    <w:p w14:paraId="29921B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第二条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种畜禽生产经营许可证的申请、核发和监督管理，适用本办法。</w:t>
      </w:r>
    </w:p>
    <w:p w14:paraId="54C31E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第三条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从事种畜禽或者商品代仔畜、雏禽生产经营，应当取得种畜禽生产经营许可证。</w:t>
      </w:r>
    </w:p>
    <w:p w14:paraId="17B1EF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农户饲养的种畜禽用于自繁自养和有少量剩余仔畜、雏禽出售的，农户饲养种公畜进行互助配种的，不需要办理种畜禽生产经营许可证。</w:t>
      </w:r>
    </w:p>
    <w:p w14:paraId="1109C8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第四条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从事家畜卵子、精液、胚胎等遗传材料和祖代以上种畜禽（含品种和配套系）生产经营的，种畜禽生产经营许可证由所在地省级人民政府农业农村主管部门核发。</w:t>
      </w:r>
    </w:p>
    <w:p w14:paraId="54ECB9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从事父母代种畜禽（含品种和配套系）和商品代仔畜、雏禽生产经营的，种畜禽生产经营许可证由所在地县级以上地方人民政府农业农村主管部门核发，具体核发权限由省级人民政府农业农村主管部门确定并公布。</w:t>
      </w:r>
    </w:p>
    <w:p w14:paraId="02A843B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第五条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申请取得种畜禽生产经营许可证，应当具备下列条件：</w:t>
      </w:r>
    </w:p>
    <w:p w14:paraId="7EEB19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（一）生产经营的种畜禽是通过国家畜禽遗传资源委员会审定或者鉴定的品种、配套系，或者是经批准引进的境外品种、配套系，来源清楚且符合种用标准；</w:t>
      </w:r>
    </w:p>
    <w:p w14:paraId="2EE97D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（二）生产经营规模符合种畜禽养殖场规模标准（从事家畜卵子、精液、胚胎等遗传材料生产经营的除外）；</w:t>
      </w:r>
    </w:p>
    <w:p w14:paraId="6B9729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（三）有与生产经营规模相适应的繁育饲养、疫病防控等专业的畜牧兽医技术人员；</w:t>
      </w:r>
    </w:p>
    <w:p w14:paraId="079F23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（四）有与生产经营规模相适应的繁育饲养、生产性能测定等设施设备；</w:t>
      </w:r>
    </w:p>
    <w:p w14:paraId="5066B0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（五）具备法律、行政法规和农业农村部规定的种畜禽防疫条件，并取得动物防疫条件合格证；</w:t>
      </w:r>
    </w:p>
    <w:p w14:paraId="05C694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（六）有完善的质量管理、育种记录制度；</w:t>
      </w:r>
    </w:p>
    <w:p w14:paraId="14B943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（七）法律、行政法规规定的其他条件。</w:t>
      </w:r>
    </w:p>
    <w:p w14:paraId="70E217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第六条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从事家畜卵子、精液、胚胎等遗传材料生产经营，除符合本办法第五条规定外，还应当具备下列条件：</w:t>
      </w:r>
    </w:p>
    <w:p w14:paraId="50C378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（一）有与生产经营规模相适应的家畜饲养、繁育、治疗场地和家畜遗传材料生产、质量检测、产品储存、档案管理场所；</w:t>
      </w:r>
    </w:p>
    <w:p w14:paraId="23E760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（二）有与生产经营规模相适应的家畜饲养和遗传材料生产、检测、保存、运输等设施设备；</w:t>
      </w:r>
    </w:p>
    <w:p w14:paraId="43F48B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（三）饲养的种畜符合种用标准，并达到农业农村部规定的数量；</w:t>
      </w:r>
    </w:p>
    <w:p w14:paraId="7C7718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（四）体外受精取得的胚胎、使用的卵子来源明确，三代系谱清楚，供体畜符合国家规定的种畜健康标准和质量要求；</w:t>
      </w:r>
    </w:p>
    <w:p w14:paraId="09C54E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（五）符合有关国家强制性标准和农业农村部规定的其他技术要求。</w:t>
      </w:r>
    </w:p>
    <w:p w14:paraId="5F8E09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第七条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申请取得种畜禽生产经营许可证，应当提交以下材料：</w:t>
      </w:r>
    </w:p>
    <w:p w14:paraId="625BBE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（一）种畜禽生产经营许可证申请表；</w:t>
      </w:r>
    </w:p>
    <w:p w14:paraId="338B54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（二）生产经营者基本情况说明，营业执照复印件，法定代表人（负责人）身份证复印件；</w:t>
      </w:r>
    </w:p>
    <w:p w14:paraId="05F1750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（三）种畜禽生产群存栏规模情况说明；</w:t>
      </w:r>
    </w:p>
    <w:p w14:paraId="054518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（四）畜牧兽医技术人员情况说明及证明材料；</w:t>
      </w:r>
    </w:p>
    <w:p w14:paraId="076392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（五）生产经营场所平面图；</w:t>
      </w:r>
    </w:p>
    <w:p w14:paraId="090936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（六）设施设备情况说明；</w:t>
      </w:r>
    </w:p>
    <w:p w14:paraId="16A8C3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（七）质量管理、档案记录、销售台账等制度材料；</w:t>
      </w:r>
    </w:p>
    <w:p w14:paraId="7D0AE5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（八）种畜禽来源说明及系谱档案复印件；</w:t>
      </w:r>
    </w:p>
    <w:p w14:paraId="27B351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（九）动物防疫条件合格证复印件；</w:t>
      </w:r>
    </w:p>
    <w:p w14:paraId="31B4E4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（十）农业农村部规定的其他材料。</w:t>
      </w:r>
    </w:p>
    <w:p w14:paraId="7A143E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第八条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县级以上地方人民政府农业农村主管部门对申请人提出的申请，应当根据下列情况分别作出处理：</w:t>
      </w:r>
    </w:p>
    <w:p w14:paraId="366F2D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（一）不需要取得种畜禽生产经营许可的，应当即时告知申请人不受理；</w:t>
      </w:r>
    </w:p>
    <w:p w14:paraId="2A647D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（二）不属于本部门职权范围的，应当即时作出不予受理的决定，并告知申请人向有审批权限的部门申请；</w:t>
      </w:r>
    </w:p>
    <w:p w14:paraId="0AA91D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（三）申请材料存在可以当场更正的错误的，应当允许申请人当场更正；</w:t>
      </w:r>
    </w:p>
    <w:p w14:paraId="337A61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（四）申请材料不齐全或者不符合法定形式的，应当当场或者在五个工作日内一次告知申请人需要补正的全部内容，逾期不告知的，自收到申请材料之日起即为受理；</w:t>
      </w:r>
    </w:p>
    <w:p w14:paraId="5AE30F5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（五）申请材料齐全、符合法定形式，或者申请人按照要求提交全部补正申请材料的，予以受理。</w:t>
      </w:r>
    </w:p>
    <w:p w14:paraId="0FF2FC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第九条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县级以上地方人民政府农业农村主管部门应当成立专家组，对申请人的种畜禽来源、品种代别、饲养规模、技术人员条件、设施设备、档案记录等进行现场评审。专家组由三至五名专家组成，从种畜禽生产经营许可评审专家库中随机抽取，实行组长负责制。</w:t>
      </w:r>
    </w:p>
    <w:p w14:paraId="130AD8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种畜禽生产经营许可评审专家库由省级人民政府农业农村主管部门建立并报农业农村部备案。</w:t>
      </w:r>
    </w:p>
    <w:p w14:paraId="2898A4D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第十条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申请家畜卵子、精液、胚胎等遗传材料种畜禽生产经营许可证的，省级人民政府农业农村主管部门应当自受理申请之日起六十个工作日内（含现场评审时间）作出许可决定。</w:t>
      </w:r>
    </w:p>
    <w:p w14:paraId="1CB846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申请其他种畜禽生产经营许可证的，农业农村主管部门应当自受理申请之日起五个工作日内完成书面审查，书面审查合格的，应当在二十五个工作日内完成现场评审，并自收到评审意见后十五个工作日内作出许可决定。</w:t>
      </w:r>
    </w:p>
    <w:p w14:paraId="750D550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农业农村主管部门作出的准予核发种畜禽生产经营许可证的决定，应当依法向社会公开。不予许可的，应当书面通知申请人并说明理由。</w:t>
      </w:r>
    </w:p>
    <w:p w14:paraId="0BF110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第十一条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种畜禽生产经营许可证应当注明许可证编号、生产经营者名称、生产经营地址、法定代表人（负责人）、生产经营范围、生产经营类型、生产经营畜禽种类和品种、有效期、统一社会信用代码、生产经营主体代码、发证机关、发证日期等内容，具体样式由农业农村部制定并发布。</w:t>
      </w:r>
    </w:p>
    <w:p w14:paraId="0C0C22B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种畜禽生产经营许可证由农业农村部统一印制。</w:t>
      </w:r>
    </w:p>
    <w:p w14:paraId="4F1716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第十二条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种畜禽生产经营许可证有效期为五年。有效期届满需要继续生产经营的，申请人应当在期满六个月前重新申请。</w:t>
      </w:r>
    </w:p>
    <w:p w14:paraId="5F6A44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第十三条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有效期内有下列情形之一的，应当向原发证机关申请变更许可证并提交变更申请表及证明材料，符合条件的，原发证机关应当在十五个工作日内予以变更：</w:t>
      </w:r>
    </w:p>
    <w:p w14:paraId="41D624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（一）变更生产经营者名称；</w:t>
      </w:r>
    </w:p>
    <w:p w14:paraId="1BABEB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（二）变更法定代表人（负责人）；</w:t>
      </w:r>
    </w:p>
    <w:p w14:paraId="049318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（三）从事父母代种畜禽（含品种和配套系）和商品代仔畜、雏禽生产经营，需要变更其生产经营的畜禽品种。</w:t>
      </w:r>
    </w:p>
    <w:p w14:paraId="05C16D0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第十四条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有效期内有下列情形之一的，应当重新申请种畜禽生产经营许可：</w:t>
      </w:r>
    </w:p>
    <w:p w14:paraId="7B71578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（一）变更生产经营类型；</w:t>
      </w:r>
    </w:p>
    <w:p w14:paraId="48072D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（二）变更生产经营畜禽种类；</w:t>
      </w:r>
    </w:p>
    <w:p w14:paraId="479E45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（三）变更生产经营场所；</w:t>
      </w:r>
    </w:p>
    <w:p w14:paraId="50ED81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（四）从事家畜卵子、精液、胚胎等遗传材料和祖代以上种畜禽（含品种和配套系）生产经营，变更其生产经营的畜禽品种。</w:t>
      </w:r>
    </w:p>
    <w:p w14:paraId="062AA4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第十五条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种畜禽生产经营许可证有下列情形之一的，发证机关应当注销并予以公告：</w:t>
      </w:r>
    </w:p>
    <w:p w14:paraId="5A5051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（一）有效期届满未延续；</w:t>
      </w:r>
    </w:p>
    <w:p w14:paraId="742B86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（二）依法被撤销、撤回、吊销；</w:t>
      </w:r>
    </w:p>
    <w:p w14:paraId="28E4DEB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（三）法律、法规规定应当注销行政许可的其他情形。</w:t>
      </w:r>
    </w:p>
    <w:p w14:paraId="5F50D3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第十六条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种畜禽生产经营许可证的申请、受理、审核、核发，在中国种业大数据平台办理。</w:t>
      </w:r>
    </w:p>
    <w:p w14:paraId="5B693E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第十七条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种畜禽生产经营者应当建立生产经营档案。</w:t>
      </w:r>
    </w:p>
    <w:p w14:paraId="45D456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生产经营档案应当包括以下内容：</w:t>
      </w:r>
    </w:p>
    <w:p w14:paraId="695DE1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（一）畜禽种类、品种（配套系）名称、繁育生产记录、兽药使用及疫病检测记录、场内生产性能测定记录、种畜禽系谱等；</w:t>
      </w:r>
    </w:p>
    <w:p w14:paraId="23762A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（二）种畜禽销售对象姓名及地址、品种（配套系）名称、销售数量、销售时间、销售票据以及检疫证明、种畜禽合格证明；</w:t>
      </w:r>
    </w:p>
    <w:p w14:paraId="4C456B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（三）生产经营遗传材料的，还应当包括生产时间地点、加工包装规格、标签标注说明、出入库数量、质量检验报告等。</w:t>
      </w:r>
    </w:p>
    <w:p w14:paraId="131F283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种畜禽生产经营档案应当至少保存两年，档案记载信息应当连续、完整、真实，保证可追溯。</w:t>
      </w:r>
    </w:p>
    <w:p w14:paraId="4F6345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第十八条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种畜禽生产经营者应当在每年</w:t>
      </w:r>
      <w:r>
        <w:rPr>
          <w:rFonts w:hint="default" w:ascii="Tahoma" w:hAnsi="Tahoma" w:eastAsia="Tahoma" w:cs="Tahoma"/>
          <w:i w:val="0"/>
          <w:iCs w:val="0"/>
          <w:caps w:val="0"/>
          <w:color w:val="606060"/>
          <w:spacing w:val="0"/>
          <w:sz w:val="27"/>
          <w:szCs w:val="27"/>
          <w:bdr w:val="none" w:color="auto" w:sz="0" w:space="0"/>
          <w:shd w:val="clear" w:fill="FFFFFF"/>
        </w:rPr>
        <w:t>1</w:t>
      </w:r>
      <w:r>
        <w:rPr>
          <w:rFonts w:hint="eastAsia" w:ascii="仿宋_GB2312" w:hAnsi="Tahoma" w:eastAsia="仿宋_GB2312" w:cs="仿宋_GB2312"/>
          <w:i w:val="0"/>
          <w:iCs w:val="0"/>
          <w:caps w:val="0"/>
          <w:color w:val="606060"/>
          <w:spacing w:val="0"/>
          <w:sz w:val="27"/>
          <w:szCs w:val="27"/>
          <w:bdr w:val="none" w:color="auto" w:sz="0" w:space="0"/>
          <w:shd w:val="clear" w:fill="FFFFFF"/>
        </w:rPr>
        <w:t>月</w:t>
      </w:r>
      <w:r>
        <w:rPr>
          <w:rFonts w:hint="default" w:ascii="Tahoma" w:hAnsi="Tahoma" w:eastAsia="Tahoma" w:cs="Tahoma"/>
          <w:i w:val="0"/>
          <w:iCs w:val="0"/>
          <w:caps w:val="0"/>
          <w:color w:val="606060"/>
          <w:spacing w:val="0"/>
          <w:sz w:val="27"/>
          <w:szCs w:val="27"/>
          <w:bdr w:val="none" w:color="auto" w:sz="0" w:space="0"/>
          <w:shd w:val="clear" w:fill="FFFFFF"/>
        </w:rPr>
        <w:t>31</w:t>
      </w:r>
      <w:r>
        <w:rPr>
          <w:rFonts w:hint="eastAsia" w:ascii="仿宋_GB2312" w:hAnsi="Tahoma" w:eastAsia="仿宋_GB2312" w:cs="仿宋_GB2312"/>
          <w:i w:val="0"/>
          <w:iCs w:val="0"/>
          <w:caps w:val="0"/>
          <w:color w:val="606060"/>
          <w:spacing w:val="0"/>
          <w:sz w:val="27"/>
          <w:szCs w:val="27"/>
          <w:bdr w:val="none" w:color="auto" w:sz="0" w:space="0"/>
          <w:shd w:val="clear" w:fill="FFFFFF"/>
        </w:rPr>
        <w:t>日前登录中国种业大数据平台填报年度种畜禽存栏量、销售量及种畜禽生产性能等信息。</w:t>
      </w:r>
    </w:p>
    <w:p w14:paraId="693133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第十九条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申请人隐瞒有关情况或者提供虚假材料申请种畜禽生产经营许可证的，县级以上地方人民政府农业农村主管部门应当不予受理或者不予行政许可并给予警告；申请人在一年内不得再次申请种畜禽生产经营许可证。</w:t>
      </w:r>
    </w:p>
    <w:p w14:paraId="16FE7BD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仿宋_GB2312" w:hAnsi="Tahoma" w:eastAsia="仿宋_GB2312" w:cs="仿宋_GB2312"/>
          <w:i w:val="0"/>
          <w:iCs w:val="0"/>
          <w:caps w:val="0"/>
          <w:color w:val="606060"/>
          <w:spacing w:val="0"/>
          <w:sz w:val="27"/>
          <w:szCs w:val="27"/>
          <w:bdr w:val="none" w:color="auto" w:sz="0" w:space="0"/>
          <w:shd w:val="clear" w:fill="FFFFFF"/>
        </w:rPr>
        <w:t>申请人以欺骗、贿赂等不正当手段取得种畜禽生产经营许可证的，县级以上地方人民政府农业农村主管部门应当撤销种畜禽生产经营许可证；申请人在三年内不得再次申请种畜禽生产经营许可证。</w:t>
      </w:r>
    </w:p>
    <w:p w14:paraId="5A469F5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第二十条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县级以上人民政府农业农村主管部门应当加强种畜禽质量安全监督管理工作，组织开展种畜禽生产性能测定和遗传材料质量检验检测等监督抽查工作。发现有违法行为的，按照《中华人民共和国畜牧法》有关规定进行处理。</w:t>
      </w:r>
    </w:p>
    <w:p w14:paraId="75B522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第二十一条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种畜禽养殖场的养殖规模标准和生产经营许可审查规范，由农业农村部另行制定。</w:t>
      </w:r>
    </w:p>
    <w:p w14:paraId="55045D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640"/>
        <w:rPr>
          <w:rFonts w:hint="default" w:ascii="Tahoma" w:hAnsi="Tahoma" w:eastAsia="Tahoma" w:cs="Tahoma"/>
          <w:i w:val="0"/>
          <w:iCs w:val="0"/>
          <w:caps w:val="0"/>
          <w:color w:val="606060"/>
          <w:spacing w:val="0"/>
          <w:sz w:val="19"/>
          <w:szCs w:val="19"/>
        </w:rPr>
      </w:pPr>
      <w:r>
        <w:rPr>
          <w:rFonts w:hint="eastAsia" w:ascii="黑体" w:hAnsi="宋体" w:eastAsia="黑体" w:cs="黑体"/>
          <w:i w:val="0"/>
          <w:iCs w:val="0"/>
          <w:caps w:val="0"/>
          <w:color w:val="606060"/>
          <w:spacing w:val="0"/>
          <w:sz w:val="27"/>
          <w:szCs w:val="27"/>
          <w:bdr w:val="none" w:color="auto" w:sz="0" w:space="0"/>
          <w:shd w:val="clear" w:fill="FFFFFF"/>
        </w:rPr>
        <w:t>第二十二条</w:t>
      </w: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本办法自</w:t>
      </w:r>
      <w:r>
        <w:rPr>
          <w:rFonts w:hint="default" w:ascii="Tahoma" w:hAnsi="Tahoma" w:eastAsia="Tahoma" w:cs="Tahoma"/>
          <w:i w:val="0"/>
          <w:iCs w:val="0"/>
          <w:caps w:val="0"/>
          <w:color w:val="606060"/>
          <w:spacing w:val="0"/>
          <w:sz w:val="27"/>
          <w:szCs w:val="27"/>
          <w:bdr w:val="none" w:color="auto" w:sz="0" w:space="0"/>
          <w:shd w:val="clear" w:fill="FFFFFF"/>
        </w:rPr>
        <w:t>2025</w:t>
      </w:r>
      <w:r>
        <w:rPr>
          <w:rFonts w:hint="eastAsia" w:ascii="仿宋_GB2312" w:hAnsi="Tahoma" w:eastAsia="仿宋_GB2312" w:cs="仿宋_GB2312"/>
          <w:i w:val="0"/>
          <w:iCs w:val="0"/>
          <w:caps w:val="0"/>
          <w:color w:val="606060"/>
          <w:spacing w:val="0"/>
          <w:sz w:val="27"/>
          <w:szCs w:val="27"/>
          <w:bdr w:val="none" w:color="auto" w:sz="0" w:space="0"/>
          <w:shd w:val="clear" w:fill="FFFFFF"/>
        </w:rPr>
        <w:t>年</w:t>
      </w:r>
      <w:r>
        <w:rPr>
          <w:rFonts w:hint="default" w:ascii="Tahoma" w:hAnsi="Tahoma" w:eastAsia="Tahoma" w:cs="Tahoma"/>
          <w:i w:val="0"/>
          <w:iCs w:val="0"/>
          <w:caps w:val="0"/>
          <w:color w:val="606060"/>
          <w:spacing w:val="0"/>
          <w:sz w:val="27"/>
          <w:szCs w:val="27"/>
          <w:bdr w:val="none" w:color="auto" w:sz="0" w:space="0"/>
          <w:shd w:val="clear" w:fill="FFFFFF"/>
        </w:rPr>
        <w:t>7</w:t>
      </w:r>
      <w:r>
        <w:rPr>
          <w:rFonts w:hint="eastAsia" w:ascii="仿宋_GB2312" w:hAnsi="Tahoma" w:eastAsia="仿宋_GB2312" w:cs="仿宋_GB2312"/>
          <w:i w:val="0"/>
          <w:iCs w:val="0"/>
          <w:caps w:val="0"/>
          <w:color w:val="606060"/>
          <w:spacing w:val="0"/>
          <w:sz w:val="27"/>
          <w:szCs w:val="27"/>
          <w:bdr w:val="none" w:color="auto" w:sz="0" w:space="0"/>
          <w:shd w:val="clear" w:fill="FFFFFF"/>
        </w:rPr>
        <w:t>月</w:t>
      </w:r>
      <w:r>
        <w:rPr>
          <w:rFonts w:hint="default" w:ascii="Tahoma" w:hAnsi="Tahoma" w:eastAsia="Tahoma" w:cs="Tahoma"/>
          <w:i w:val="0"/>
          <w:iCs w:val="0"/>
          <w:caps w:val="0"/>
          <w:color w:val="606060"/>
          <w:spacing w:val="0"/>
          <w:sz w:val="27"/>
          <w:szCs w:val="27"/>
          <w:bdr w:val="none" w:color="auto" w:sz="0" w:space="0"/>
          <w:shd w:val="clear" w:fill="FFFFFF"/>
        </w:rPr>
        <w:t>1</w:t>
      </w:r>
      <w:r>
        <w:rPr>
          <w:rFonts w:hint="eastAsia" w:ascii="仿宋_GB2312" w:hAnsi="Tahoma" w:eastAsia="仿宋_GB2312" w:cs="仿宋_GB2312"/>
          <w:i w:val="0"/>
          <w:iCs w:val="0"/>
          <w:caps w:val="0"/>
          <w:color w:val="606060"/>
          <w:spacing w:val="0"/>
          <w:sz w:val="27"/>
          <w:szCs w:val="27"/>
          <w:bdr w:val="none" w:color="auto" w:sz="0" w:space="0"/>
          <w:shd w:val="clear" w:fill="FFFFFF"/>
        </w:rPr>
        <w:t>日起施行。原农业部</w:t>
      </w:r>
      <w:r>
        <w:rPr>
          <w:rFonts w:hint="default" w:ascii="Tahoma" w:hAnsi="Tahoma" w:eastAsia="Tahoma" w:cs="Tahoma"/>
          <w:i w:val="0"/>
          <w:iCs w:val="0"/>
          <w:caps w:val="0"/>
          <w:color w:val="606060"/>
          <w:spacing w:val="0"/>
          <w:sz w:val="27"/>
          <w:szCs w:val="27"/>
          <w:bdr w:val="none" w:color="auto" w:sz="0" w:space="0"/>
          <w:shd w:val="clear" w:fill="FFFFFF"/>
        </w:rPr>
        <w:t>2010</w:t>
      </w:r>
      <w:r>
        <w:rPr>
          <w:rFonts w:hint="eastAsia" w:ascii="仿宋_GB2312" w:hAnsi="Tahoma" w:eastAsia="仿宋_GB2312" w:cs="仿宋_GB2312"/>
          <w:i w:val="0"/>
          <w:iCs w:val="0"/>
          <w:caps w:val="0"/>
          <w:color w:val="606060"/>
          <w:spacing w:val="0"/>
          <w:sz w:val="27"/>
          <w:szCs w:val="27"/>
          <w:bdr w:val="none" w:color="auto" w:sz="0" w:space="0"/>
          <w:shd w:val="clear" w:fill="FFFFFF"/>
        </w:rPr>
        <w:t>年</w:t>
      </w:r>
      <w:r>
        <w:rPr>
          <w:rFonts w:hint="default" w:ascii="Tahoma" w:hAnsi="Tahoma" w:eastAsia="Tahoma" w:cs="Tahoma"/>
          <w:i w:val="0"/>
          <w:iCs w:val="0"/>
          <w:caps w:val="0"/>
          <w:color w:val="606060"/>
          <w:spacing w:val="0"/>
          <w:sz w:val="27"/>
          <w:szCs w:val="27"/>
          <w:bdr w:val="none" w:color="auto" w:sz="0" w:space="0"/>
          <w:shd w:val="clear" w:fill="FFFFFF"/>
        </w:rPr>
        <w:t>1</w:t>
      </w:r>
      <w:r>
        <w:rPr>
          <w:rFonts w:hint="eastAsia" w:ascii="仿宋_GB2312" w:hAnsi="Tahoma" w:eastAsia="仿宋_GB2312" w:cs="仿宋_GB2312"/>
          <w:i w:val="0"/>
          <w:iCs w:val="0"/>
          <w:caps w:val="0"/>
          <w:color w:val="606060"/>
          <w:spacing w:val="0"/>
          <w:sz w:val="27"/>
          <w:szCs w:val="27"/>
          <w:bdr w:val="none" w:color="auto" w:sz="0" w:space="0"/>
          <w:shd w:val="clear" w:fill="FFFFFF"/>
        </w:rPr>
        <w:t>月</w:t>
      </w:r>
      <w:r>
        <w:rPr>
          <w:rFonts w:hint="default" w:ascii="Tahoma" w:hAnsi="Tahoma" w:eastAsia="Tahoma" w:cs="Tahoma"/>
          <w:i w:val="0"/>
          <w:iCs w:val="0"/>
          <w:caps w:val="0"/>
          <w:color w:val="606060"/>
          <w:spacing w:val="0"/>
          <w:sz w:val="27"/>
          <w:szCs w:val="27"/>
          <w:bdr w:val="none" w:color="auto" w:sz="0" w:space="0"/>
          <w:shd w:val="clear" w:fill="FFFFFF"/>
        </w:rPr>
        <w:t>21</w:t>
      </w:r>
      <w:r>
        <w:rPr>
          <w:rFonts w:hint="eastAsia" w:ascii="仿宋_GB2312" w:hAnsi="Tahoma" w:eastAsia="仿宋_GB2312" w:cs="仿宋_GB2312"/>
          <w:i w:val="0"/>
          <w:iCs w:val="0"/>
          <w:caps w:val="0"/>
          <w:color w:val="606060"/>
          <w:spacing w:val="0"/>
          <w:sz w:val="27"/>
          <w:szCs w:val="27"/>
          <w:bdr w:val="none" w:color="auto" w:sz="0" w:space="0"/>
          <w:shd w:val="clear" w:fill="FFFFFF"/>
        </w:rPr>
        <w:t>日发布、</w:t>
      </w:r>
      <w:r>
        <w:rPr>
          <w:rFonts w:hint="default" w:ascii="Tahoma" w:hAnsi="Tahoma" w:eastAsia="Tahoma" w:cs="Tahoma"/>
          <w:i w:val="0"/>
          <w:iCs w:val="0"/>
          <w:caps w:val="0"/>
          <w:color w:val="606060"/>
          <w:spacing w:val="0"/>
          <w:sz w:val="27"/>
          <w:szCs w:val="27"/>
          <w:bdr w:val="none" w:color="auto" w:sz="0" w:space="0"/>
          <w:shd w:val="clear" w:fill="FFFFFF"/>
        </w:rPr>
        <w:t>2015</w:t>
      </w:r>
      <w:r>
        <w:rPr>
          <w:rFonts w:hint="eastAsia" w:ascii="仿宋_GB2312" w:hAnsi="Tahoma" w:eastAsia="仿宋_GB2312" w:cs="仿宋_GB2312"/>
          <w:i w:val="0"/>
          <w:iCs w:val="0"/>
          <w:caps w:val="0"/>
          <w:color w:val="606060"/>
          <w:spacing w:val="0"/>
          <w:sz w:val="27"/>
          <w:szCs w:val="27"/>
          <w:bdr w:val="none" w:color="auto" w:sz="0" w:space="0"/>
          <w:shd w:val="clear" w:fill="FFFFFF"/>
        </w:rPr>
        <w:t>年</w:t>
      </w:r>
      <w:r>
        <w:rPr>
          <w:rFonts w:hint="default" w:ascii="Tahoma" w:hAnsi="Tahoma" w:eastAsia="Tahoma" w:cs="Tahoma"/>
          <w:i w:val="0"/>
          <w:iCs w:val="0"/>
          <w:caps w:val="0"/>
          <w:color w:val="606060"/>
          <w:spacing w:val="0"/>
          <w:sz w:val="27"/>
          <w:szCs w:val="27"/>
          <w:bdr w:val="none" w:color="auto" w:sz="0" w:space="0"/>
          <w:shd w:val="clear" w:fill="FFFFFF"/>
        </w:rPr>
        <w:t>10</w:t>
      </w:r>
      <w:r>
        <w:rPr>
          <w:rFonts w:hint="eastAsia" w:ascii="仿宋_GB2312" w:hAnsi="Tahoma" w:eastAsia="仿宋_GB2312" w:cs="仿宋_GB2312"/>
          <w:i w:val="0"/>
          <w:iCs w:val="0"/>
          <w:caps w:val="0"/>
          <w:color w:val="606060"/>
          <w:spacing w:val="0"/>
          <w:sz w:val="27"/>
          <w:szCs w:val="27"/>
          <w:bdr w:val="none" w:color="auto" w:sz="0" w:space="0"/>
          <w:shd w:val="clear" w:fill="FFFFFF"/>
        </w:rPr>
        <w:t>月</w:t>
      </w:r>
      <w:r>
        <w:rPr>
          <w:rFonts w:hint="default" w:ascii="Tahoma" w:hAnsi="Tahoma" w:eastAsia="Tahoma" w:cs="Tahoma"/>
          <w:i w:val="0"/>
          <w:iCs w:val="0"/>
          <w:caps w:val="0"/>
          <w:color w:val="606060"/>
          <w:spacing w:val="0"/>
          <w:sz w:val="27"/>
          <w:szCs w:val="27"/>
          <w:bdr w:val="none" w:color="auto" w:sz="0" w:space="0"/>
          <w:shd w:val="clear" w:fill="FFFFFF"/>
        </w:rPr>
        <w:t>30</w:t>
      </w:r>
      <w:r>
        <w:rPr>
          <w:rFonts w:hint="eastAsia" w:ascii="仿宋_GB2312" w:hAnsi="Tahoma" w:eastAsia="仿宋_GB2312" w:cs="仿宋_GB2312"/>
          <w:i w:val="0"/>
          <w:iCs w:val="0"/>
          <w:caps w:val="0"/>
          <w:color w:val="606060"/>
          <w:spacing w:val="0"/>
          <w:sz w:val="27"/>
          <w:szCs w:val="27"/>
          <w:bdr w:val="none" w:color="auto" w:sz="0" w:space="0"/>
          <w:shd w:val="clear" w:fill="FFFFFF"/>
        </w:rPr>
        <w:t>日修订的《家畜遗传材料生产许可办法》（农业部令</w:t>
      </w:r>
      <w:r>
        <w:rPr>
          <w:rFonts w:hint="default" w:ascii="Tahoma" w:hAnsi="Tahoma" w:eastAsia="Tahoma" w:cs="Tahoma"/>
          <w:i w:val="0"/>
          <w:iCs w:val="0"/>
          <w:caps w:val="0"/>
          <w:color w:val="606060"/>
          <w:spacing w:val="0"/>
          <w:sz w:val="27"/>
          <w:szCs w:val="27"/>
          <w:bdr w:val="none" w:color="auto" w:sz="0" w:space="0"/>
          <w:shd w:val="clear" w:fill="FFFFFF"/>
        </w:rPr>
        <w:t>2015</w:t>
      </w:r>
      <w:r>
        <w:rPr>
          <w:rFonts w:hint="eastAsia" w:ascii="仿宋_GB2312" w:hAnsi="Tahoma" w:eastAsia="仿宋_GB2312" w:cs="仿宋_GB2312"/>
          <w:i w:val="0"/>
          <w:iCs w:val="0"/>
          <w:caps w:val="0"/>
          <w:color w:val="606060"/>
          <w:spacing w:val="0"/>
          <w:sz w:val="27"/>
          <w:szCs w:val="27"/>
          <w:bdr w:val="none" w:color="auto" w:sz="0" w:space="0"/>
          <w:shd w:val="clear" w:fill="FFFFFF"/>
        </w:rPr>
        <w:t>年第</w:t>
      </w:r>
      <w:r>
        <w:rPr>
          <w:rFonts w:hint="default" w:ascii="Tahoma" w:hAnsi="Tahoma" w:eastAsia="Tahoma" w:cs="Tahoma"/>
          <w:i w:val="0"/>
          <w:iCs w:val="0"/>
          <w:caps w:val="0"/>
          <w:color w:val="606060"/>
          <w:spacing w:val="0"/>
          <w:sz w:val="27"/>
          <w:szCs w:val="27"/>
          <w:bdr w:val="none" w:color="auto" w:sz="0" w:space="0"/>
          <w:shd w:val="clear" w:fill="FFFFFF"/>
        </w:rPr>
        <w:t>3</w:t>
      </w:r>
      <w:r>
        <w:rPr>
          <w:rFonts w:hint="eastAsia" w:ascii="仿宋_GB2312" w:hAnsi="Tahoma" w:eastAsia="仿宋_GB2312" w:cs="仿宋_GB2312"/>
          <w:i w:val="0"/>
          <w:iCs w:val="0"/>
          <w:caps w:val="0"/>
          <w:color w:val="606060"/>
          <w:spacing w:val="0"/>
          <w:sz w:val="27"/>
          <w:szCs w:val="27"/>
          <w:bdr w:val="none" w:color="auto" w:sz="0" w:space="0"/>
          <w:shd w:val="clear" w:fill="FFFFFF"/>
        </w:rPr>
        <w:t>号）同时废止。</w:t>
      </w:r>
    </w:p>
    <w:p w14:paraId="1B2052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 w:beforeAutospacing="0" w:after="60" w:afterAutospacing="0"/>
        <w:ind w:left="0" w:right="0" w:firstLine="0"/>
        <w:rPr>
          <w:rFonts w:hint="default" w:ascii="Tahoma" w:hAnsi="Tahoma" w:eastAsia="Tahoma" w:cs="Tahoma"/>
          <w:i w:val="0"/>
          <w:iCs w:val="0"/>
          <w:caps w:val="0"/>
          <w:color w:val="606060"/>
          <w:spacing w:val="0"/>
          <w:sz w:val="19"/>
          <w:szCs w:val="19"/>
        </w:rPr>
      </w:pPr>
      <w:r>
        <w:rPr>
          <w:rFonts w:hint="default" w:ascii="Tahoma" w:hAnsi="Tahoma" w:eastAsia="Tahoma" w:cs="Tahoma"/>
          <w:i w:val="0"/>
          <w:iCs w:val="0"/>
          <w:caps w:val="0"/>
          <w:color w:val="606060"/>
          <w:spacing w:val="0"/>
          <w:sz w:val="27"/>
          <w:szCs w:val="27"/>
          <w:bdr w:val="none" w:color="auto" w:sz="0" w:space="0"/>
          <w:shd w:val="clear" w:fill="FFFFFF"/>
        </w:rPr>
        <w:t>    </w:t>
      </w:r>
      <w:r>
        <w:rPr>
          <w:rFonts w:hint="eastAsia" w:ascii="仿宋_GB2312" w:hAnsi="Tahoma" w:eastAsia="仿宋_GB2312" w:cs="仿宋_GB2312"/>
          <w:i w:val="0"/>
          <w:iCs w:val="0"/>
          <w:caps w:val="0"/>
          <w:color w:val="606060"/>
          <w:spacing w:val="0"/>
          <w:sz w:val="27"/>
          <w:szCs w:val="27"/>
          <w:bdr w:val="none" w:color="auto" w:sz="0" w:space="0"/>
          <w:shd w:val="clear" w:fill="FFFFFF"/>
        </w:rPr>
        <w:t>本办法实施之前取得的种畜禽生产经营许可证有效期不变，届满需要继续生产经营的，按照本办法办理。</w:t>
      </w:r>
    </w:p>
    <w:p w14:paraId="1DFFCD8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26601"/>
    <w:rsid w:val="06E26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2025-04-24T03:27:00Z</dcterms:created>
  <dc:creator>小鲁超棒哒~</dc:creator>
  <cp:lastModifiedBy>小鲁超棒哒~</cp:lastModifiedBy>
  <dcterms:modified xsi:type="dcterms:W3CDTF">2025-04-24T03:28:15Z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826E5B17965C46E2BEDBCD7F537AAAB5_11</vt:lpwstr>
  </property>
  <property fmtid="{D5CDD505-2E9C-101B-9397-08002B2CF9AE}" pid="4" name="KSOTemplateDocerSaveRecord">
    <vt:lpwstr>eyJoZGlkIjoiODYxMjQ5MGNhMzBlMGMxYzE0NWNhYzU2NjUxNjdkMmYiLCJ1c2VySWQiOiIyMjEzNDA1MjUifQ==</vt:lpwstr>
  </property>
</Properties>
</file>