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A59A">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方正小标宋简体" w:eastAsia="方正小标宋简体" w:cs="Times New Roman" w:hAnsiTheme="majorEastAsia"/>
          <w:kern w:val="2"/>
          <w:sz w:val="44"/>
          <w:szCs w:val="44"/>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r>
        <w:rPr>
          <w:rFonts w:hint="eastAsia" w:ascii="方正小标宋简体" w:eastAsia="方正小标宋简体" w:cs="Times New Roman" w:hAnsiTheme="majorEastAsia"/>
          <w:kern w:val="2"/>
          <w:sz w:val="44"/>
          <w:szCs w:val="44"/>
          <w:lang w:val="en-US" w:eastAsia="zh-CN" w:bidi="ar-SA"/>
        </w:rPr>
        <w:t>海安市应急管理局</w:t>
      </w:r>
    </w:p>
    <w:p w14:paraId="224559E5">
      <w:pPr>
        <w:pStyle w:val="2"/>
        <w:keepNext w:val="0"/>
        <w:keepLines w:val="0"/>
        <w:pageBreakBefore w:val="0"/>
        <w:kinsoku/>
        <w:wordWrap/>
        <w:overflowPunct/>
        <w:topLinePunct w:val="0"/>
        <w:autoSpaceDE/>
        <w:autoSpaceDN/>
        <w:bidi w:val="0"/>
        <w:adjustRightInd/>
        <w:snapToGrid/>
        <w:spacing w:line="590" w:lineRule="exact"/>
        <w:ind w:left="0" w:leftChars="0" w:firstLine="1320" w:firstLineChars="300"/>
        <w:jc w:val="both"/>
        <w:textAlignment w:val="auto"/>
        <w:rPr>
          <w:rFonts w:hint="eastAsia" w:ascii="方正小标宋简体" w:eastAsia="方正小标宋简体" w:cs="Times New Roman" w:hAnsiTheme="majorEastAsia"/>
          <w:kern w:val="2"/>
          <w:sz w:val="44"/>
          <w:szCs w:val="44"/>
          <w:lang w:val="en-US" w:eastAsia="zh-CN" w:bidi="ar-SA"/>
        </w:rPr>
      </w:pPr>
      <w:r>
        <w:rPr>
          <w:rFonts w:hint="eastAsia" w:ascii="方正小标宋简体" w:eastAsia="方正小标宋简体" w:cs="Times New Roman" w:hAnsiTheme="majorEastAsia"/>
          <w:kern w:val="2"/>
          <w:sz w:val="44"/>
          <w:szCs w:val="44"/>
          <w:lang w:val="en-US" w:eastAsia="zh-CN" w:bidi="ar-SA"/>
        </w:rPr>
        <w:t>2025年度法治政府建设情况报告</w:t>
      </w:r>
    </w:p>
    <w:p w14:paraId="6B24AA1B">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2025年，在市委、市政府的正确领导下，市应急管理局坚持以习近平新时代中国特色社会主义思想为指导，深入贯彻习近平法治思想，紧紧围绕全市中心工作，扎实推进法治政府建设各项工作，不断提升依法应急、依法治安能力和水平，为全市高质量发展营造了安全稳定的社会环境。现将我局2025年度法治政府建设情况报告如下：</w:t>
      </w:r>
    </w:p>
    <w:p w14:paraId="1A912652">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shd w:val="clear" w:color="auto" w:fill="FFFFFF"/>
          <w:lang w:val="en-US" w:eastAsia="zh-CN" w:bidi="ar-SA"/>
        </w:rPr>
        <w:t>一、本年度推进法治政府建设的主要举措与实践成效</w:t>
      </w:r>
    </w:p>
    <w:p w14:paraId="17CBA821">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（一）聚焦法定职责履行，依法行政效能显著提升。</w:t>
      </w:r>
    </w:p>
    <w:p w14:paraId="5B033AC5">
      <w:pPr>
        <w:pStyle w:val="2"/>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坚持将法治建设贯穿于应急管理工作全过程、各方面。</w:t>
      </w:r>
      <w:r>
        <w:rPr>
          <w:rFonts w:hint="eastAsia" w:ascii="仿宋_GB2312" w:hAnsi="仿宋_GB2312" w:eastAsia="仿宋_GB2312" w:cs="仿宋_GB2312"/>
          <w:b/>
          <w:bCs/>
          <w:color w:val="auto"/>
          <w:kern w:val="0"/>
          <w:sz w:val="32"/>
          <w:szCs w:val="32"/>
          <w:lang w:val="en-US" w:eastAsia="zh-CN" w:bidi="ar-SA"/>
        </w:rPr>
        <w:t>一是依法科学应对重大突发事件。</w:t>
      </w:r>
      <w:r>
        <w:rPr>
          <w:rFonts w:hint="eastAsia" w:ascii="仿宋_GB2312" w:hAnsi="仿宋_GB2312" w:eastAsia="仿宋_GB2312" w:cs="仿宋_GB2312"/>
          <w:color w:val="auto"/>
          <w:kern w:val="0"/>
          <w:sz w:val="32"/>
          <w:szCs w:val="32"/>
          <w:lang w:val="en-US" w:eastAsia="zh-CN" w:bidi="ar-SA"/>
        </w:rPr>
        <w:t>修订完善《海安市自然灾害救助应急预案》等市级预案，更新基层转移安置清单。建立直达基层的灾害预警“叫应”机制，全年发布《气象灾害应对工作提示单》23期，成功应对多轮强降雨过程，主汛期实现“零决堤、零亡人”。全年组织开展各类实战演练560余场次，参演1.15万人次，应急处置能力经受实战检验。</w:t>
      </w:r>
      <w:r>
        <w:rPr>
          <w:rFonts w:hint="eastAsia" w:ascii="仿宋_GB2312" w:hAnsi="仿宋_GB2312" w:eastAsia="仿宋_GB2312" w:cs="仿宋_GB2312"/>
          <w:b/>
          <w:bCs/>
          <w:color w:val="auto"/>
          <w:kern w:val="0"/>
          <w:sz w:val="32"/>
          <w:szCs w:val="32"/>
          <w:lang w:val="en-US" w:eastAsia="zh-CN" w:bidi="ar-SA"/>
        </w:rPr>
        <w:t>二是依法化解社会矛盾纠纷。</w:t>
      </w:r>
      <w:r>
        <w:rPr>
          <w:rFonts w:hint="eastAsia" w:ascii="仿宋_GB2312" w:hAnsi="仿宋_GB2312" w:eastAsia="仿宋_GB2312" w:cs="仿宋_GB2312"/>
          <w:color w:val="auto"/>
          <w:kern w:val="0"/>
          <w:sz w:val="32"/>
          <w:szCs w:val="32"/>
          <w:lang w:val="en-US" w:eastAsia="zh-CN" w:bidi="ar-SA"/>
        </w:rPr>
        <w:t>严格执行《江苏省生产经营单位安全风险管理条例》，指导5391家工贸企业100%完成安全风险报告。建立并全面推广事故隐患内部报告奖励机制，覆盖全市5291家重点企业，员工报告隐患11594项，发放奖励159.97万元，有效将矛盾化解在基层、化解在萌芽状态。高度重视举报投诉，做到快速响应、依法处置、及时反馈，引导社会力量依法参与监督。</w:t>
      </w:r>
      <w:r>
        <w:rPr>
          <w:rFonts w:hint="eastAsia" w:ascii="仿宋_GB2312" w:hAnsi="仿宋_GB2312" w:eastAsia="仿宋_GB2312" w:cs="仿宋_GB2312"/>
          <w:b/>
          <w:bCs/>
          <w:color w:val="auto"/>
          <w:kern w:val="0"/>
          <w:sz w:val="32"/>
          <w:szCs w:val="32"/>
          <w:lang w:val="en-US" w:eastAsia="zh-CN" w:bidi="ar-SA"/>
        </w:rPr>
        <w:t>三是健全行政权力制约监督。</w:t>
      </w:r>
      <w:r>
        <w:rPr>
          <w:rFonts w:hint="eastAsia" w:ascii="仿宋_GB2312" w:hAnsi="仿宋_GB2312" w:eastAsia="仿宋_GB2312" w:cs="仿宋_GB2312"/>
          <w:color w:val="auto"/>
          <w:kern w:val="0"/>
          <w:sz w:val="32"/>
          <w:szCs w:val="32"/>
          <w:lang w:val="en-US" w:eastAsia="zh-CN" w:bidi="ar-SA"/>
        </w:rPr>
        <w:t>严格落实行政执法“三项制度”，深化“双随机、一公开”监管，规范行政处罚信息公示。强化事故调查处理的监督闭环，运用“三维溯源分析法”科学开展事故调查工作，严格确保按期办结；全面完成事故防范整改措施落实情况评估，深入总结分析共性规律，推动修订制度5项。</w:t>
      </w:r>
    </w:p>
    <w:p w14:paraId="507B7FE6">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（二）聚焦制度建设与科学决策，依法行政根基不断夯实。</w:t>
      </w:r>
    </w:p>
    <w:p w14:paraId="5374314E">
      <w:pPr>
        <w:pStyle w:val="2"/>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一是完善依法行政制度体系。</w:t>
      </w:r>
      <w:r>
        <w:rPr>
          <w:rFonts w:hint="eastAsia" w:ascii="仿宋_GB2312" w:hAnsi="仿宋_GB2312" w:eastAsia="仿宋_GB2312" w:cs="仿宋_GB2312"/>
          <w:color w:val="auto"/>
          <w:kern w:val="0"/>
          <w:sz w:val="32"/>
          <w:szCs w:val="32"/>
          <w:lang w:val="en-US" w:eastAsia="zh-CN" w:bidi="ar-SA"/>
        </w:rPr>
        <w:t>牵头制定并以市政府办公室名义印发《关于明确海安市一般生产安全事故有关部门牵头调查处理的通知》（海政办发〔2025〕24号），健全事故调查全链条责任机制。制定出台《海安市安全生产协作组管理办法》及工作指导意见，创新监管服务模式，组建182个协作组。在危化品、工贸等重点领域，推动建立“三清单一挂钩”、“五懂五会五能”、“厂中厂”租赁双方“双十二条”职责等一系列行之有效的工作机制。</w:t>
      </w:r>
      <w:r>
        <w:rPr>
          <w:rFonts w:hint="eastAsia" w:ascii="仿宋_GB2312" w:hAnsi="仿宋_GB2312" w:eastAsia="仿宋_GB2312" w:cs="仿宋_GB2312"/>
          <w:b/>
          <w:bCs/>
          <w:color w:val="auto"/>
          <w:kern w:val="0"/>
          <w:sz w:val="32"/>
          <w:szCs w:val="32"/>
          <w:lang w:val="en-US" w:eastAsia="zh-CN" w:bidi="ar-SA"/>
        </w:rPr>
        <w:t>二是推进依法科学民主决策。</w:t>
      </w:r>
      <w:r>
        <w:rPr>
          <w:rFonts w:hint="eastAsia" w:ascii="仿宋_GB2312" w:hAnsi="仿宋_GB2312" w:eastAsia="仿宋_GB2312" w:cs="仿宋_GB2312"/>
          <w:color w:val="auto"/>
          <w:kern w:val="0"/>
          <w:sz w:val="32"/>
          <w:szCs w:val="32"/>
          <w:lang w:val="en-US" w:eastAsia="zh-CN" w:bidi="ar-SA"/>
        </w:rPr>
        <w:t>严格落实重大行政决策程序规定，对涉及全市应急管理体系建设的重大规划、重要政策、重大项目，均履行公众参与、专家论证、风险评估、合法性审查、集体讨论决定等法定程序。局党委会议、局长办公会议常态化研究法治建设议题，确保决策依法合规。</w:t>
      </w:r>
    </w:p>
    <w:p w14:paraId="7DD88338">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（三）聚焦严格规范公正文明执法，监管执法水平持续提高。</w:t>
      </w:r>
    </w:p>
    <w:p w14:paraId="29E19130">
      <w:pPr>
        <w:pStyle w:val="2"/>
        <w:keepNext w:val="0"/>
        <w:keepLines w:val="0"/>
        <w:pageBreakBefore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一是创新执法模式与机制。</w:t>
      </w:r>
      <w:r>
        <w:rPr>
          <w:rFonts w:hint="eastAsia" w:ascii="仿宋_GB2312" w:hAnsi="仿宋_GB2312" w:eastAsia="仿宋_GB2312" w:cs="仿宋_GB2312"/>
          <w:color w:val="auto"/>
          <w:kern w:val="0"/>
          <w:sz w:val="32"/>
          <w:szCs w:val="32"/>
          <w:lang w:val="en-US" w:eastAsia="zh-CN" w:bidi="ar-SA"/>
        </w:rPr>
        <w:t>全面推行“三会一单”事前告知会、事中启动会、事后警示教育会、公示检查事项清单执法模式和“一案五制”清单提醒、典型案件警示、被处罚企业承诺、定期回访、重点监管工作法，实现执法与普法、处罚与教育、监管与服务的有机统一。2025年依法办理不予处罚案件13件，体现执法温度与尺度。自2021年以来，我局未发生行政处罚案件因行政复议被撤销或行政诉讼败诉的情况，行政执法权威性和公信力持续提升。</w:t>
      </w:r>
      <w:r>
        <w:rPr>
          <w:rFonts w:hint="eastAsia" w:ascii="仿宋_GB2312" w:hAnsi="仿宋_GB2312" w:eastAsia="仿宋_GB2312" w:cs="仿宋_GB2312"/>
          <w:b/>
          <w:bCs/>
          <w:color w:val="auto"/>
          <w:kern w:val="0"/>
          <w:sz w:val="32"/>
          <w:szCs w:val="32"/>
          <w:lang w:val="en-US" w:eastAsia="zh-CN" w:bidi="ar-SA"/>
        </w:rPr>
        <w:t>二是突出重点领域精准监管。</w:t>
      </w:r>
      <w:r>
        <w:rPr>
          <w:rFonts w:hint="eastAsia" w:ascii="仿宋_GB2312" w:hAnsi="仿宋_GB2312" w:eastAsia="仿宋_GB2312" w:cs="仿宋_GB2312"/>
          <w:color w:val="auto"/>
          <w:kern w:val="0"/>
          <w:sz w:val="32"/>
          <w:szCs w:val="32"/>
          <w:lang w:val="en-US" w:eastAsia="zh-CN" w:bidi="ar-SA"/>
        </w:rPr>
        <w:t>在危险化学品领域，深化“打非治违”，累计摸排企业4380家，严打非法储存等行为，全年检查化工（危化品）企业92家次，整改隐患985条。在工贸行业，纵深推进“厂中厂”安全专项整治，排查出租方620个、承租企业1791家，整改隐患14133项，全面实现安全协议签订、统一协调管理、风险信息公示、报警设施安装“四个100%”。推动213家企业完成有限空间“上锁设柜”物理隔离措施，促进行业领域本质安全水平整体提升。</w:t>
      </w:r>
      <w:r>
        <w:rPr>
          <w:rFonts w:hint="eastAsia" w:ascii="仿宋_GB2312" w:hAnsi="仿宋_GB2312" w:eastAsia="仿宋_GB2312" w:cs="仿宋_GB2312"/>
          <w:b/>
          <w:bCs/>
          <w:color w:val="auto"/>
          <w:kern w:val="0"/>
          <w:sz w:val="32"/>
          <w:szCs w:val="32"/>
          <w:lang w:val="en-US" w:eastAsia="zh-CN" w:bidi="ar-SA"/>
        </w:rPr>
        <w:t>三是强化执法规范化建设。</w:t>
      </w:r>
      <w:r>
        <w:rPr>
          <w:rFonts w:hint="eastAsia" w:ascii="仿宋_GB2312" w:hAnsi="仿宋_GB2312" w:eastAsia="仿宋_GB2312" w:cs="仿宋_GB2312"/>
          <w:color w:val="auto"/>
          <w:kern w:val="0"/>
          <w:sz w:val="32"/>
          <w:szCs w:val="32"/>
          <w:lang w:val="en-US" w:eastAsia="zh-CN" w:bidi="ar-SA"/>
        </w:rPr>
        <w:t>开展执法人员常态化培训和能力测试，推行轮流授课制度。在执法全流程主动说明事理、法理，推行全程说理式执法。运用无人机等技术提升取证科学性，依法加大事故案件查办力度，完善行刑衔接机制确保责任落实。</w:t>
      </w:r>
    </w:p>
    <w:p w14:paraId="71692ABD">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（四）聚焦数字赋能与普治结合，法治政府建设动力增强。</w:t>
      </w:r>
    </w:p>
    <w:p w14:paraId="6663BFBE">
      <w:pPr>
        <w:pStyle w:val="2"/>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一是扎实推进数字法治政府建设。</w:t>
      </w:r>
      <w:r>
        <w:rPr>
          <w:rFonts w:hint="eastAsia" w:ascii="仿宋_GB2312" w:hAnsi="仿宋_GB2312" w:eastAsia="仿宋_GB2312" w:cs="仿宋_GB2312"/>
          <w:color w:val="auto"/>
          <w:kern w:val="0"/>
          <w:sz w:val="32"/>
          <w:szCs w:val="32"/>
          <w:lang w:val="en-US" w:eastAsia="zh-CN" w:bidi="ar-SA"/>
        </w:rPr>
        <w:t>完成应急管理指挥信息系统二期建设，横向接入气象、水利等多部门数据，实现风险实时监测预警。开发应用应急物资APP，实现物资智能化管理。在危化品领域，深化“工业互联网+安全生产”和双重预防机制数字化建设，重大危险源在线监测预警率达100%，特殊作业全面推行电子票证管理。</w:t>
      </w:r>
      <w:r>
        <w:rPr>
          <w:rFonts w:hint="eastAsia" w:ascii="仿宋_GB2312" w:hAnsi="仿宋_GB2312" w:eastAsia="仿宋_GB2312" w:cs="仿宋_GB2312"/>
          <w:b/>
          <w:bCs/>
          <w:color w:val="auto"/>
          <w:kern w:val="0"/>
          <w:sz w:val="32"/>
          <w:szCs w:val="32"/>
          <w:lang w:val="en-US" w:eastAsia="zh-CN" w:bidi="ar-SA"/>
        </w:rPr>
        <w:t>二是构建全民普法大格局。</w:t>
      </w:r>
      <w:r>
        <w:rPr>
          <w:rFonts w:hint="eastAsia" w:ascii="仿宋_GB2312" w:hAnsi="仿宋_GB2312" w:eastAsia="仿宋_GB2312" w:cs="仿宋_GB2312"/>
          <w:color w:val="auto"/>
          <w:kern w:val="0"/>
          <w:sz w:val="32"/>
          <w:szCs w:val="32"/>
          <w:lang w:val="en-US" w:eastAsia="zh-CN" w:bidi="ar-SA"/>
        </w:rPr>
        <w:t>严格落实“谁执法谁普法”责任制，动态更新普法责任清单。紧抓“安全生产月”“全国防灾减灾日”等重要节点，开展安全宣传“五进”等活动136场次，覆盖群众超6万人次。精准实施分类普法，举办全市应急管理干部法治能力提升班，深入企业开展“以案释法”和“专家检查+现场培训”指导服务，普法针对性和实效性明显增强。</w:t>
      </w:r>
    </w:p>
    <w:p w14:paraId="1262613A">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shd w:val="clear" w:color="auto" w:fill="FFFFFF"/>
          <w:lang w:val="en-US" w:eastAsia="zh-CN" w:bidi="ar-SA"/>
        </w:rPr>
        <w:t>二、单位主要负责人履行推进法治建设第一责任人职责情况</w:t>
      </w:r>
    </w:p>
    <w:p w14:paraId="49954FDA">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局主要负责人严格履行法治建设第一责任人职责：</w:t>
      </w:r>
      <w:r>
        <w:rPr>
          <w:rFonts w:hint="eastAsia" w:ascii="仿宋_GB2312" w:hAnsi="仿宋_GB2312" w:eastAsia="仿宋_GB2312" w:cs="仿宋_GB2312"/>
          <w:b/>
          <w:bCs/>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US" w:eastAsia="zh-CN" w:bidi="ar-SA"/>
        </w:rPr>
        <w:t>坚持高位部署推动，将法治建设纳入全局年度工作要点，主持召开党委会议专题研究法治工作，确保与业务工作同部署、同推进、同考核。</w:t>
      </w:r>
      <w:r>
        <w:rPr>
          <w:rFonts w:hint="eastAsia" w:ascii="仿宋_GB2312" w:hAnsi="仿宋_GB2312" w:eastAsia="仿宋_GB2312" w:cs="仿宋_GB2312"/>
          <w:b/>
          <w:bCs/>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坚持带头尊法学法，主持党委理论学习中心组专题学习习近平法治思想及应急管理法律法规，带动全局形成浓厚学法氛围。</w:t>
      </w:r>
      <w:r>
        <w:rPr>
          <w:rFonts w:hint="eastAsia" w:ascii="仿宋_GB2312" w:hAnsi="仿宋_GB2312" w:eastAsia="仿宋_GB2312" w:cs="仿宋_GB2312"/>
          <w:b/>
          <w:bCs/>
          <w:color w:val="auto"/>
          <w:kern w:val="0"/>
          <w:sz w:val="32"/>
          <w:szCs w:val="32"/>
          <w:lang w:val="en-US" w:eastAsia="zh-CN" w:bidi="ar-SA"/>
        </w:rPr>
        <w:t>三是</w:t>
      </w:r>
      <w:r>
        <w:rPr>
          <w:rFonts w:hint="eastAsia" w:ascii="仿宋_GB2312" w:hAnsi="仿宋_GB2312" w:eastAsia="仿宋_GB2312" w:cs="仿宋_GB2312"/>
          <w:color w:val="auto"/>
          <w:kern w:val="0"/>
          <w:sz w:val="32"/>
          <w:szCs w:val="32"/>
          <w:lang w:val="en-US" w:eastAsia="zh-CN" w:bidi="ar-SA"/>
        </w:rPr>
        <w:t>坚持严格依法决策，对涉及法治政府建设的重大事项、重要文件、重点案件，亲自过问、严格把关，确保决策程序合法、内容合规。</w:t>
      </w:r>
      <w:r>
        <w:rPr>
          <w:rFonts w:hint="eastAsia" w:ascii="仿宋_GB2312" w:hAnsi="仿宋_GB2312" w:eastAsia="仿宋_GB2312" w:cs="仿宋_GB2312"/>
          <w:b/>
          <w:bCs/>
          <w:color w:val="auto"/>
          <w:kern w:val="0"/>
          <w:sz w:val="32"/>
          <w:szCs w:val="32"/>
          <w:lang w:val="en-US" w:eastAsia="zh-CN" w:bidi="ar-SA"/>
        </w:rPr>
        <w:t>四是</w:t>
      </w:r>
      <w:r>
        <w:rPr>
          <w:rFonts w:hint="eastAsia" w:ascii="仿宋_GB2312" w:hAnsi="仿宋_GB2312" w:eastAsia="仿宋_GB2312" w:cs="仿宋_GB2312"/>
          <w:color w:val="auto"/>
          <w:kern w:val="0"/>
          <w:sz w:val="32"/>
          <w:szCs w:val="32"/>
          <w:lang w:val="en-US" w:eastAsia="zh-CN" w:bidi="ar-SA"/>
        </w:rPr>
        <w:t>坚持强化督办问效，定期听取法治建设工作汇报，督促班子成员落实“一岗双责”，并将履责情况纳入年度述职，有力保障了全局法治建设各项任务落地见效。</w:t>
      </w:r>
    </w:p>
    <w:p w14:paraId="5B1511C8">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黑体" w:hAnsi="黑体" w:eastAsia="黑体" w:cs="黑体"/>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r>
        <w:rPr>
          <w:rFonts w:hint="eastAsia" w:ascii="黑体" w:hAnsi="黑体" w:eastAsia="黑体" w:cs="黑体"/>
          <w:color w:val="auto"/>
          <w:kern w:val="0"/>
          <w:sz w:val="32"/>
          <w:szCs w:val="32"/>
          <w:shd w:val="clear" w:color="auto" w:fill="FFFFFF"/>
          <w:lang w:val="en-US" w:eastAsia="zh-CN" w:bidi="ar-SA"/>
        </w:rPr>
        <w:t xml:space="preserve">  三、工作中存在的不足及原因分析</w:t>
      </w:r>
    </w:p>
    <w:p w14:paraId="4B9FDBDD">
      <w:pPr>
        <w:pStyle w:val="2"/>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对照新时代法治政府建设的高标准、严要求，我局工作仍存在一些短板：</w:t>
      </w:r>
      <w:r>
        <w:rPr>
          <w:rFonts w:hint="eastAsia" w:ascii="仿宋_GB2312" w:hAnsi="仿宋_GB2312" w:eastAsia="仿宋_GB2312" w:cs="仿宋_GB2312"/>
          <w:b/>
          <w:bCs/>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US" w:eastAsia="zh-CN" w:bidi="ar-SA"/>
        </w:rPr>
        <w:t>运用法治思维深化改革、推动发展的能力有待加强，部分干部在复杂监管形势下，灵活运用法律手段破解难题的意识和能力需进一步提升。</w:t>
      </w:r>
      <w:r>
        <w:rPr>
          <w:rFonts w:hint="eastAsia" w:ascii="仿宋_GB2312" w:hAnsi="仿宋_GB2312" w:eastAsia="仿宋_GB2312" w:cs="仿宋_GB2312"/>
          <w:b/>
          <w:bCs/>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普法宣传的精准性和创新性有待增强，针对不同行业、不同人群的差异化普法方式和互动式普法手段不够丰富，普法实效有待深化。</w:t>
      </w:r>
      <w:r>
        <w:rPr>
          <w:rFonts w:hint="eastAsia" w:ascii="仿宋_GB2312" w:hAnsi="仿宋_GB2312" w:eastAsia="仿宋_GB2312" w:cs="仿宋_GB2312"/>
          <w:b/>
          <w:bCs/>
          <w:color w:val="auto"/>
          <w:kern w:val="0"/>
          <w:sz w:val="32"/>
          <w:szCs w:val="32"/>
          <w:lang w:val="en-US" w:eastAsia="zh-CN" w:bidi="ar-SA"/>
        </w:rPr>
        <w:t>三是</w:t>
      </w:r>
      <w:r>
        <w:rPr>
          <w:rFonts w:hint="eastAsia" w:ascii="仿宋_GB2312" w:hAnsi="仿宋_GB2312" w:eastAsia="仿宋_GB2312" w:cs="仿宋_GB2312"/>
          <w:color w:val="auto"/>
          <w:kern w:val="0"/>
          <w:sz w:val="32"/>
          <w:szCs w:val="32"/>
          <w:lang w:val="en-US" w:eastAsia="zh-CN" w:bidi="ar-SA"/>
        </w:rPr>
        <w:t>基层应急管理法治基础依然薄弱，部分区镇、村居监管力量配备不足、专业能力不强，物资储备标准化水平不一，委托执法质量需持续关注和提升。</w:t>
      </w:r>
      <w:r>
        <w:rPr>
          <w:rFonts w:hint="eastAsia" w:ascii="仿宋_GB2312" w:hAnsi="仿宋_GB2312" w:eastAsia="仿宋_GB2312" w:cs="仿宋_GB2312"/>
          <w:b/>
          <w:bCs/>
          <w:color w:val="auto"/>
          <w:kern w:val="0"/>
          <w:sz w:val="32"/>
          <w:szCs w:val="32"/>
          <w:lang w:val="en-US" w:eastAsia="zh-CN" w:bidi="ar-SA"/>
        </w:rPr>
        <w:t>四是</w:t>
      </w:r>
      <w:r>
        <w:rPr>
          <w:rFonts w:hint="eastAsia" w:ascii="仿宋_GB2312" w:hAnsi="仿宋_GB2312" w:eastAsia="仿宋_GB2312" w:cs="仿宋_GB2312"/>
          <w:color w:val="auto"/>
          <w:kern w:val="0"/>
          <w:sz w:val="32"/>
          <w:szCs w:val="32"/>
          <w:lang w:val="en-US" w:eastAsia="zh-CN" w:bidi="ar-SA"/>
        </w:rPr>
        <w:t>跨部门数据共享与业务协同机制有待完善，在风险联合研判、应急联动处置等方面，信息壁垒尚未完全打破，数据赋能精准监管的效能未充分发挥。</w:t>
      </w:r>
    </w:p>
    <w:p w14:paraId="52600A87">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分析原因，主要在于：面对应急管理领域法律法规更新快、专业要求高的特点，系统性、实战化的法治培训有待加强；普法宣传方式与新媒体融合深度不够，吸引力需提升；基层应急管理体制改革处于深化期，人财物保障与繁重任务存在阶段性矛盾；部门间信息系统整合、标准统一仍需持续攻坚。</w:t>
      </w:r>
    </w:p>
    <w:p w14:paraId="47E5E262">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shd w:val="clear" w:color="auto" w:fill="FFFFFF"/>
          <w:lang w:val="en-US" w:eastAsia="zh-CN" w:bidi="ar-SA"/>
        </w:rPr>
        <w:t>四、2026年推进法治政府建设的主要安排</w:t>
      </w:r>
    </w:p>
    <w:p w14:paraId="0FC2DA2C">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kern w:val="2"/>
          <w:sz w:val="32"/>
          <w:szCs w:val="32"/>
          <w:lang w:val="en-US" w:eastAsia="zh-CN" w:bidi="ar-SA"/>
        </w:rPr>
        <w:t>（一）实施法治素养提升工程。</w:t>
      </w:r>
      <w:r>
        <w:rPr>
          <w:rFonts w:hint="eastAsia" w:ascii="仿宋_GB2312" w:hAnsi="仿宋_GB2312" w:eastAsia="仿宋_GB2312" w:cs="仿宋_GB2312"/>
          <w:color w:val="auto"/>
          <w:kern w:val="0"/>
          <w:sz w:val="32"/>
          <w:szCs w:val="32"/>
          <w:lang w:val="en-US" w:eastAsia="zh-CN" w:bidi="ar-SA"/>
        </w:rPr>
        <w:t>将习近平法治思想作为干部教育培训必修课。针对领导干部和一线执法人员，开展法治专题培训和业务轮训，重点加强新修订法律法规、执法实务和应急处置中法律适用的培训。推行案例教学和实战演练，提升运用法治思维和方式解决复杂问题的能力。</w:t>
      </w:r>
    </w:p>
    <w:p w14:paraId="5E29F05C">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kern w:val="2"/>
          <w:sz w:val="32"/>
          <w:szCs w:val="32"/>
          <w:lang w:val="en-US" w:eastAsia="zh-CN" w:bidi="ar-SA"/>
        </w:rPr>
        <w:t>（二）健全</w:t>
      </w:r>
      <w:bookmarkStart w:id="0" w:name="_GoBack"/>
      <w:bookmarkEnd w:id="0"/>
      <w:r>
        <w:rPr>
          <w:rFonts w:hint="eastAsia" w:ascii="楷体_GB2312" w:hAnsi="楷体_GB2312" w:eastAsia="楷体_GB2312" w:cs="楷体_GB2312"/>
          <w:kern w:val="2"/>
          <w:sz w:val="32"/>
          <w:szCs w:val="32"/>
          <w:lang w:val="en-US" w:eastAsia="zh-CN" w:bidi="ar-SA"/>
        </w:rPr>
        <w:t>政策制度供给机制.</w:t>
      </w:r>
      <w:r>
        <w:rPr>
          <w:rFonts w:hint="eastAsia" w:ascii="仿宋_GB2312" w:hAnsi="仿宋_GB2312" w:eastAsia="仿宋_GB2312" w:cs="仿宋_GB2312"/>
          <w:color w:val="auto"/>
          <w:kern w:val="0"/>
          <w:sz w:val="32"/>
          <w:szCs w:val="32"/>
          <w:lang w:val="en-US" w:eastAsia="zh-CN" w:bidi="ar-SA"/>
        </w:rPr>
        <w:t>围绕“全灾种、大应急”需要，系统梳理并推进相关制度的立改废释工作。完成新一轮总体预案、专项预案修订，探索建立数字化预案库。完善重大行政决策流程，强化合法性审查和风险评估。</w:t>
      </w:r>
    </w:p>
    <w:p w14:paraId="171C085A">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kern w:val="2"/>
          <w:sz w:val="32"/>
          <w:szCs w:val="32"/>
          <w:lang w:val="en-US" w:eastAsia="zh-CN" w:bidi="ar-SA"/>
        </w:rPr>
        <w:t>（三）深化执法规范化建设。</w:t>
      </w:r>
      <w:r>
        <w:rPr>
          <w:rFonts w:hint="eastAsia" w:ascii="仿宋_GB2312" w:hAnsi="仿宋_GB2312" w:eastAsia="仿宋_GB2312" w:cs="仿宋_GB2312"/>
          <w:color w:val="auto"/>
          <w:kern w:val="0"/>
          <w:sz w:val="32"/>
          <w:szCs w:val="32"/>
          <w:lang w:val="en-US" w:eastAsia="zh-CN" w:bidi="ar-SA"/>
        </w:rPr>
        <w:t>全面推行说理式执法和行政执法案例指导制度，严格执行《江苏省安全生产行政处罚自由裁量适用细则》。健全内部监督制约机制，将执法监督结果与绩效考核、评优评先直接挂钩，提升监督刚性。建立投诉举报“接诉即办”快速响应机制，优化核查流程，压实办理责任，确保群众诉求件件有着落、事事有回音。</w:t>
      </w:r>
    </w:p>
    <w:p w14:paraId="2E4CF4DE">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kern w:val="2"/>
          <w:sz w:val="32"/>
          <w:szCs w:val="32"/>
          <w:lang w:val="en-US" w:eastAsia="zh-CN" w:bidi="ar-SA"/>
        </w:rPr>
        <w:t>（四）推动力量资源下沉基层。</w:t>
      </w:r>
      <w:r>
        <w:rPr>
          <w:rFonts w:hint="eastAsia" w:ascii="仿宋_GB2312" w:hAnsi="仿宋_GB2312" w:eastAsia="仿宋_GB2312" w:cs="仿宋_GB2312"/>
          <w:color w:val="auto"/>
          <w:kern w:val="0"/>
          <w:sz w:val="32"/>
          <w:szCs w:val="32"/>
          <w:lang w:val="en-US" w:eastAsia="zh-CN" w:bidi="ar-SA"/>
        </w:rPr>
        <w:t>加强对区镇应急管理法制工作的指导和培训，提高基层执法人员法律素养。加大对基层应急物资储备的标准化建设和投入指导，推动区镇、村居两级应急物资储备场所建设与管理规范化，提升基层应急保障能力。</w:t>
      </w:r>
    </w:p>
    <w:p w14:paraId="2219B77A">
      <w:pPr>
        <w:pStyle w:val="2"/>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kern w:val="2"/>
          <w:sz w:val="32"/>
          <w:szCs w:val="32"/>
          <w:lang w:val="en-US" w:eastAsia="zh-CN" w:bidi="ar-SA"/>
        </w:rPr>
        <w:t>（五）构建精准高效普法体系。</w:t>
      </w:r>
      <w:r>
        <w:rPr>
          <w:rFonts w:hint="eastAsia" w:ascii="仿宋_GB2312" w:hAnsi="仿宋_GB2312" w:eastAsia="仿宋_GB2312" w:cs="仿宋_GB2312"/>
          <w:color w:val="auto"/>
          <w:kern w:val="0"/>
          <w:sz w:val="32"/>
          <w:szCs w:val="32"/>
          <w:lang w:val="en-US" w:eastAsia="zh-CN" w:bidi="ar-SA"/>
        </w:rPr>
        <w:t>实施“精准普法”行动计划，针对企业负责人、安全管理人员、一线员工、在校学生、社区居民等不同群体，量身定制普法内容和形式。加大以案释法力度，建立典型案例定期发布解读制度。全面深化隐患报告奖励等社会共治机制，推动普法与基层治理深度融合。</w:t>
      </w:r>
    </w:p>
    <w:p w14:paraId="392362A0">
      <w:pPr>
        <w:pStyle w:val="2"/>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5ABFD201">
      <w:pPr>
        <w:pStyle w:val="2"/>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p>
    <w:p w14:paraId="58F52205">
      <w:pPr>
        <w:pStyle w:val="2"/>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海安市应急管理局</w:t>
      </w:r>
    </w:p>
    <w:p w14:paraId="479774F6">
      <w:pPr>
        <w:pStyle w:val="2"/>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2025年12月8日</w:t>
      </w:r>
    </w:p>
    <w:sectPr>
      <w:footerReference r:id="rId3" w:type="default"/>
      <w:pgSz w:w="11906" w:h="16838"/>
      <w:pgMar w:top="1587" w:right="1587" w:bottom="1587" w:left="1587" w:header="964" w:footer="96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EC2670-C1A0-41BE-83E7-791D98F28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24A2C20-D874-4EBA-9F12-0FFC6D7C8414}"/>
  </w:font>
  <w:font w:name="方正小标宋简体">
    <w:panose1 w:val="03000509000000000000"/>
    <w:charset w:val="86"/>
    <w:family w:val="auto"/>
    <w:pitch w:val="default"/>
    <w:sig w:usb0="00000001" w:usb1="080E0000" w:usb2="00000000" w:usb3="00000000" w:csb0="00040000" w:csb1="00000000"/>
    <w:embedRegular r:id="rId3" w:fontKey="{50BE8872-9927-4C13-B8E0-83DDDB6F5003}"/>
  </w:font>
  <w:font w:name="楷体_GB2312">
    <w:panose1 w:val="02010609030101010101"/>
    <w:charset w:val="86"/>
    <w:family w:val="auto"/>
    <w:pitch w:val="default"/>
    <w:sig w:usb0="00000001" w:usb1="080E0000" w:usb2="00000000" w:usb3="00000000" w:csb0="00040000" w:csb1="00000000"/>
    <w:embedRegular r:id="rId4" w:fontKey="{63F035B4-E448-49E9-8C74-023CB03A00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170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1109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F1109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YWJkZGQ5OGQ4NDU3ODIyNzM1MTM4YjliOTk2YzgifQ=="/>
  </w:docVars>
  <w:rsids>
    <w:rsidRoot w:val="6A3A3823"/>
    <w:rsid w:val="00054D50"/>
    <w:rsid w:val="00274991"/>
    <w:rsid w:val="002F0ADB"/>
    <w:rsid w:val="003A6305"/>
    <w:rsid w:val="004604A9"/>
    <w:rsid w:val="006453D4"/>
    <w:rsid w:val="0090071C"/>
    <w:rsid w:val="009016AA"/>
    <w:rsid w:val="00967393"/>
    <w:rsid w:val="00A97158"/>
    <w:rsid w:val="00AE2E08"/>
    <w:rsid w:val="00B573E5"/>
    <w:rsid w:val="00B64455"/>
    <w:rsid w:val="00BC7F58"/>
    <w:rsid w:val="00CB584F"/>
    <w:rsid w:val="02FF7BF3"/>
    <w:rsid w:val="08297BEC"/>
    <w:rsid w:val="0AA9272C"/>
    <w:rsid w:val="0D682F64"/>
    <w:rsid w:val="0E6A6868"/>
    <w:rsid w:val="0EED1247"/>
    <w:rsid w:val="143C0C87"/>
    <w:rsid w:val="156D6C3E"/>
    <w:rsid w:val="1B9E5DA3"/>
    <w:rsid w:val="1E3B0DA8"/>
    <w:rsid w:val="283C7070"/>
    <w:rsid w:val="2BC730F4"/>
    <w:rsid w:val="2BD82C0B"/>
    <w:rsid w:val="304C57B3"/>
    <w:rsid w:val="30977539"/>
    <w:rsid w:val="32FC7B27"/>
    <w:rsid w:val="3EFE4C27"/>
    <w:rsid w:val="446D72CF"/>
    <w:rsid w:val="4BC468B1"/>
    <w:rsid w:val="563D048D"/>
    <w:rsid w:val="593F47FB"/>
    <w:rsid w:val="5E015742"/>
    <w:rsid w:val="5EC77B4E"/>
    <w:rsid w:val="61241D73"/>
    <w:rsid w:val="6A3A3823"/>
    <w:rsid w:val="74F303F5"/>
    <w:rsid w:val="78943132"/>
    <w:rsid w:val="79C478F8"/>
    <w:rsid w:val="7DB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4">
    <w:name w:val="Body Text"/>
    <w:basedOn w:val="1"/>
    <w:qFormat/>
    <w:uiPriority w:val="99"/>
    <w:pPr>
      <w:spacing w:after="120"/>
    </w:pPr>
    <w:rPr>
      <w:rFonts w:ascii="Calibri" w:hAnsi="Calibri"/>
    </w:rPr>
  </w:style>
  <w:style w:type="paragraph" w:styleId="5">
    <w:name w:val="Body Text Indent"/>
    <w:basedOn w:val="1"/>
    <w:next w:val="2"/>
    <w:qFormat/>
    <w:uiPriority w:val="99"/>
    <w:pPr>
      <w:ind w:firstLine="600" w:firstLineChars="200"/>
    </w:pPr>
    <w:rPr>
      <w:rFonts w:ascii="Times New Roman" w:hAnsi="Times New Roman" w:eastAsia="仿宋_GB2312"/>
      <w:sz w:val="3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4"/>
    <w:next w:val="4"/>
    <w:qFormat/>
    <w:uiPriority w:val="99"/>
    <w:pPr>
      <w:ind w:firstLine="420" w:firstLineChars="100"/>
    </w:pPr>
  </w:style>
  <w:style w:type="paragraph" w:styleId="10">
    <w:name w:val="Body Text First Indent 2"/>
    <w:basedOn w:val="5"/>
    <w:next w:val="9"/>
    <w:qFormat/>
    <w:uiPriority w:val="0"/>
    <w:pPr>
      <w:ind w:firstLine="420"/>
    </w:pPr>
    <w:rPr>
      <w:rFonts w:eastAsia="宋体" w:cs="Times New Roman"/>
    </w:rPr>
  </w:style>
  <w:style w:type="character" w:customStyle="1" w:styleId="13">
    <w:name w:val="页眉 字符"/>
    <w:basedOn w:val="12"/>
    <w:link w:val="7"/>
    <w:qFormat/>
    <w:uiPriority w:val="0"/>
    <w:rPr>
      <w:rFonts w:asciiTheme="minorHAnsi" w:hAnsiTheme="minorHAnsi" w:eastAsiaTheme="minorEastAsia" w:cstheme="minorBidi"/>
      <w:kern w:val="2"/>
      <w:sz w:val="18"/>
      <w:szCs w:val="18"/>
    </w:rPr>
  </w:style>
  <w:style w:type="character" w:customStyle="1" w:styleId="14">
    <w:name w:val="页脚 字符"/>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3268</Words>
  <Characters>3348</Characters>
  <Lines>28</Lines>
  <Paragraphs>7</Paragraphs>
  <TotalTime>54</TotalTime>
  <ScaleCrop>false</ScaleCrop>
  <LinksUpToDate>false</LinksUpToDate>
  <CharactersWithSpaces>3449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2024-12-23T08:52:00Z</dcterms:created>
  <dc:creator>晓澈</dc:creator>
  <cp:lastModifiedBy>Chief丶chen</cp:lastModifiedBy>
  <cp:lastPrinted>2024-12-24T07:00:00Z</cp:lastPrinted>
  <dcterms:modified xsi:type="dcterms:W3CDTF">2025-12-11T01:23:38Z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798075E20F0741F9A6ABAD70DD3AF1F6_13</vt:lpwstr>
  </property>
  <property fmtid="{D5CDD505-2E9C-101B-9397-08002B2CF9AE}" pid="4" name="KSOTemplateDocerSaveRecord">
    <vt:lpwstr>eyJoZGlkIjoiYTE5NDdkM2E4YjA5MDQ4M2FjMGIzMDM5MWI0Y2ZkZmMiLCJ1c2VySWQiOiI0MzI4MjMyMzEifQ==</vt:lpwstr>
  </property>
</Properties>
</file>