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1D13">
      <w:pPr>
        <w:spacing w:line="420" w:lineRule="atLeast"/>
        <w:jc w:val="center"/>
        <w:outlineLvl w:val="0"/>
        <w:rPr>
          <w:rFonts w:hint="eastAsia"/>
          <w:sz w:val="36"/>
          <w:szCs w:val="36"/>
        </w:rPr>
      </w:pPr>
      <w:r>
        <w:rPr>
          <w:rFonts w:hint="eastAsia" w:ascii="黑体" w:hAnsi="黑体" w:eastAsia="黑体"/>
          <w:sz w:val="36"/>
          <w:szCs w:val="36"/>
        </w:rPr>
        <w:t>海安市人力资源和社会保障局</w:t>
      </w:r>
    </w:p>
    <w:p w14:paraId="33372552">
      <w:pPr>
        <w:spacing w:line="420" w:lineRule="atLeast"/>
        <w:jc w:val="center"/>
        <w:outlineLvl w:val="1"/>
        <w:rPr>
          <w:rFonts w:hint="eastAsia" w:ascii="黑体" w:hAnsi="黑体" w:eastAsia="黑体"/>
          <w:sz w:val="44"/>
        </w:rPr>
      </w:pPr>
      <w:r>
        <w:rPr>
          <w:rFonts w:hint="eastAsia" w:ascii="黑体" w:hAnsi="黑体" w:eastAsia="黑体"/>
          <w:sz w:val="44"/>
        </w:rPr>
        <w:t>劳动保障监察行政处理告知书</w:t>
      </w:r>
    </w:p>
    <w:p w14:paraId="2721F914">
      <w:pPr>
        <w:spacing w:line="420" w:lineRule="atLeast"/>
        <w:jc w:val="right"/>
        <w:rPr>
          <w:rFonts w:hint="eastAsia"/>
          <w:sz w:val="24"/>
        </w:rPr>
      </w:pPr>
      <w:r>
        <w:rPr>
          <w:rFonts w:hint="eastAsia"/>
          <w:sz w:val="28"/>
        </w:rPr>
        <w:t xml:space="preserve">                                  </w:t>
      </w:r>
      <w:r>
        <w:rPr>
          <w:rFonts w:hint="eastAsia"/>
          <w:sz w:val="24"/>
        </w:rPr>
        <w:t>海人社察理告字[202</w:t>
      </w:r>
      <w:r>
        <w:rPr>
          <w:rFonts w:hint="eastAsia"/>
          <w:sz w:val="24"/>
          <w:lang w:val="en-US" w:eastAsia="zh-CN"/>
        </w:rPr>
        <w:t>3</w:t>
      </w:r>
      <w:r>
        <w:rPr>
          <w:rFonts w:hint="eastAsia"/>
          <w:sz w:val="24"/>
        </w:rPr>
        <w:t>]第</w:t>
      </w:r>
      <w:r>
        <w:rPr>
          <w:rFonts w:hint="eastAsia"/>
          <w:sz w:val="24"/>
          <w:lang w:val="en-US" w:eastAsia="zh-CN"/>
        </w:rPr>
        <w:t>008</w:t>
      </w:r>
      <w:r>
        <w:rPr>
          <w:rFonts w:hint="eastAsia"/>
          <w:sz w:val="24"/>
        </w:rPr>
        <w:t>号</w:t>
      </w:r>
    </w:p>
    <w:p w14:paraId="74C7A459">
      <w:pPr>
        <w:keepNext w:val="0"/>
        <w:keepLines w:val="0"/>
        <w:pageBreakBefore w:val="0"/>
        <w:widowControl w:val="0"/>
        <w:kinsoku/>
        <w:wordWrap/>
        <w:overflowPunct/>
        <w:topLinePunct w:val="0"/>
        <w:autoSpaceDE/>
        <w:autoSpaceDN/>
        <w:bidi w:val="0"/>
        <w:adjustRightInd/>
        <w:spacing w:line="480" w:lineRule="exact"/>
        <w:jc w:val="left"/>
        <w:textAlignment w:val="auto"/>
        <w:outlineLvl w:val="1"/>
        <w:rPr>
          <w:rFonts w:hint="eastAsia"/>
          <w:b/>
          <w:spacing w:val="1"/>
          <w:sz w:val="32"/>
        </w:rPr>
      </w:pPr>
      <w:r>
        <w:rPr>
          <w:rFonts w:hint="eastAsia"/>
          <w:b/>
          <w:spacing w:val="1"/>
          <w:sz w:val="32"/>
          <w:lang w:val="en-US" w:eastAsia="zh-CN"/>
        </w:rPr>
        <w:t>南通荣弘家具有限公司</w:t>
      </w:r>
      <w:r>
        <w:rPr>
          <w:rFonts w:hint="eastAsia"/>
          <w:b/>
          <w:spacing w:val="1"/>
          <w:sz w:val="32"/>
        </w:rPr>
        <w:t>：</w:t>
      </w:r>
    </w:p>
    <w:p w14:paraId="189CD53A">
      <w:pPr>
        <w:keepNext w:val="0"/>
        <w:keepLines w:val="0"/>
        <w:pageBreakBefore w:val="0"/>
        <w:widowControl w:val="0"/>
        <w:kinsoku/>
        <w:wordWrap/>
        <w:overflowPunct/>
        <w:topLinePunct w:val="0"/>
        <w:autoSpaceDE/>
        <w:autoSpaceDN/>
        <w:bidi w:val="0"/>
        <w:adjustRightInd/>
        <w:spacing w:line="480" w:lineRule="exact"/>
        <w:ind w:firstLine="606" w:firstLineChars="200"/>
        <w:jc w:val="left"/>
        <w:textAlignment w:val="auto"/>
        <w:rPr>
          <w:rFonts w:hint="eastAsia" w:ascii="宋体" w:hAnsi="宋体" w:eastAsia="宋体" w:cs="Times New Roman"/>
          <w:spacing w:val="1"/>
          <w:sz w:val="30"/>
          <w:szCs w:val="30"/>
          <w:lang w:val="en-US" w:eastAsia="zh-CN"/>
        </w:rPr>
      </w:pPr>
      <w:r>
        <w:rPr>
          <w:rFonts w:hint="eastAsia" w:ascii="宋体" w:hAnsi="宋体"/>
          <w:b/>
          <w:spacing w:val="1"/>
          <w:sz w:val="30"/>
          <w:szCs w:val="30"/>
        </w:rPr>
        <w:t>统一社会信用代码：</w:t>
      </w:r>
      <w:r>
        <w:rPr>
          <w:rFonts w:hint="eastAsia" w:ascii="宋体" w:hAnsi="宋体"/>
          <w:b w:val="0"/>
          <w:bCs/>
          <w:spacing w:val="1"/>
          <w:sz w:val="30"/>
          <w:szCs w:val="30"/>
        </w:rPr>
        <w:t>91320621MA226N8RXF</w:t>
      </w:r>
    </w:p>
    <w:p w14:paraId="0320998A">
      <w:pPr>
        <w:keepNext w:val="0"/>
        <w:keepLines w:val="0"/>
        <w:pageBreakBefore w:val="0"/>
        <w:widowControl w:val="0"/>
        <w:kinsoku/>
        <w:wordWrap/>
        <w:overflowPunct/>
        <w:topLinePunct w:val="0"/>
        <w:autoSpaceDE/>
        <w:autoSpaceDN/>
        <w:bidi w:val="0"/>
        <w:adjustRightInd/>
        <w:spacing w:line="480" w:lineRule="exact"/>
        <w:ind w:firstLine="602" w:firstLineChars="200"/>
        <w:jc w:val="left"/>
        <w:textAlignment w:val="auto"/>
        <w:rPr>
          <w:rFonts w:hint="default" w:ascii="宋体" w:hAnsi="宋体" w:eastAsia="宋体" w:cs="Times New Roman"/>
          <w:sz w:val="30"/>
          <w:szCs w:val="30"/>
          <w:lang w:val="en-US" w:eastAsia="zh-CN"/>
        </w:rPr>
      </w:pPr>
      <w:r>
        <w:rPr>
          <w:rFonts w:hint="eastAsia" w:ascii="宋体" w:hAnsi="宋体" w:eastAsia="宋体" w:cs="Times New Roman"/>
          <w:b/>
          <w:bCs/>
          <w:sz w:val="30"/>
          <w:szCs w:val="30"/>
          <w:lang w:val="en-US" w:eastAsia="zh-CN"/>
        </w:rPr>
        <w:t>经  营  地  址：</w:t>
      </w:r>
      <w:r>
        <w:rPr>
          <w:rFonts w:hint="eastAsia" w:ascii="宋体" w:hAnsi="宋体" w:eastAsia="宋体" w:cs="Times New Roman"/>
          <w:sz w:val="30"/>
          <w:szCs w:val="30"/>
          <w:lang w:val="en-US" w:eastAsia="zh-CN"/>
        </w:rPr>
        <w:t>南通市海安市老坝港滨海新区（角斜镇）凤翔路66-6号</w:t>
      </w:r>
    </w:p>
    <w:p w14:paraId="4713E576">
      <w:pPr>
        <w:keepNext w:val="0"/>
        <w:keepLines w:val="0"/>
        <w:pageBreakBefore w:val="0"/>
        <w:widowControl w:val="0"/>
        <w:kinsoku/>
        <w:wordWrap/>
        <w:overflowPunct/>
        <w:topLinePunct w:val="0"/>
        <w:autoSpaceDE/>
        <w:autoSpaceDN/>
        <w:bidi w:val="0"/>
        <w:adjustRightInd/>
        <w:spacing w:line="480" w:lineRule="exact"/>
        <w:ind w:firstLine="602" w:firstLineChars="200"/>
        <w:jc w:val="left"/>
        <w:textAlignment w:val="auto"/>
        <w:rPr>
          <w:rFonts w:hint="eastAsia" w:ascii="宋体" w:hAnsi="宋体" w:eastAsia="宋体"/>
          <w:sz w:val="30"/>
          <w:szCs w:val="30"/>
          <w:lang w:eastAsia="zh-CN"/>
        </w:rPr>
      </w:pPr>
      <w:r>
        <w:rPr>
          <w:rFonts w:hint="eastAsia" w:ascii="宋体" w:hAnsi="宋体"/>
          <w:b/>
          <w:sz w:val="30"/>
          <w:szCs w:val="30"/>
        </w:rPr>
        <w:t>法定代表人姓名</w:t>
      </w:r>
      <w:r>
        <w:rPr>
          <w:rFonts w:hint="eastAsia" w:ascii="宋体" w:hAnsi="宋体"/>
          <w:b/>
          <w:bCs/>
          <w:sz w:val="30"/>
          <w:szCs w:val="30"/>
          <w:lang w:val="en-US" w:eastAsia="zh-CN"/>
        </w:rPr>
        <w:t>:</w:t>
      </w:r>
      <w:r>
        <w:rPr>
          <w:rFonts w:hint="eastAsia" w:ascii="宋体" w:hAnsi="宋体"/>
          <w:sz w:val="30"/>
          <w:szCs w:val="30"/>
          <w:lang w:val="en-US" w:eastAsia="zh-CN"/>
        </w:rPr>
        <w:t>李友刚</w:t>
      </w:r>
      <w:bookmarkStart w:id="0" w:name="_GoBack"/>
      <w:bookmarkEnd w:id="0"/>
    </w:p>
    <w:p w14:paraId="548046BD">
      <w:pPr>
        <w:keepNext w:val="0"/>
        <w:keepLines w:val="0"/>
        <w:pageBreakBefore w:val="0"/>
        <w:widowControl w:val="0"/>
        <w:kinsoku/>
        <w:wordWrap/>
        <w:overflowPunct/>
        <w:topLinePunct w:val="0"/>
        <w:autoSpaceDE/>
        <w:autoSpaceDN/>
        <w:bidi w:val="0"/>
        <w:adjustRightInd/>
        <w:spacing w:line="480" w:lineRule="exact"/>
        <w:ind w:firstLine="602" w:firstLineChars="200"/>
        <w:jc w:val="left"/>
        <w:textAlignment w:val="auto"/>
        <w:rPr>
          <w:rFonts w:hint="eastAsia" w:ascii="宋体" w:hAnsi="宋体"/>
          <w:color w:val="000000"/>
          <w:sz w:val="30"/>
          <w:szCs w:val="30"/>
        </w:rPr>
      </w:pPr>
      <w:r>
        <w:rPr>
          <w:rFonts w:hint="eastAsia" w:ascii="宋体" w:hAnsi="宋体"/>
          <w:b/>
          <w:sz w:val="30"/>
          <w:szCs w:val="30"/>
        </w:rPr>
        <w:t>案          由</w:t>
      </w:r>
      <w:r>
        <w:rPr>
          <w:rFonts w:hint="eastAsia" w:ascii="宋体" w:hAnsi="宋体"/>
          <w:sz w:val="30"/>
          <w:szCs w:val="30"/>
        </w:rPr>
        <w:t>：</w:t>
      </w:r>
      <w:r>
        <w:rPr>
          <w:rFonts w:hint="eastAsia" w:ascii="宋体" w:hAnsi="宋体"/>
          <w:color w:val="000000"/>
          <w:sz w:val="30"/>
          <w:szCs w:val="30"/>
        </w:rPr>
        <w:t>未依法及时足额支付工资报酬</w:t>
      </w:r>
    </w:p>
    <w:p w14:paraId="5E61B5C0">
      <w:pPr>
        <w:keepNext w:val="0"/>
        <w:keepLines w:val="0"/>
        <w:pageBreakBefore w:val="0"/>
        <w:widowControl w:val="0"/>
        <w:kinsoku/>
        <w:wordWrap/>
        <w:overflowPunct/>
        <w:topLinePunct w:val="0"/>
        <w:autoSpaceDE/>
        <w:autoSpaceDN/>
        <w:bidi w:val="0"/>
        <w:adjustRightInd/>
        <w:spacing w:line="480" w:lineRule="exact"/>
        <w:ind w:firstLine="602"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b/>
          <w:sz w:val="30"/>
          <w:szCs w:val="30"/>
        </w:rPr>
        <w:t>认定的事实和证据</w:t>
      </w:r>
      <w:r>
        <w:rPr>
          <w:rFonts w:hint="eastAsia" w:ascii="宋体" w:hAnsi="宋体"/>
          <w:sz w:val="30"/>
          <w:szCs w:val="30"/>
        </w:rPr>
        <w:t>：</w:t>
      </w:r>
      <w:r>
        <w:rPr>
          <w:rFonts w:hint="eastAsia" w:ascii="宋体" w:hAnsi="宋体" w:eastAsia="宋体" w:cs="Times New Roman"/>
          <w:color w:val="000000"/>
          <w:sz w:val="30"/>
          <w:szCs w:val="30"/>
          <w:lang w:val="en-US" w:eastAsia="zh-CN"/>
        </w:rPr>
        <w:t>2023年4月12日我局接到邰小仰投诉，反映你单位未按时足额支付其2021年9月至2021年11月期间工资合计19683.9元。2023年5月18日我局通过邮寄的方式向你单位发送《劳动保障监察调查询问书</w:t>
      </w:r>
      <w:r>
        <w:rPr>
          <w:rFonts w:hint="eastAsia" w:ascii="宋体" w:hAnsi="宋体" w:cs="Times New Roman"/>
          <w:color w:val="000000"/>
          <w:sz w:val="30"/>
          <w:szCs w:val="30"/>
          <w:lang w:val="en-US" w:eastAsia="zh-CN"/>
        </w:rPr>
        <w:t>》</w:t>
      </w:r>
      <w:r>
        <w:rPr>
          <w:rFonts w:hint="eastAsia" w:ascii="宋体" w:hAnsi="宋体" w:eastAsia="宋体" w:cs="Times New Roman"/>
          <w:color w:val="000000"/>
          <w:sz w:val="30"/>
          <w:szCs w:val="30"/>
          <w:lang w:val="en-US" w:eastAsia="zh-CN"/>
        </w:rPr>
        <w:t>（海人社察询字[2023]第388号）</w:t>
      </w:r>
      <w:r>
        <w:rPr>
          <w:rFonts w:hint="eastAsia" w:ascii="宋体" w:hAnsi="宋体" w:cs="Times New Roman"/>
          <w:color w:val="000000"/>
          <w:sz w:val="30"/>
          <w:szCs w:val="30"/>
          <w:lang w:val="en-US" w:eastAsia="zh-CN"/>
        </w:rPr>
        <w:t>，</w:t>
      </w:r>
      <w:r>
        <w:rPr>
          <w:rFonts w:hint="eastAsia" w:ascii="宋体" w:hAnsi="宋体" w:eastAsia="宋体" w:cs="Times New Roman"/>
          <w:color w:val="000000"/>
          <w:sz w:val="30"/>
          <w:szCs w:val="30"/>
          <w:lang w:val="en-US" w:eastAsia="zh-CN"/>
        </w:rPr>
        <w:t>因“查无此单位且无法联系收件人”未能送达，2023年6月1日我局至你单位注册地即海安市老坝港滨海新区（角斜镇）凤翔路66-6号，发现已无你单位。根据《江苏省行政程序条例》第五十九条之规定，2023年7月6日我局向你单位公告送达《劳动保障监察调查询问书》（海人社察询字[2023]第392号）、《劳动保障监察告知书》（海人社察告字[2023]第002号），要求你单位在收到该询问书之日起3日内至我局提交相关材料并接受调查询问，同时告知你单位逾期不提供或者拒绝提供的，我局将依照《江苏省工资支付条例》第五十条第一款规定，按照劳动者投诉的工资金额直接进行认定。2023年7月17日、7月20日、7月25日我局又三次短信通知你单位法定代表人李友刚在规定时间内至我局接受调查询问，但截止7月27日，你单位法定代表人李友刚未按要求在规定时间内至我局接受调查询问。针对上述情况，我局依据《江苏省工资支付条例》第五十条第一款，对邰小仰的工资数额予以认定。2023年8月27日我局向你单位公告送达《劳动保障监察限期改正指令书》（海人社察令字〔2023〕第035号），要求你单位自该指令书送达之日起3日内，作出依法支付邰小仰2021年9月至11月劳动报酬19683.9元的整改，并于8月29日、8月31日、9月5日三次短信通知你单位法定代表人李友刚在规定时间内至我局配合解决邰小仰的劳动报酬问题，但截止2023年9月13日，你单位未至我局配合解决，亦未能按照指令书的要求作出整改。</w:t>
      </w:r>
    </w:p>
    <w:p w14:paraId="7F64F35F">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本局认为，</w:t>
      </w:r>
      <w:r>
        <w:rPr>
          <w:rFonts w:hint="eastAsia" w:ascii="宋体" w:hAnsi="宋体" w:eastAsia="宋体" w:cs="Times New Roman"/>
          <w:color w:val="000000"/>
          <w:sz w:val="30"/>
          <w:szCs w:val="30"/>
        </w:rPr>
        <w:t>你单位</w:t>
      </w:r>
      <w:r>
        <w:rPr>
          <w:rFonts w:hint="eastAsia" w:ascii="宋体" w:hAnsi="宋体" w:eastAsia="宋体" w:cs="Times New Roman"/>
          <w:color w:val="000000"/>
          <w:sz w:val="30"/>
          <w:szCs w:val="30"/>
          <w:lang w:val="en-US" w:eastAsia="zh-CN"/>
        </w:rPr>
        <w:t>的行为违反了《中华人民共和国劳动合同法》第三十条第一款和《保障农民工工资支付条例》第三条第一款，根据《中华人民共和国劳动合同法》第八十五条第一款第（一）项规定和《劳动保障监察条例》第十八条</w:t>
      </w:r>
      <w:r>
        <w:rPr>
          <w:rFonts w:hint="eastAsia" w:ascii="宋体" w:hAnsi="宋体" w:eastAsia="宋体" w:cs="Times New Roman"/>
          <w:color w:val="000000"/>
          <w:sz w:val="30"/>
          <w:szCs w:val="30"/>
        </w:rPr>
        <w:t>第一款第</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二</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项之规定，本局拟对你单位作出</w:t>
      </w:r>
      <w:r>
        <w:rPr>
          <w:rFonts w:hint="eastAsia" w:ascii="宋体" w:hAnsi="宋体" w:eastAsia="宋体" w:cs="Times New Roman"/>
          <w:color w:val="000000"/>
          <w:sz w:val="30"/>
          <w:szCs w:val="30"/>
          <w:lang w:val="en-US" w:eastAsia="zh-CN"/>
        </w:rPr>
        <w:t>支付邰小仰2021年9月至11月劳动报酬19683.9元的</w:t>
      </w:r>
      <w:r>
        <w:rPr>
          <w:rFonts w:hint="eastAsia" w:ascii="宋体" w:hAnsi="宋体" w:eastAsia="宋体" w:cs="Times New Roman"/>
          <w:color w:val="000000"/>
          <w:sz w:val="30"/>
          <w:szCs w:val="30"/>
        </w:rPr>
        <w:t>行政处理。</w:t>
      </w:r>
    </w:p>
    <w:p w14:paraId="7EF9FDDA">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根据《重大劳动保障违法行为社会公布办法》（人社部令第29号）、《拖欠农民工工资</w:t>
      </w:r>
      <w:r>
        <w:rPr>
          <w:rFonts w:hint="eastAsia" w:ascii="宋体" w:hAnsi="宋体" w:eastAsia="宋体" w:cs="Times New Roman"/>
          <w:color w:val="000000"/>
          <w:sz w:val="30"/>
          <w:szCs w:val="30"/>
          <w:lang w:val="en-US" w:eastAsia="zh-CN"/>
        </w:rPr>
        <w:t>失信联合惩戒对象名单</w:t>
      </w:r>
      <w:r>
        <w:rPr>
          <w:rFonts w:hint="eastAsia" w:ascii="宋体" w:hAnsi="宋体" w:eastAsia="宋体" w:cs="Times New Roman"/>
          <w:color w:val="000000"/>
          <w:sz w:val="30"/>
          <w:szCs w:val="30"/>
        </w:rPr>
        <w:t>管理暂行办法》（人社部</w:t>
      </w:r>
      <w:r>
        <w:rPr>
          <w:rFonts w:hint="eastAsia" w:ascii="宋体" w:hAnsi="宋体" w:eastAsia="宋体" w:cs="Times New Roman"/>
          <w:color w:val="000000"/>
          <w:sz w:val="30"/>
          <w:szCs w:val="30"/>
          <w:lang w:val="en-US" w:eastAsia="zh-CN"/>
        </w:rPr>
        <w:t>令第45号</w:t>
      </w:r>
      <w:r>
        <w:rPr>
          <w:rFonts w:hint="eastAsia" w:ascii="宋体" w:hAnsi="宋体" w:eastAsia="宋体" w:cs="Times New Roman"/>
          <w:color w:val="000000"/>
          <w:sz w:val="30"/>
          <w:szCs w:val="30"/>
        </w:rPr>
        <w:t>）等相关规定，你单位的违法行为将可能影响你单位信用等级评定，并被社会公布和纳入失信联动惩戒对象。</w:t>
      </w:r>
    </w:p>
    <w:p w14:paraId="73A7F708">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根据《劳动保障监察条例》第十九条规定,你单位有陈述申辩的权利。你单位可于收到本告知书之日起三日内向本局书面或口头进行陈述和申辩，逾期视为放弃该权利。</w:t>
      </w:r>
    </w:p>
    <w:p w14:paraId="6013A185">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地</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址：海安市长江东路10号</w:t>
      </w:r>
      <w:r>
        <w:rPr>
          <w:rFonts w:hint="eastAsia" w:ascii="宋体" w:hAnsi="宋体" w:eastAsia="宋体" w:cs="Times New Roman"/>
          <w:color w:val="000000"/>
          <w:sz w:val="30"/>
          <w:szCs w:val="30"/>
          <w:lang w:val="en-US" w:eastAsia="zh-CN"/>
        </w:rPr>
        <w:t xml:space="preserve"> </w:t>
      </w:r>
    </w:p>
    <w:p w14:paraId="1ECEA624">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联系人：</w:t>
      </w:r>
      <w:r>
        <w:rPr>
          <w:rFonts w:hint="eastAsia" w:ascii="宋体" w:hAnsi="宋体" w:eastAsia="宋体" w:cs="Times New Roman"/>
          <w:color w:val="000000"/>
          <w:sz w:val="30"/>
          <w:szCs w:val="30"/>
          <w:lang w:val="en-US" w:eastAsia="zh-CN"/>
        </w:rPr>
        <w:t>孙秋熔</w:t>
      </w:r>
      <w:r>
        <w:rPr>
          <w:rFonts w:hint="eastAsia" w:ascii="宋体" w:hAnsi="宋体" w:eastAsia="宋体" w:cs="Times New Roman"/>
          <w:color w:val="000000"/>
          <w:sz w:val="30"/>
          <w:szCs w:val="30"/>
        </w:rPr>
        <w:t xml:space="preserve"> </w:t>
      </w:r>
    </w:p>
    <w:p w14:paraId="74432638">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default"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电</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话</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0513-</w:t>
      </w:r>
      <w:r>
        <w:rPr>
          <w:rFonts w:hint="eastAsia" w:ascii="宋体" w:hAnsi="宋体" w:eastAsia="宋体" w:cs="Times New Roman"/>
          <w:color w:val="000000"/>
          <w:sz w:val="30"/>
          <w:szCs w:val="30"/>
        </w:rPr>
        <w:t>889</w:t>
      </w:r>
      <w:r>
        <w:rPr>
          <w:rFonts w:hint="eastAsia" w:ascii="宋体" w:hAnsi="宋体" w:eastAsia="宋体" w:cs="Times New Roman"/>
          <w:color w:val="000000"/>
          <w:sz w:val="30"/>
          <w:szCs w:val="30"/>
          <w:lang w:val="en-US" w:eastAsia="zh-CN"/>
        </w:rPr>
        <w:t>71809</w:t>
      </w:r>
    </w:p>
    <w:p w14:paraId="287054ED">
      <w:pPr>
        <w:keepNext w:val="0"/>
        <w:keepLines w:val="0"/>
        <w:pageBreakBefore w:val="0"/>
        <w:widowControl w:val="0"/>
        <w:kinsoku/>
        <w:wordWrap/>
        <w:overflowPunct/>
        <w:topLinePunct w:val="0"/>
        <w:autoSpaceDE/>
        <w:autoSpaceDN/>
        <w:bidi w:val="0"/>
        <w:adjustRightInd/>
        <w:spacing w:line="480" w:lineRule="exact"/>
        <w:ind w:firstLine="600" w:firstLineChars="200"/>
        <w:jc w:val="left"/>
        <w:textAlignment w:val="auto"/>
        <w:rPr>
          <w:rFonts w:hint="eastAsia" w:ascii="宋体" w:hAnsi="宋体"/>
          <w:sz w:val="30"/>
          <w:szCs w:val="30"/>
        </w:rPr>
      </w:pPr>
      <w:r>
        <w:rPr>
          <w:rFonts w:hint="eastAsia" w:ascii="宋体" w:hAnsi="宋体" w:eastAsia="宋体" w:cs="Times New Roman"/>
          <w:color w:val="000000"/>
          <w:sz w:val="30"/>
          <w:szCs w:val="30"/>
        </w:rPr>
        <w:t xml:space="preserve">附：相关法律条文  </w:t>
      </w:r>
      <w:r>
        <w:rPr>
          <w:rFonts w:hint="eastAsia" w:ascii="宋体" w:hAnsi="宋体"/>
          <w:sz w:val="30"/>
          <w:szCs w:val="30"/>
        </w:rPr>
        <w:t xml:space="preserve">                                                          </w:t>
      </w:r>
    </w:p>
    <w:p w14:paraId="1566B630">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sz w:val="30"/>
          <w:szCs w:val="30"/>
        </w:rPr>
      </w:pPr>
      <w:r>
        <w:rPr>
          <w:rFonts w:hint="eastAsia" w:ascii="宋体" w:hAnsi="宋体"/>
          <w:sz w:val="30"/>
          <w:szCs w:val="30"/>
        </w:rPr>
        <w:t xml:space="preserve">                              </w:t>
      </w:r>
    </w:p>
    <w:p w14:paraId="6736E96E">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2023</w:t>
      </w:r>
      <w:r>
        <w:rPr>
          <w:rFonts w:hint="eastAsia" w:ascii="宋体" w:hAnsi="宋体"/>
          <w:sz w:val="30"/>
          <w:szCs w:val="30"/>
        </w:rPr>
        <w:t>年</w:t>
      </w:r>
      <w:r>
        <w:rPr>
          <w:rFonts w:hint="eastAsia" w:ascii="宋体" w:hAnsi="宋体"/>
          <w:sz w:val="30"/>
          <w:szCs w:val="30"/>
          <w:lang w:val="en-US" w:eastAsia="zh-CN"/>
        </w:rPr>
        <w:t>9</w:t>
      </w:r>
      <w:r>
        <w:rPr>
          <w:rFonts w:hint="eastAsia" w:ascii="宋体" w:hAnsi="宋体"/>
          <w:sz w:val="30"/>
          <w:szCs w:val="30"/>
        </w:rPr>
        <w:t>月</w:t>
      </w:r>
      <w:r>
        <w:rPr>
          <w:rFonts w:hint="eastAsia" w:ascii="宋体" w:hAnsi="宋体"/>
          <w:sz w:val="30"/>
          <w:szCs w:val="30"/>
          <w:lang w:val="en-US" w:eastAsia="zh-CN"/>
        </w:rPr>
        <w:t>15</w:t>
      </w:r>
      <w:r>
        <w:rPr>
          <w:rFonts w:hint="eastAsia" w:ascii="宋体" w:hAnsi="宋体"/>
          <w:sz w:val="30"/>
          <w:szCs w:val="30"/>
        </w:rPr>
        <w:t xml:space="preserve">日 </w:t>
      </w:r>
    </w:p>
    <w:p w14:paraId="7625E91A">
      <w:pPr>
        <w:spacing w:line="456" w:lineRule="atLeast"/>
        <w:jc w:val="both"/>
        <w:rPr>
          <w:rFonts w:hint="eastAsia" w:ascii="仿宋_GB2312" w:eastAsia="仿宋_GB2312"/>
          <w:sz w:val="32"/>
          <w:szCs w:val="32"/>
        </w:rPr>
      </w:pPr>
    </w:p>
    <w:p w14:paraId="33177768">
      <w:pPr>
        <w:spacing w:line="456" w:lineRule="atLeast"/>
        <w:jc w:val="both"/>
        <w:rPr>
          <w:rFonts w:hint="eastAsia" w:ascii="仿宋_GB2312" w:eastAsia="仿宋_GB2312"/>
          <w:sz w:val="32"/>
          <w:szCs w:val="32"/>
        </w:rPr>
      </w:pPr>
    </w:p>
    <w:p w14:paraId="462C8AC4">
      <w:pPr>
        <w:spacing w:line="456" w:lineRule="atLeast"/>
        <w:jc w:val="left"/>
        <w:rPr>
          <w:rFonts w:hint="eastAsia" w:ascii="黑体" w:hAnsi="黑体" w:eastAsia="黑体" w:cs="黑体"/>
          <w:b w:val="0"/>
          <w:bCs/>
          <w:kern w:val="0"/>
          <w:sz w:val="32"/>
          <w:szCs w:val="32"/>
        </w:rPr>
      </w:pPr>
      <w:r>
        <w:rPr>
          <w:rFonts w:hint="eastAsia"/>
          <w:sz w:val="21"/>
          <w:szCs w:val="32"/>
        </w:rPr>
        <w:t>注：本文书一式两份。分为正、副本，正本送达当事人，副本留存</w:t>
      </w:r>
      <w:r>
        <w:rPr>
          <w:rFonts w:hint="eastAsia"/>
          <w:sz w:val="21"/>
          <w:szCs w:val="32"/>
          <w:lang w:eastAsia="zh-CN"/>
        </w:rPr>
        <w:t>。</w:t>
      </w:r>
    </w:p>
    <w:p w14:paraId="3352ED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p>
    <w:p w14:paraId="3AA873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p>
    <w:p w14:paraId="6E86732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一、《保障农民工工资支付条例》第三条第一款规定：农民工有按时足额获得工资的权利，任何单位和个人不得拖欠农民工工资。</w:t>
      </w:r>
    </w:p>
    <w:p w14:paraId="707B469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二、《中华人民共和国劳动合同法》第三十条第一款规定：用人单位应当按照劳动合同约定和国家规定，向劳动者及时足额支付劳动报酬。</w:t>
      </w:r>
    </w:p>
    <w:p w14:paraId="1EFD0B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八十五条第一款第（一）项规定：用人单位有下列情形之一的，由劳动行政部门责令限期支付劳动报酬、加班费或者经济补偿金；劳动报酬低于当地最低工资标准的，应当支付其差额部分；逾期不支付的，责令用人单位按应付金额百分之五十以上百分之一百以下的标准向劳动者加付赔偿金；</w:t>
      </w:r>
    </w:p>
    <w:p w14:paraId="57E8823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（一）未按照劳动合同的约定或者国家规定及时足额支付劳动者劳动报酬的；</w:t>
      </w:r>
    </w:p>
    <w:p w14:paraId="0FA455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2003EB7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rPr>
      </w:pPr>
      <w:r>
        <w:rPr>
          <w:rFonts w:hint="eastAsia" w:ascii="宋体" w:hAnsi="宋体" w:eastAsia="宋体" w:cs="宋体"/>
          <w:kern w:val="0"/>
          <w:sz w:val="28"/>
          <w:szCs w:val="28"/>
          <w:lang w:val="en-US" w:eastAsia="zh-CN"/>
        </w:rPr>
        <w:t>《劳动保障监察条例》第十八条</w:t>
      </w:r>
      <w:r>
        <w:rPr>
          <w:rFonts w:hint="eastAsia" w:ascii="宋体" w:hAnsi="宋体" w:eastAsia="宋体" w:cs="宋体"/>
          <w:kern w:val="0"/>
          <w:sz w:val="28"/>
          <w:szCs w:val="28"/>
        </w:rPr>
        <w:t>第一款第</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w:t>
      </w:r>
      <w:r>
        <w:rPr>
          <w:rFonts w:hint="eastAsia" w:ascii="宋体" w:hAnsi="宋体" w:eastAsia="宋体" w:cs="宋体"/>
          <w:kern w:val="0"/>
          <w:sz w:val="28"/>
          <w:szCs w:val="28"/>
          <w:lang w:val="en-US" w:eastAsia="zh-CN"/>
        </w:rPr>
        <w:t>规定：</w:t>
      </w:r>
      <w:r>
        <w:rPr>
          <w:rFonts w:hint="eastAsia" w:ascii="宋体" w:hAnsi="宋体" w:eastAsia="宋体" w:cs="宋体"/>
          <w:kern w:val="0"/>
          <w:sz w:val="28"/>
          <w:szCs w:val="28"/>
        </w:rPr>
        <w:t>劳动保障行政部门对违反劳动保障法律、法规或者规章的行为,根据调查、检查的结果,作出以下处理：</w:t>
      </w:r>
      <w:r>
        <w:rPr>
          <w:rFonts w:hint="default"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default" w:ascii="宋体" w:hAnsi="宋体" w:eastAsia="宋体" w:cs="宋体"/>
          <w:kern w:val="0"/>
          <w:sz w:val="28"/>
          <w:szCs w:val="28"/>
        </w:rPr>
        <w:t>（二）对应当改正未改正的,依法责令改正或者作出相应的行政处理决定；</w:t>
      </w:r>
    </w:p>
    <w:p w14:paraId="609214A0">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3A46D7D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lang w:val="en-US" w:eastAsia="zh-CN"/>
        </w:rPr>
      </w:pPr>
      <w:r>
        <w:rPr>
          <w:rFonts w:hint="default" w:ascii="宋体" w:hAnsi="宋体" w:eastAsia="宋体" w:cs="宋体"/>
          <w:kern w:val="0"/>
          <w:sz w:val="28"/>
          <w:szCs w:val="28"/>
        </w:rPr>
        <w:t>第十九条</w:t>
      </w:r>
      <w:r>
        <w:rPr>
          <w:rFonts w:hint="eastAsia" w:ascii="宋体" w:hAnsi="宋体" w:eastAsia="宋体" w:cs="宋体"/>
          <w:kern w:val="0"/>
          <w:sz w:val="28"/>
          <w:szCs w:val="28"/>
          <w:lang w:val="en-US" w:eastAsia="zh-CN"/>
        </w:rPr>
        <w:t>规定：</w:t>
      </w:r>
      <w:r>
        <w:rPr>
          <w:rFonts w:hint="default" w:ascii="宋体" w:hAnsi="宋体" w:eastAsia="宋体" w:cs="宋体"/>
          <w:kern w:val="0"/>
          <w:sz w:val="28"/>
          <w:szCs w:val="28"/>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7630713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《重大劳动保障违法行为社会公布办法》第五条规定：人力资源社会保障行政部门对下列已经依法查处并作出处理决定的重大劳动保障违法行为，应当向社会公布：</w:t>
      </w:r>
    </w:p>
    <w:p w14:paraId="35CD986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（一）克扣、无故拖欠劳动者劳动报酬，数额较大的；拒不支付劳动报酬，依法移送司法机关追究刑事责任的；</w:t>
      </w:r>
    </w:p>
    <w:p w14:paraId="39D7ACC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（二）不依法参加社会保险或者不依法缴纳社会保险费情节严重的；</w:t>
      </w:r>
    </w:p>
    <w:p w14:paraId="1821A76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（三）违反工作时间和休息休假规定，情节严重的；</w:t>
      </w:r>
    </w:p>
    <w:p w14:paraId="7444D9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（四）违反女职工和未成年工特殊劳动保护规定，情节严重的；</w:t>
      </w:r>
    </w:p>
    <w:p w14:paraId="6DDAA2F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（五）违反禁止使用童工规定的；</w:t>
      </w:r>
    </w:p>
    <w:p w14:paraId="6D83B4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（六）因劳动保障违法行为造成严重不良社会影响的；</w:t>
      </w:r>
    </w:p>
    <w:p w14:paraId="00C6135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（七）其他重大劳动保障违法行为。</w:t>
      </w:r>
    </w:p>
    <w:p w14:paraId="385EBD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、《拖欠农民工工资</w:t>
      </w:r>
      <w:r>
        <w:rPr>
          <w:rFonts w:hint="eastAsia" w:ascii="宋体" w:hAnsi="宋体" w:eastAsia="宋体" w:cs="宋体"/>
          <w:kern w:val="0"/>
          <w:sz w:val="28"/>
          <w:szCs w:val="28"/>
          <w:lang w:val="en-US" w:eastAsia="zh-CN"/>
        </w:rPr>
        <w:t>失信联合惩戒对象名单</w:t>
      </w:r>
      <w:r>
        <w:rPr>
          <w:rFonts w:hint="eastAsia" w:ascii="宋体" w:hAnsi="宋体" w:eastAsia="宋体" w:cs="宋体"/>
          <w:kern w:val="0"/>
          <w:sz w:val="28"/>
          <w:szCs w:val="28"/>
        </w:rPr>
        <w:t>管理暂行办法》第五条规定：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14:paraId="07A1188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（一）克扣、无故拖欠农民工工资达到认定拒不支付劳动报酬罪数额标准的；</w:t>
      </w:r>
    </w:p>
    <w:p w14:paraId="309A5DD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（二）因拖欠农民工工资违法行为引发群体性事件、极端事件造成严重不良社会影响的。</w:t>
      </w:r>
    </w:p>
    <w:p w14:paraId="7719E1A4"/>
    <w:sectPr>
      <w:pgSz w:w="11906" w:h="16838"/>
      <w:pgMar w:top="1440" w:right="141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1AEE"/>
    <w:multiLevelType w:val="singleLevel"/>
    <w:tmpl w:val="822A1A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jAxOWI5YjE1ZmUxYjYyNTM5Y2Y1ZjM3YjY5ZjAifQ=="/>
  </w:docVars>
  <w:rsids>
    <w:rsidRoot w:val="3F5B7BEE"/>
    <w:rsid w:val="27D875B1"/>
    <w:rsid w:val="3F5B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2195</Words>
  <Characters>2353</Characters>
  <Lines>0</Lines>
  <Paragraphs>0</Paragraphs>
  <TotalTime>1</TotalTime>
  <ScaleCrop>false</ScaleCrop>
  <LinksUpToDate>false</LinksUpToDate>
  <CharactersWithSpaces>2505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2023-09-15T01:33:00Z</dcterms:created>
  <dc:creator>洒洒</dc:creator>
  <cp:lastModifiedBy>秋秋秋</cp:lastModifiedBy>
  <dcterms:modified xsi:type="dcterms:W3CDTF">2025-05-09T06:43:20Z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72731DFC2A5547D3A5CDF1C2EAB369CE_11</vt:lpwstr>
  </property>
  <property fmtid="{D5CDD505-2E9C-101B-9397-08002B2CF9AE}" pid="4" name="KSOTemplateDocerSaveRecord">
    <vt:lpwstr>eyJoZGlkIjoiZWMwZjAxOWI5YjE1ZmUxYjYyNTM5Y2Y1ZjM3YjY5ZjAiLCJ1c2VySWQiOiIyNDMxNjc2MjgifQ==</vt:lpwstr>
  </property>
</Properties>
</file>