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9CD6254">
      <w:pPr>
        <w:snapToGrid w:val="0"/>
        <w:spacing w:line="580" w:lineRule="exact"/>
        <w:jc w:val="center"/>
        <w:rPr>
          <w:rFonts w:hint="eastAsia" w:ascii="方正小标宋_GBK" w:hAnsi="方正小标宋_GBK" w:eastAsia="方正小标宋_GBK" w:cs="方正小标宋_GBK"/>
          <w:color w:val="000000"/>
          <w:sz w:val="44"/>
          <w:szCs w:val="44"/>
        </w:rPr>
      </w:pPr>
      <w:r>
        <w:rPr>
          <w:rFonts w:hint="eastAsia" w:ascii="方正小标宋_GBK" w:hAnsi="方正小标宋_GBK" w:eastAsia="方正小标宋_GBK" w:cs="方正小标宋_GBK"/>
          <w:color w:val="000000"/>
          <w:sz w:val="44"/>
          <w:szCs w:val="44"/>
          <w:lang w:val="en-US" w:eastAsia="zh-CN"/>
        </w:rPr>
        <w:t>2025年海安市</w:t>
      </w:r>
      <w:r>
        <w:rPr>
          <w:rFonts w:hint="eastAsia" w:ascii="方正小标宋_GBK" w:hAnsi="方正小标宋_GBK" w:eastAsia="方正小标宋_GBK" w:cs="方正小标宋_GBK"/>
          <w:color w:val="000000"/>
          <w:sz w:val="44"/>
          <w:szCs w:val="44"/>
        </w:rPr>
        <w:t>婴幼儿服装产品质量监督抽查实施细则</w:t>
      </w:r>
    </w:p>
    <w:p w14:paraId="74CC9399">
      <w:pPr>
        <w:snapToGrid w:val="0"/>
        <w:spacing w:line="580" w:lineRule="exact"/>
        <w:jc w:val="center"/>
        <w:rPr>
          <w:rFonts w:hint="eastAsia" w:ascii="方正小标宋_GBK" w:hAnsi="方正小标宋_GBK" w:eastAsia="方正小标宋_GBK" w:cs="方正小标宋_GBK"/>
          <w:color w:val="000000"/>
          <w:sz w:val="44"/>
          <w:szCs w:val="44"/>
        </w:rPr>
      </w:pPr>
    </w:p>
    <w:p w14:paraId="16167AF8">
      <w:pPr>
        <w:spacing w:line="600" w:lineRule="exact"/>
        <w:ind w:firstLine="640" w:firstLineChars="200"/>
        <w:rPr>
          <w:rFonts w:ascii="方正黑体_GBK" w:hAnsi="方正黑体_GBK" w:eastAsia="方正黑体_GBK" w:cs="方正黑体_GBK"/>
          <w:kern w:val="0"/>
          <w:sz w:val="32"/>
          <w:szCs w:val="32"/>
          <w:shd w:val="clear" w:color="auto" w:fill="FFFFFF"/>
          <w:lang w:bidi="ar"/>
        </w:rPr>
      </w:pPr>
      <w:r>
        <w:rPr>
          <w:rFonts w:hint="eastAsia" w:ascii="方正黑体_GBK" w:hAnsi="方正黑体_GBK" w:eastAsia="方正黑体_GBK" w:cs="方正黑体_GBK"/>
          <w:bCs/>
          <w:sz w:val="32"/>
          <w:szCs w:val="32"/>
        </w:rPr>
        <w:t>1.</w:t>
      </w:r>
      <w:r>
        <w:rPr>
          <w:rFonts w:hint="eastAsia" w:ascii="方正黑体_GBK" w:hAnsi="方正黑体_GBK" w:eastAsia="方正黑体_GBK" w:cs="方正黑体_GBK"/>
          <w:kern w:val="0"/>
          <w:sz w:val="32"/>
          <w:szCs w:val="32"/>
          <w:shd w:val="clear" w:color="auto" w:fill="FFFFFF"/>
          <w:lang w:bidi="ar"/>
        </w:rPr>
        <w:t>范围</w:t>
      </w:r>
    </w:p>
    <w:p w14:paraId="6059C082">
      <w:pPr>
        <w:spacing w:line="600" w:lineRule="exact"/>
        <w:ind w:firstLine="640" w:firstLineChars="200"/>
        <w:rPr>
          <w:rFonts w:ascii="仿宋_GB2312" w:hAnsi="宋体" w:eastAsia="仿宋_GB2312"/>
          <w:sz w:val="30"/>
          <w:szCs w:val="32"/>
        </w:rPr>
      </w:pPr>
      <w:r>
        <w:rPr>
          <w:rFonts w:hint="eastAsia" w:ascii="方正仿宋_GBK" w:hAnsi="方正仿宋_GBK" w:eastAsia="方正仿宋_GBK" w:cs="方正仿宋_GBK"/>
          <w:sz w:val="32"/>
          <w:szCs w:val="32"/>
        </w:rPr>
        <w:t>本细则适用于</w:t>
      </w:r>
      <w:r>
        <w:rPr>
          <w:rFonts w:hint="eastAsia" w:ascii="方正仿宋_GBK" w:hAnsi="方正仿宋_GBK" w:eastAsia="方正仿宋_GBK" w:cs="方正仿宋_GBK"/>
          <w:sz w:val="32"/>
          <w:szCs w:val="32"/>
          <w:lang w:eastAsia="zh-CN"/>
        </w:rPr>
        <w:t>海安市</w:t>
      </w:r>
      <w:r>
        <w:rPr>
          <w:rFonts w:hint="eastAsia" w:ascii="方正仿宋_GBK" w:hAnsi="方正仿宋_GBK" w:eastAsia="方正仿宋_GBK" w:cs="方正仿宋_GBK"/>
          <w:sz w:val="32"/>
          <w:szCs w:val="32"/>
        </w:rPr>
        <w:t>市场监督管理局组织的婴幼儿服装产品质量监督抽查检验。本细则规定了此产品的抽样方法、检验依据、检验项目、检验方法、判定原则、异议处理及复检。</w:t>
      </w:r>
    </w:p>
    <w:p w14:paraId="70984A78">
      <w:pPr>
        <w:spacing w:line="600" w:lineRule="exact"/>
        <w:ind w:firstLine="640" w:firstLineChars="200"/>
        <w:rPr>
          <w:rFonts w:ascii="方正黑体_GBK" w:hAnsi="方正黑体_GBK" w:eastAsia="方正黑体_GBK" w:cs="方正黑体_GBK"/>
          <w:bCs/>
          <w:sz w:val="32"/>
          <w:szCs w:val="32"/>
        </w:rPr>
      </w:pPr>
      <w:r>
        <w:rPr>
          <w:rFonts w:hint="eastAsia" w:ascii="方正黑体_GBK" w:hAnsi="方正黑体_GBK" w:eastAsia="方正黑体_GBK" w:cs="方正黑体_GBK"/>
          <w:bCs/>
          <w:sz w:val="32"/>
          <w:szCs w:val="32"/>
        </w:rPr>
        <w:t>2.抽样方法</w:t>
      </w:r>
    </w:p>
    <w:p w14:paraId="161FCA71">
      <w:pPr>
        <w:snapToGrid w:val="0"/>
        <w:spacing w:line="600" w:lineRule="exact"/>
        <w:ind w:firstLine="640" w:firstLineChars="200"/>
        <w:rPr>
          <w:rFonts w:ascii="方正黑体_GBK" w:hAnsi="宋体" w:eastAsia="方正黑体_GBK" w:cs="宋体"/>
          <w:bCs/>
          <w:sz w:val="32"/>
          <w:szCs w:val="32"/>
        </w:rPr>
      </w:pPr>
      <w:r>
        <w:rPr>
          <w:rFonts w:hint="eastAsia" w:ascii="方正黑体_GBK" w:hAnsi="宋体" w:eastAsia="方正黑体_GBK" w:cs="宋体"/>
          <w:bCs/>
          <w:sz w:val="32"/>
          <w:szCs w:val="32"/>
        </w:rPr>
        <w:t>2</w:t>
      </w:r>
      <w:r>
        <w:rPr>
          <w:rFonts w:ascii="方正黑体_GBK" w:hAnsi="宋体" w:eastAsia="方正黑体_GBK" w:cs="宋体"/>
          <w:bCs/>
          <w:sz w:val="32"/>
          <w:szCs w:val="32"/>
        </w:rPr>
        <w:t>.</w:t>
      </w:r>
      <w:r>
        <w:rPr>
          <w:rFonts w:hint="eastAsia" w:ascii="方正黑体_GBK" w:hAnsi="宋体" w:eastAsia="方正黑体_GBK" w:cs="宋体"/>
          <w:bCs/>
          <w:sz w:val="32"/>
          <w:szCs w:val="32"/>
        </w:rPr>
        <w:t>1生产企业抽样</w:t>
      </w:r>
    </w:p>
    <w:p w14:paraId="3F813B6C">
      <w:pPr>
        <w:spacing w:line="600" w:lineRule="exact"/>
        <w:ind w:firstLine="640" w:firstLineChars="200"/>
        <w:rPr>
          <w:rFonts w:ascii="方正仿宋_GBK" w:hAnsi="方正仿宋_GBK" w:eastAsia="方正仿宋_GBK"/>
          <w:sz w:val="32"/>
          <w:szCs w:val="32"/>
        </w:rPr>
      </w:pPr>
      <w:r>
        <w:rPr>
          <w:rFonts w:hint="eastAsia" w:ascii="方正仿宋_GBK" w:hAnsi="宋体" w:eastAsia="方正仿宋_GBK" w:cs="宋体"/>
          <w:sz w:val="32"/>
          <w:szCs w:val="32"/>
        </w:rPr>
        <w:t>抽样人员在事先不通知生产企业的情况下在成品仓库中随机抽取有产品质量检验合格证明或以任何其他形式表明合格的待销产品，随机数使用扑克牌方法产生，所需检验样品以承检机构名义付费购买，备用样品由受检企业先行无偿提供，启动备用样品进行复检时由原承检机构另行付费购买，备用样品封存于生产企业。</w:t>
      </w:r>
      <w:r>
        <w:rPr>
          <w:rFonts w:ascii="方正仿宋_GBK" w:hAnsi="方正仿宋_GBK" w:eastAsia="方正仿宋_GBK"/>
          <w:sz w:val="32"/>
          <w:szCs w:val="32"/>
        </w:rPr>
        <w:t>抽样数量为</w:t>
      </w:r>
      <w:r>
        <w:rPr>
          <w:rFonts w:hint="eastAsia" w:ascii="方正仿宋_GBK" w:hAnsi="方正仿宋_GBK" w:eastAsia="方正仿宋_GBK"/>
          <w:sz w:val="32"/>
          <w:szCs w:val="32"/>
        </w:rPr>
        <w:t>3件/条/套，其中2件/条/套作为检验样品，1件/条/套作为备用样品</w:t>
      </w:r>
      <w:r>
        <w:rPr>
          <w:rFonts w:ascii="方正仿宋_GBK" w:hAnsi="方正仿宋_GBK" w:eastAsia="方正仿宋_GBK"/>
          <w:sz w:val="32"/>
          <w:szCs w:val="32"/>
        </w:rPr>
        <w:t>，</w:t>
      </w:r>
      <w:r>
        <w:rPr>
          <w:rFonts w:hint="eastAsia" w:ascii="方正仿宋_GBK" w:hAnsi="方正仿宋_GBK" w:eastAsia="方正仿宋_GBK"/>
          <w:sz w:val="32"/>
          <w:szCs w:val="32"/>
        </w:rPr>
        <w:t>如样品面积过小，可适当增加抽样数量，抽样基数满足抽样数量即可</w:t>
      </w:r>
      <w:r>
        <w:rPr>
          <w:rFonts w:ascii="方正仿宋_GBK" w:hAnsi="方正仿宋_GBK" w:eastAsia="方正仿宋_GBK"/>
          <w:sz w:val="32"/>
          <w:szCs w:val="32"/>
        </w:rPr>
        <w:t>。</w:t>
      </w:r>
    </w:p>
    <w:p w14:paraId="020443AA">
      <w:pPr>
        <w:spacing w:line="600" w:lineRule="exact"/>
        <w:ind w:firstLine="640" w:firstLineChars="200"/>
        <w:rPr>
          <w:rFonts w:ascii="方正黑体_GBK" w:hAnsi="宋体" w:eastAsia="方正黑体_GBK" w:cs="宋体"/>
          <w:bCs/>
          <w:sz w:val="32"/>
          <w:szCs w:val="32"/>
        </w:rPr>
      </w:pPr>
      <w:r>
        <w:rPr>
          <w:rFonts w:hint="eastAsia" w:ascii="方正黑体_GBK" w:hAnsi="宋体" w:eastAsia="方正黑体_GBK" w:cs="宋体"/>
          <w:bCs/>
          <w:sz w:val="32"/>
          <w:szCs w:val="32"/>
          <w:lang w:val="en-US" w:eastAsia="zh-CN"/>
        </w:rPr>
        <w:t>2.2</w:t>
      </w:r>
      <w:r>
        <w:rPr>
          <w:rFonts w:hint="eastAsia" w:ascii="方正黑体_GBK" w:hAnsi="宋体" w:eastAsia="方正黑体_GBK" w:cs="宋体"/>
          <w:bCs/>
          <w:sz w:val="32"/>
          <w:szCs w:val="32"/>
        </w:rPr>
        <w:t>实体店抽样</w:t>
      </w:r>
    </w:p>
    <w:p w14:paraId="72205857">
      <w:pPr>
        <w:spacing w:line="600" w:lineRule="exact"/>
        <w:ind w:firstLine="640" w:firstLineChars="200"/>
        <w:rPr>
          <w:rFonts w:ascii="方正仿宋_GBK" w:hAnsi="方正仿宋_GBK" w:eastAsia="方正仿宋_GBK"/>
          <w:sz w:val="32"/>
          <w:szCs w:val="32"/>
        </w:rPr>
      </w:pPr>
      <w:r>
        <w:rPr>
          <w:rFonts w:hint="eastAsia" w:ascii="Times New Roman" w:hAnsi="Times New Roman" w:eastAsia="方正仿宋_GBK"/>
          <w:bCs/>
          <w:kern w:val="0"/>
          <w:sz w:val="32"/>
          <w:szCs w:val="32"/>
          <w:lang w:bidi="ar"/>
        </w:rPr>
        <w:t>在待销产品中随机抽取，索取发票等购样凭据留证</w:t>
      </w:r>
      <w:r>
        <w:rPr>
          <w:rFonts w:hint="eastAsia" w:ascii="方正仿宋_GBK" w:hAnsi="Times New Roman" w:eastAsia="方正仿宋_GBK"/>
          <w:kern w:val="0"/>
          <w:sz w:val="32"/>
          <w:szCs w:val="32"/>
          <w:shd w:val="clear" w:color="auto" w:fill="FFFFFF"/>
          <w:lang w:bidi="ar"/>
        </w:rPr>
        <w:t>。所需检验样品以承检机构名义付费购买，备用样品由受检企业先行无偿提供，启动备用样品进行复检时由原承检机构另行付费购买，备用样品封存于实体店。</w:t>
      </w:r>
      <w:r>
        <w:rPr>
          <w:rFonts w:ascii="方正仿宋_GBK" w:hAnsi="方正仿宋_GBK" w:eastAsia="方正仿宋_GBK"/>
          <w:sz w:val="32"/>
          <w:szCs w:val="32"/>
        </w:rPr>
        <w:t>抽样数量为</w:t>
      </w:r>
      <w:r>
        <w:rPr>
          <w:rFonts w:hint="eastAsia" w:ascii="方正仿宋_GBK" w:hAnsi="方正仿宋_GBK" w:eastAsia="方正仿宋_GBK"/>
          <w:sz w:val="32"/>
          <w:szCs w:val="32"/>
        </w:rPr>
        <w:t>3件/条/套，其中2件/条/套作为检验样品，1件/条/套作为备用样品</w:t>
      </w:r>
      <w:r>
        <w:rPr>
          <w:rFonts w:ascii="方正仿宋_GBK" w:hAnsi="方正仿宋_GBK" w:eastAsia="方正仿宋_GBK"/>
          <w:sz w:val="32"/>
          <w:szCs w:val="32"/>
        </w:rPr>
        <w:t>，</w:t>
      </w:r>
      <w:r>
        <w:rPr>
          <w:rFonts w:hint="eastAsia" w:ascii="方正仿宋_GBK" w:hAnsi="方正仿宋_GBK" w:eastAsia="方正仿宋_GBK"/>
          <w:sz w:val="32"/>
          <w:szCs w:val="32"/>
        </w:rPr>
        <w:t>如样品面积过小，可适当增加抽样数量，抽样基数满足抽样数量即可</w:t>
      </w:r>
      <w:r>
        <w:rPr>
          <w:rFonts w:ascii="方正仿宋_GBK" w:hAnsi="方正仿宋_GBK" w:eastAsia="方正仿宋_GBK"/>
          <w:sz w:val="32"/>
          <w:szCs w:val="32"/>
        </w:rPr>
        <w:t>。</w:t>
      </w:r>
    </w:p>
    <w:p w14:paraId="4D799D34">
      <w:pPr>
        <w:spacing w:line="600" w:lineRule="exact"/>
        <w:ind w:firstLine="640" w:firstLineChars="200"/>
        <w:rPr>
          <w:rFonts w:ascii="方正黑体_GBK" w:hAnsi="宋体" w:eastAsia="方正黑体_GBK" w:cs="宋体"/>
          <w:bCs/>
          <w:sz w:val="32"/>
          <w:szCs w:val="32"/>
        </w:rPr>
      </w:pPr>
      <w:r>
        <w:rPr>
          <w:rFonts w:hint="eastAsia" w:ascii="方正黑体_GBK" w:hAnsi="宋体" w:eastAsia="方正黑体_GBK" w:cs="宋体"/>
          <w:bCs/>
          <w:sz w:val="32"/>
          <w:szCs w:val="32"/>
        </w:rPr>
        <w:t>2</w:t>
      </w:r>
      <w:r>
        <w:rPr>
          <w:rFonts w:ascii="方正黑体_GBK" w:hAnsi="宋体" w:eastAsia="方正黑体_GBK" w:cs="宋体"/>
          <w:bCs/>
          <w:sz w:val="32"/>
          <w:szCs w:val="32"/>
        </w:rPr>
        <w:t>.</w:t>
      </w:r>
      <w:r>
        <w:rPr>
          <w:rFonts w:hint="eastAsia" w:ascii="方正黑体_GBK" w:hAnsi="宋体" w:eastAsia="方正黑体_GBK" w:cs="宋体"/>
          <w:bCs/>
          <w:sz w:val="32"/>
          <w:szCs w:val="32"/>
          <w:lang w:val="en-US" w:eastAsia="zh-CN"/>
        </w:rPr>
        <w:t>3</w:t>
      </w:r>
      <w:r>
        <w:rPr>
          <w:rFonts w:hint="eastAsia" w:ascii="方正黑体_GBK" w:hAnsi="宋体" w:eastAsia="方正黑体_GBK" w:cs="宋体"/>
          <w:bCs/>
          <w:sz w:val="32"/>
          <w:szCs w:val="32"/>
        </w:rPr>
        <w:t>电商平台抽样</w:t>
      </w:r>
    </w:p>
    <w:p w14:paraId="4C2AFD3A">
      <w:pPr>
        <w:spacing w:line="600" w:lineRule="exact"/>
        <w:ind w:firstLine="640" w:firstLineChars="200"/>
        <w:rPr>
          <w:rFonts w:ascii="方正仿宋_GBK" w:hAnsi="Times New Roman" w:eastAsia="方正仿宋_GBK"/>
          <w:kern w:val="0"/>
          <w:sz w:val="32"/>
          <w:szCs w:val="32"/>
          <w:shd w:val="clear" w:color="auto" w:fill="FFFFFF"/>
          <w:lang w:bidi="ar"/>
        </w:rPr>
      </w:pPr>
      <w:r>
        <w:rPr>
          <w:rFonts w:hint="eastAsia" w:ascii="方正仿宋_GBK" w:hAnsi="Times New Roman" w:eastAsia="方正仿宋_GBK"/>
          <w:kern w:val="0"/>
          <w:sz w:val="32"/>
          <w:szCs w:val="32"/>
          <w:shd w:val="clear" w:color="auto" w:fill="FFFFFF"/>
          <w:lang w:bidi="ar"/>
        </w:rPr>
        <w:t>抽样人员以承检机构或消费者名义购买样品，索取并保留有效的购物发票或者凭证。同时，应当用照片、视频或者截屏记录抽样情况。</w:t>
      </w:r>
      <w:bookmarkStart w:id="0" w:name="_Hlk95294563"/>
      <w:r>
        <w:rPr>
          <w:rFonts w:hint="eastAsia" w:ascii="方正仿宋_GBK" w:hAnsi="Times New Roman" w:eastAsia="方正仿宋_GBK"/>
          <w:kern w:val="0"/>
          <w:sz w:val="32"/>
          <w:szCs w:val="32"/>
          <w:shd w:val="clear" w:color="auto" w:fill="FFFFFF"/>
          <w:lang w:bidi="ar"/>
        </w:rPr>
        <w:t>备用样品由承检机构付费购买，封存在承检机构。</w:t>
      </w:r>
      <w:bookmarkEnd w:id="0"/>
      <w:r>
        <w:rPr>
          <w:rFonts w:ascii="方正仿宋_GBK" w:hAnsi="方正仿宋_GBK" w:eastAsia="方正仿宋_GBK"/>
          <w:sz w:val="32"/>
          <w:szCs w:val="32"/>
        </w:rPr>
        <w:t>抽样数量为</w:t>
      </w:r>
      <w:r>
        <w:rPr>
          <w:rFonts w:hint="eastAsia" w:ascii="方正仿宋_GBK" w:hAnsi="方正仿宋_GBK" w:eastAsia="方正仿宋_GBK"/>
          <w:sz w:val="32"/>
          <w:szCs w:val="32"/>
        </w:rPr>
        <w:t>3件/条/套，其中2件/条/套作为检验样品，1件/条/套作为备用样品</w:t>
      </w:r>
      <w:r>
        <w:rPr>
          <w:rFonts w:ascii="方正仿宋_GBK" w:hAnsi="方正仿宋_GBK" w:eastAsia="方正仿宋_GBK"/>
          <w:sz w:val="32"/>
          <w:szCs w:val="32"/>
        </w:rPr>
        <w:t>，</w:t>
      </w:r>
      <w:r>
        <w:rPr>
          <w:rFonts w:hint="eastAsia" w:ascii="方正仿宋_GBK" w:hAnsi="方正仿宋_GBK" w:eastAsia="方正仿宋_GBK"/>
          <w:sz w:val="32"/>
          <w:szCs w:val="32"/>
        </w:rPr>
        <w:t>如样品面积过小，可适当增加抽样数量，抽样基数满足抽样数量即可</w:t>
      </w:r>
      <w:r>
        <w:rPr>
          <w:rFonts w:ascii="方正仿宋_GBK" w:hAnsi="方正仿宋_GBK" w:eastAsia="方正仿宋_GBK"/>
          <w:sz w:val="32"/>
          <w:szCs w:val="32"/>
        </w:rPr>
        <w:t>。</w:t>
      </w:r>
    </w:p>
    <w:p w14:paraId="6C3F48B5">
      <w:pPr>
        <w:spacing w:line="600" w:lineRule="exact"/>
        <w:ind w:firstLine="640" w:firstLineChars="200"/>
        <w:rPr>
          <w:rFonts w:ascii="方正黑体_GBK" w:hAnsi="方正黑体_GBK" w:eastAsia="方正黑体_GBK" w:cs="方正黑体_GBK"/>
          <w:bCs/>
          <w:sz w:val="32"/>
          <w:szCs w:val="32"/>
        </w:rPr>
      </w:pPr>
      <w:r>
        <w:rPr>
          <w:rFonts w:hint="eastAsia" w:ascii="方正黑体_GBK" w:hAnsi="方正黑体_GBK" w:eastAsia="方正黑体_GBK" w:cs="方正黑体_GBK"/>
          <w:bCs/>
          <w:sz w:val="32"/>
          <w:szCs w:val="32"/>
        </w:rPr>
        <w:t>3.检验依据</w:t>
      </w:r>
    </w:p>
    <w:p w14:paraId="65DA2097">
      <w:pPr>
        <w:widowControl/>
        <w:spacing w:line="600" w:lineRule="exact"/>
        <w:ind w:firstLine="2880" w:firstLineChars="900"/>
        <w:rPr>
          <w:rFonts w:ascii="方正仿宋_GBK" w:eastAsia="方正仿宋_GBK"/>
          <w:color w:val="000000"/>
          <w:sz w:val="32"/>
          <w:szCs w:val="32"/>
        </w:rPr>
      </w:pPr>
      <w:r>
        <w:rPr>
          <w:rFonts w:hint="eastAsia" w:ascii="方正仿宋_GBK" w:eastAsia="方正仿宋_GBK"/>
          <w:color w:val="000000"/>
          <w:sz w:val="32"/>
          <w:szCs w:val="32"/>
        </w:rPr>
        <w:t>表1 检验项目及依据</w:t>
      </w:r>
    </w:p>
    <w:tbl>
      <w:tblPr>
        <w:tblStyle w:val="5"/>
        <w:tblW w:w="97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11"/>
        <w:gridCol w:w="2693"/>
        <w:gridCol w:w="2897"/>
        <w:gridCol w:w="3037"/>
      </w:tblGrid>
      <w:tr w14:paraId="259F53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1111" w:type="dxa"/>
            <w:vAlign w:val="center"/>
          </w:tcPr>
          <w:p w14:paraId="37366BDF">
            <w:pPr>
              <w:adjustRightInd w:val="0"/>
              <w:snapToGrid w:val="0"/>
              <w:jc w:val="center"/>
              <w:rPr>
                <w:rFonts w:ascii="方正仿宋_GBK" w:hAnsi="Times New Roman" w:eastAsia="方正仿宋_GBK"/>
                <w:kern w:val="0"/>
                <w:sz w:val="32"/>
                <w:szCs w:val="32"/>
                <w:shd w:val="clear" w:color="auto" w:fill="FFFFFF"/>
                <w:lang w:bidi="ar"/>
              </w:rPr>
            </w:pPr>
            <w:bookmarkStart w:id="1" w:name="_Hlk95205400"/>
            <w:r>
              <w:rPr>
                <w:rFonts w:hint="eastAsia" w:ascii="方正仿宋_GBK" w:hAnsi="Times New Roman" w:eastAsia="方正仿宋_GBK"/>
                <w:kern w:val="0"/>
                <w:sz w:val="32"/>
                <w:szCs w:val="32"/>
                <w:shd w:val="clear" w:color="auto" w:fill="FFFFFF"/>
                <w:lang w:bidi="ar"/>
              </w:rPr>
              <w:t>序号</w:t>
            </w:r>
          </w:p>
        </w:tc>
        <w:tc>
          <w:tcPr>
            <w:tcW w:w="2693" w:type="dxa"/>
            <w:vAlign w:val="center"/>
          </w:tcPr>
          <w:p w14:paraId="0FC21A64">
            <w:pPr>
              <w:adjustRightInd w:val="0"/>
              <w:snapToGrid w:val="0"/>
              <w:jc w:val="center"/>
              <w:rPr>
                <w:rFonts w:ascii="方正仿宋_GBK" w:hAnsi="Times New Roman" w:eastAsia="方正仿宋_GBK"/>
                <w:kern w:val="0"/>
                <w:sz w:val="32"/>
                <w:szCs w:val="32"/>
                <w:shd w:val="clear" w:color="auto" w:fill="FFFFFF"/>
                <w:lang w:bidi="ar"/>
              </w:rPr>
            </w:pPr>
            <w:r>
              <w:rPr>
                <w:rFonts w:hint="eastAsia" w:ascii="方正仿宋_GBK" w:hAnsi="Times New Roman" w:eastAsia="方正仿宋_GBK"/>
                <w:kern w:val="0"/>
                <w:sz w:val="32"/>
                <w:szCs w:val="32"/>
                <w:shd w:val="clear" w:color="auto" w:fill="FFFFFF"/>
                <w:lang w:bidi="ar"/>
              </w:rPr>
              <w:t>检验检测项目</w:t>
            </w:r>
          </w:p>
        </w:tc>
        <w:tc>
          <w:tcPr>
            <w:tcW w:w="2897" w:type="dxa"/>
            <w:vAlign w:val="center"/>
          </w:tcPr>
          <w:p w14:paraId="32283A10">
            <w:pPr>
              <w:adjustRightInd w:val="0"/>
              <w:snapToGrid w:val="0"/>
              <w:jc w:val="center"/>
              <w:rPr>
                <w:rFonts w:ascii="方正仿宋_GBK" w:hAnsi="Times New Roman" w:eastAsia="方正仿宋_GBK"/>
                <w:kern w:val="0"/>
                <w:sz w:val="32"/>
                <w:szCs w:val="32"/>
                <w:shd w:val="clear" w:color="auto" w:fill="FFFFFF"/>
                <w:lang w:bidi="ar"/>
              </w:rPr>
            </w:pPr>
            <w:r>
              <w:rPr>
                <w:rFonts w:hint="eastAsia" w:ascii="方正仿宋_GBK" w:hAnsi="Times New Roman" w:eastAsia="方正仿宋_GBK"/>
                <w:kern w:val="0"/>
                <w:sz w:val="32"/>
                <w:szCs w:val="32"/>
                <w:shd w:val="clear" w:color="auto" w:fill="FFFFFF"/>
                <w:lang w:bidi="ar"/>
              </w:rPr>
              <w:t>检验检测依据</w:t>
            </w:r>
          </w:p>
        </w:tc>
        <w:tc>
          <w:tcPr>
            <w:tcW w:w="3037" w:type="dxa"/>
            <w:vAlign w:val="center"/>
          </w:tcPr>
          <w:p w14:paraId="7F7ABEC9">
            <w:pPr>
              <w:adjustRightInd w:val="0"/>
              <w:snapToGrid w:val="0"/>
              <w:jc w:val="center"/>
              <w:rPr>
                <w:rFonts w:ascii="方正仿宋_GBK" w:hAnsi="Times New Roman" w:eastAsia="方正仿宋_GBK"/>
                <w:kern w:val="0"/>
                <w:sz w:val="32"/>
                <w:szCs w:val="32"/>
                <w:shd w:val="clear" w:color="auto" w:fill="FFFFFF"/>
                <w:lang w:bidi="ar"/>
              </w:rPr>
            </w:pPr>
            <w:r>
              <w:rPr>
                <w:rFonts w:hint="eastAsia" w:ascii="方正仿宋_GBK" w:hAnsi="Times New Roman" w:eastAsia="方正仿宋_GBK"/>
                <w:kern w:val="0"/>
                <w:sz w:val="32"/>
                <w:szCs w:val="32"/>
                <w:shd w:val="clear" w:color="auto" w:fill="FFFFFF"/>
                <w:lang w:bidi="ar"/>
              </w:rPr>
              <w:t>检验检测方法</w:t>
            </w:r>
          </w:p>
        </w:tc>
      </w:tr>
      <w:tr w14:paraId="5091EB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1" w:hRule="atLeast"/>
          <w:jc w:val="center"/>
        </w:trPr>
        <w:tc>
          <w:tcPr>
            <w:tcW w:w="1111" w:type="dxa"/>
            <w:vAlign w:val="center"/>
          </w:tcPr>
          <w:p w14:paraId="327FC249">
            <w:pPr>
              <w:adjustRightInd w:val="0"/>
              <w:snapToGrid w:val="0"/>
              <w:jc w:val="center"/>
              <w:rPr>
                <w:rFonts w:ascii="方正仿宋_GBK" w:hAnsi="Times New Roman" w:eastAsia="方正仿宋_GBK"/>
                <w:kern w:val="0"/>
                <w:sz w:val="32"/>
                <w:szCs w:val="32"/>
                <w:shd w:val="clear" w:color="auto" w:fill="FFFFFF"/>
                <w:lang w:bidi="ar"/>
              </w:rPr>
            </w:pPr>
            <w:r>
              <w:rPr>
                <w:rFonts w:hint="eastAsia" w:ascii="方正仿宋_GBK" w:hAnsi="Times New Roman" w:eastAsia="方正仿宋_GBK"/>
                <w:kern w:val="0"/>
                <w:sz w:val="32"/>
                <w:szCs w:val="32"/>
                <w:shd w:val="clear" w:color="auto" w:fill="FFFFFF"/>
                <w:lang w:bidi="ar"/>
              </w:rPr>
              <w:t>1</w:t>
            </w:r>
          </w:p>
        </w:tc>
        <w:tc>
          <w:tcPr>
            <w:tcW w:w="2693" w:type="dxa"/>
            <w:vAlign w:val="center"/>
          </w:tcPr>
          <w:p w14:paraId="0750FED3">
            <w:pPr>
              <w:adjustRightInd w:val="0"/>
              <w:snapToGrid w:val="0"/>
              <w:jc w:val="center"/>
              <w:rPr>
                <w:rFonts w:ascii="方正仿宋_GBK" w:hAnsi="Times New Roman" w:eastAsia="方正仿宋_GBK"/>
                <w:kern w:val="0"/>
                <w:sz w:val="32"/>
                <w:szCs w:val="32"/>
                <w:shd w:val="clear" w:color="auto" w:fill="FFFFFF"/>
                <w:lang w:bidi="ar"/>
              </w:rPr>
            </w:pPr>
            <w:r>
              <w:rPr>
                <w:rFonts w:hint="eastAsia" w:ascii="方正仿宋_GBK" w:hAnsi="Times New Roman" w:eastAsia="方正仿宋_GBK"/>
                <w:kern w:val="0"/>
                <w:sz w:val="32"/>
                <w:szCs w:val="32"/>
                <w:shd w:val="clear" w:color="auto" w:fill="FFFFFF"/>
                <w:lang w:bidi="ar"/>
              </w:rPr>
              <w:t>甲醛含量</w:t>
            </w:r>
          </w:p>
        </w:tc>
        <w:tc>
          <w:tcPr>
            <w:tcW w:w="2897" w:type="dxa"/>
            <w:vMerge w:val="restart"/>
            <w:vAlign w:val="center"/>
          </w:tcPr>
          <w:p w14:paraId="34F046A5">
            <w:pPr>
              <w:adjustRightInd w:val="0"/>
              <w:snapToGrid w:val="0"/>
              <w:jc w:val="center"/>
              <w:rPr>
                <w:rFonts w:ascii="方正仿宋_GBK" w:hAnsi="Times New Roman" w:eastAsia="方正仿宋_GBK"/>
                <w:kern w:val="0"/>
                <w:sz w:val="32"/>
                <w:szCs w:val="32"/>
                <w:shd w:val="clear" w:color="auto" w:fill="FFFFFF"/>
                <w:lang w:bidi="ar"/>
              </w:rPr>
            </w:pPr>
            <w:r>
              <w:rPr>
                <w:rFonts w:hint="eastAsia" w:ascii="方正仿宋_GBK" w:hAnsi="Times New Roman" w:eastAsia="方正仿宋_GBK"/>
                <w:kern w:val="0"/>
                <w:sz w:val="32"/>
                <w:szCs w:val="32"/>
                <w:shd w:val="clear" w:color="auto" w:fill="FFFFFF"/>
                <w:lang w:bidi="ar"/>
              </w:rPr>
              <w:t>GB 31701-2015</w:t>
            </w:r>
          </w:p>
          <w:p w14:paraId="64849A13">
            <w:pPr>
              <w:adjustRightInd w:val="0"/>
              <w:snapToGrid w:val="0"/>
              <w:jc w:val="center"/>
              <w:rPr>
                <w:rFonts w:ascii="方正仿宋_GBK" w:hAnsi="Times New Roman" w:eastAsia="方正仿宋_GBK"/>
                <w:kern w:val="0"/>
                <w:sz w:val="32"/>
                <w:szCs w:val="32"/>
                <w:shd w:val="clear" w:color="auto" w:fill="FFFFFF"/>
                <w:lang w:bidi="ar"/>
              </w:rPr>
            </w:pPr>
            <w:r>
              <w:rPr>
                <w:rFonts w:hint="eastAsia" w:ascii="方正仿宋_GBK" w:hAnsi="Times New Roman" w:eastAsia="方正仿宋_GBK"/>
                <w:kern w:val="0"/>
                <w:sz w:val="32"/>
                <w:szCs w:val="32"/>
                <w:shd w:val="clear" w:color="auto" w:fill="FFFFFF"/>
                <w:lang w:bidi="ar"/>
              </w:rPr>
              <w:t>相应产品标准</w:t>
            </w:r>
          </w:p>
        </w:tc>
        <w:tc>
          <w:tcPr>
            <w:tcW w:w="3037" w:type="dxa"/>
            <w:vAlign w:val="center"/>
          </w:tcPr>
          <w:p w14:paraId="407BB924">
            <w:pPr>
              <w:adjustRightInd w:val="0"/>
              <w:snapToGrid w:val="0"/>
              <w:jc w:val="center"/>
              <w:rPr>
                <w:rFonts w:ascii="方正仿宋_GBK" w:hAnsi="Times New Roman" w:eastAsia="方正仿宋_GBK"/>
                <w:kern w:val="0"/>
                <w:sz w:val="32"/>
                <w:szCs w:val="32"/>
                <w:shd w:val="clear" w:color="auto" w:fill="FFFFFF"/>
                <w:lang w:bidi="ar"/>
              </w:rPr>
            </w:pPr>
            <w:r>
              <w:rPr>
                <w:rFonts w:hint="eastAsia" w:ascii="方正仿宋_GBK" w:hAnsi="Times New Roman" w:eastAsia="方正仿宋_GBK"/>
                <w:kern w:val="0"/>
                <w:sz w:val="32"/>
                <w:szCs w:val="32"/>
                <w:shd w:val="clear" w:color="auto" w:fill="FFFFFF"/>
                <w:lang w:bidi="ar"/>
              </w:rPr>
              <w:t>GB/T 2912.1-2009</w:t>
            </w:r>
          </w:p>
        </w:tc>
      </w:tr>
      <w:tr w14:paraId="76B9C8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1" w:hRule="atLeast"/>
          <w:jc w:val="center"/>
        </w:trPr>
        <w:tc>
          <w:tcPr>
            <w:tcW w:w="1111" w:type="dxa"/>
            <w:vAlign w:val="center"/>
          </w:tcPr>
          <w:p w14:paraId="0056B418">
            <w:pPr>
              <w:adjustRightInd w:val="0"/>
              <w:snapToGrid w:val="0"/>
              <w:jc w:val="center"/>
              <w:rPr>
                <w:rFonts w:ascii="方正仿宋_GBK" w:hAnsi="Times New Roman" w:eastAsia="方正仿宋_GBK"/>
                <w:kern w:val="0"/>
                <w:sz w:val="32"/>
                <w:szCs w:val="32"/>
                <w:shd w:val="clear" w:color="auto" w:fill="FFFFFF"/>
                <w:lang w:bidi="ar"/>
              </w:rPr>
            </w:pPr>
            <w:r>
              <w:rPr>
                <w:rFonts w:hint="eastAsia" w:ascii="方正仿宋_GBK" w:hAnsi="Times New Roman" w:eastAsia="方正仿宋_GBK"/>
                <w:kern w:val="0"/>
                <w:sz w:val="32"/>
                <w:szCs w:val="32"/>
                <w:shd w:val="clear" w:color="auto" w:fill="FFFFFF"/>
                <w:lang w:bidi="ar"/>
              </w:rPr>
              <w:t>2</w:t>
            </w:r>
          </w:p>
        </w:tc>
        <w:tc>
          <w:tcPr>
            <w:tcW w:w="2693" w:type="dxa"/>
            <w:vAlign w:val="center"/>
          </w:tcPr>
          <w:p w14:paraId="4E7A57BB">
            <w:pPr>
              <w:adjustRightInd w:val="0"/>
              <w:snapToGrid w:val="0"/>
              <w:jc w:val="center"/>
              <w:rPr>
                <w:rFonts w:ascii="方正仿宋_GBK" w:hAnsi="Times New Roman" w:eastAsia="方正仿宋_GBK"/>
                <w:kern w:val="0"/>
                <w:sz w:val="32"/>
                <w:szCs w:val="32"/>
                <w:shd w:val="clear" w:color="auto" w:fill="FFFFFF"/>
                <w:lang w:bidi="ar"/>
              </w:rPr>
            </w:pPr>
            <w:r>
              <w:rPr>
                <w:rFonts w:hint="eastAsia" w:ascii="方正仿宋_GBK" w:hAnsi="Times New Roman" w:eastAsia="方正仿宋_GBK"/>
                <w:kern w:val="0"/>
                <w:sz w:val="32"/>
                <w:szCs w:val="32"/>
                <w:shd w:val="clear" w:color="auto" w:fill="FFFFFF"/>
                <w:lang w:bidi="ar"/>
              </w:rPr>
              <w:t>pH值</w:t>
            </w:r>
          </w:p>
        </w:tc>
        <w:tc>
          <w:tcPr>
            <w:tcW w:w="2897" w:type="dxa"/>
            <w:vMerge w:val="continue"/>
            <w:vAlign w:val="center"/>
          </w:tcPr>
          <w:p w14:paraId="6AA40778">
            <w:pPr>
              <w:adjustRightInd w:val="0"/>
              <w:snapToGrid w:val="0"/>
              <w:jc w:val="center"/>
              <w:rPr>
                <w:rFonts w:ascii="方正仿宋_GBK" w:hAnsi="Times New Roman" w:eastAsia="方正仿宋_GBK"/>
                <w:kern w:val="0"/>
                <w:sz w:val="32"/>
                <w:szCs w:val="32"/>
                <w:shd w:val="clear" w:color="auto" w:fill="FFFFFF"/>
                <w:lang w:bidi="ar"/>
              </w:rPr>
            </w:pPr>
          </w:p>
        </w:tc>
        <w:tc>
          <w:tcPr>
            <w:tcW w:w="3037" w:type="dxa"/>
            <w:vAlign w:val="center"/>
          </w:tcPr>
          <w:p w14:paraId="1C282E29">
            <w:pPr>
              <w:adjustRightInd w:val="0"/>
              <w:snapToGrid w:val="0"/>
              <w:jc w:val="center"/>
              <w:rPr>
                <w:rFonts w:ascii="方正仿宋_GBK" w:hAnsi="Times New Roman" w:eastAsia="方正仿宋_GBK"/>
                <w:kern w:val="0"/>
                <w:sz w:val="32"/>
                <w:szCs w:val="32"/>
                <w:shd w:val="clear" w:color="auto" w:fill="FFFFFF"/>
                <w:lang w:bidi="ar"/>
              </w:rPr>
            </w:pPr>
            <w:r>
              <w:rPr>
                <w:rFonts w:hint="eastAsia" w:ascii="方正仿宋_GBK" w:hAnsi="Times New Roman" w:eastAsia="方正仿宋_GBK"/>
                <w:kern w:val="0"/>
                <w:sz w:val="32"/>
                <w:szCs w:val="32"/>
                <w:shd w:val="clear" w:color="auto" w:fill="FFFFFF"/>
                <w:lang w:bidi="ar"/>
              </w:rPr>
              <w:t>GB/T 7573-2009</w:t>
            </w:r>
          </w:p>
        </w:tc>
      </w:tr>
      <w:tr w14:paraId="3062AB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1" w:hRule="atLeast"/>
          <w:jc w:val="center"/>
        </w:trPr>
        <w:tc>
          <w:tcPr>
            <w:tcW w:w="1111" w:type="dxa"/>
            <w:vAlign w:val="center"/>
          </w:tcPr>
          <w:p w14:paraId="33CC7CCC">
            <w:pPr>
              <w:adjustRightInd w:val="0"/>
              <w:snapToGrid w:val="0"/>
              <w:jc w:val="center"/>
              <w:rPr>
                <w:rFonts w:ascii="方正仿宋_GBK" w:hAnsi="Times New Roman" w:eastAsia="方正仿宋_GBK"/>
                <w:kern w:val="0"/>
                <w:sz w:val="32"/>
                <w:szCs w:val="32"/>
                <w:shd w:val="clear" w:color="auto" w:fill="FFFFFF"/>
                <w:lang w:bidi="ar"/>
              </w:rPr>
            </w:pPr>
            <w:r>
              <w:rPr>
                <w:rFonts w:hint="eastAsia" w:ascii="方正仿宋_GBK" w:hAnsi="Times New Roman" w:eastAsia="方正仿宋_GBK"/>
                <w:kern w:val="0"/>
                <w:sz w:val="32"/>
                <w:szCs w:val="32"/>
                <w:shd w:val="clear" w:color="auto" w:fill="FFFFFF"/>
                <w:lang w:bidi="ar"/>
              </w:rPr>
              <w:t>3</w:t>
            </w:r>
          </w:p>
        </w:tc>
        <w:tc>
          <w:tcPr>
            <w:tcW w:w="2693" w:type="dxa"/>
            <w:vAlign w:val="center"/>
          </w:tcPr>
          <w:p w14:paraId="05723CE0">
            <w:pPr>
              <w:adjustRightInd w:val="0"/>
              <w:snapToGrid w:val="0"/>
              <w:jc w:val="center"/>
              <w:rPr>
                <w:rFonts w:ascii="方正仿宋_GBK" w:hAnsi="Times New Roman" w:eastAsia="方正仿宋_GBK"/>
                <w:kern w:val="0"/>
                <w:sz w:val="32"/>
                <w:szCs w:val="32"/>
                <w:shd w:val="clear" w:color="auto" w:fill="FFFFFF"/>
                <w:lang w:bidi="ar"/>
              </w:rPr>
            </w:pPr>
            <w:r>
              <w:rPr>
                <w:rFonts w:hint="eastAsia" w:ascii="方正仿宋_GBK" w:hAnsi="Times New Roman" w:eastAsia="方正仿宋_GBK"/>
                <w:kern w:val="0"/>
                <w:sz w:val="32"/>
                <w:szCs w:val="32"/>
                <w:shd w:val="clear" w:color="auto" w:fill="FFFFFF"/>
                <w:lang w:bidi="ar"/>
              </w:rPr>
              <w:t>可分解致癌芳香胺染料</w:t>
            </w:r>
          </w:p>
        </w:tc>
        <w:tc>
          <w:tcPr>
            <w:tcW w:w="2897" w:type="dxa"/>
            <w:vMerge w:val="continue"/>
            <w:vAlign w:val="center"/>
          </w:tcPr>
          <w:p w14:paraId="4ED414F8">
            <w:pPr>
              <w:adjustRightInd w:val="0"/>
              <w:snapToGrid w:val="0"/>
              <w:jc w:val="center"/>
              <w:rPr>
                <w:rFonts w:ascii="方正仿宋_GBK" w:hAnsi="Times New Roman" w:eastAsia="方正仿宋_GBK"/>
                <w:kern w:val="0"/>
                <w:sz w:val="32"/>
                <w:szCs w:val="32"/>
                <w:shd w:val="clear" w:color="auto" w:fill="FFFFFF"/>
                <w:lang w:bidi="ar"/>
              </w:rPr>
            </w:pPr>
          </w:p>
        </w:tc>
        <w:tc>
          <w:tcPr>
            <w:tcW w:w="3037" w:type="dxa"/>
            <w:vAlign w:val="center"/>
          </w:tcPr>
          <w:p w14:paraId="64F16428">
            <w:pPr>
              <w:adjustRightInd w:val="0"/>
              <w:snapToGrid w:val="0"/>
              <w:jc w:val="center"/>
              <w:rPr>
                <w:rFonts w:ascii="方正仿宋_GBK" w:hAnsi="Times New Roman" w:eastAsia="方正仿宋_GBK"/>
                <w:kern w:val="0"/>
                <w:sz w:val="32"/>
                <w:szCs w:val="32"/>
                <w:shd w:val="clear" w:color="auto" w:fill="FFFFFF"/>
                <w:lang w:bidi="ar"/>
              </w:rPr>
            </w:pPr>
            <w:r>
              <w:rPr>
                <w:rFonts w:hint="eastAsia" w:ascii="方正仿宋_GBK" w:hAnsi="Times New Roman" w:eastAsia="方正仿宋_GBK"/>
                <w:kern w:val="0"/>
                <w:sz w:val="32"/>
                <w:szCs w:val="32"/>
                <w:shd w:val="clear" w:color="auto" w:fill="FFFFFF"/>
                <w:lang w:bidi="ar"/>
              </w:rPr>
              <w:t>GB/T 17592-20</w:t>
            </w:r>
            <w:r>
              <w:rPr>
                <w:rFonts w:ascii="方正仿宋_GBK" w:hAnsi="Times New Roman" w:eastAsia="方正仿宋_GBK"/>
                <w:kern w:val="0"/>
                <w:sz w:val="32"/>
                <w:szCs w:val="32"/>
                <w:shd w:val="clear" w:color="auto" w:fill="FFFFFF"/>
                <w:lang w:bidi="ar"/>
              </w:rPr>
              <w:t>24</w:t>
            </w:r>
          </w:p>
          <w:p w14:paraId="179CD1E3">
            <w:pPr>
              <w:adjustRightInd w:val="0"/>
              <w:snapToGrid w:val="0"/>
              <w:jc w:val="center"/>
              <w:rPr>
                <w:rFonts w:ascii="方正仿宋_GBK" w:hAnsi="Times New Roman" w:eastAsia="方正仿宋_GBK"/>
                <w:kern w:val="0"/>
                <w:sz w:val="32"/>
                <w:szCs w:val="32"/>
                <w:shd w:val="clear" w:color="auto" w:fill="FFFFFF"/>
                <w:lang w:bidi="ar"/>
              </w:rPr>
            </w:pPr>
            <w:r>
              <w:rPr>
                <w:rFonts w:hint="eastAsia" w:ascii="方正仿宋_GBK" w:hAnsi="Times New Roman" w:eastAsia="方正仿宋_GBK"/>
                <w:kern w:val="0"/>
                <w:sz w:val="32"/>
                <w:szCs w:val="32"/>
                <w:shd w:val="clear" w:color="auto" w:fill="FFFFFF"/>
                <w:lang w:bidi="ar"/>
              </w:rPr>
              <w:t>GB/T 23344-2009</w:t>
            </w:r>
          </w:p>
        </w:tc>
      </w:tr>
      <w:tr w14:paraId="6E674E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1" w:hRule="atLeast"/>
          <w:jc w:val="center"/>
        </w:trPr>
        <w:tc>
          <w:tcPr>
            <w:tcW w:w="1111" w:type="dxa"/>
            <w:vAlign w:val="center"/>
          </w:tcPr>
          <w:p w14:paraId="5DA8D3B9">
            <w:pPr>
              <w:adjustRightInd w:val="0"/>
              <w:snapToGrid w:val="0"/>
              <w:jc w:val="center"/>
              <w:rPr>
                <w:rFonts w:ascii="方正仿宋_GBK" w:hAnsi="Times New Roman" w:eastAsia="方正仿宋_GBK"/>
                <w:kern w:val="0"/>
                <w:sz w:val="32"/>
                <w:szCs w:val="32"/>
                <w:shd w:val="clear" w:color="auto" w:fill="FFFFFF"/>
                <w:lang w:bidi="ar"/>
              </w:rPr>
            </w:pPr>
            <w:r>
              <w:rPr>
                <w:rFonts w:hint="eastAsia" w:ascii="方正仿宋_GBK" w:hAnsi="Times New Roman" w:eastAsia="方正仿宋_GBK"/>
                <w:kern w:val="0"/>
                <w:sz w:val="32"/>
                <w:szCs w:val="32"/>
                <w:shd w:val="clear" w:color="auto" w:fill="FFFFFF"/>
                <w:lang w:bidi="ar"/>
              </w:rPr>
              <w:t>4</w:t>
            </w:r>
          </w:p>
        </w:tc>
        <w:tc>
          <w:tcPr>
            <w:tcW w:w="2693" w:type="dxa"/>
            <w:vAlign w:val="center"/>
          </w:tcPr>
          <w:p w14:paraId="609438A0">
            <w:pPr>
              <w:adjustRightInd w:val="0"/>
              <w:snapToGrid w:val="0"/>
              <w:jc w:val="center"/>
              <w:rPr>
                <w:rFonts w:ascii="方正仿宋_GBK" w:hAnsi="Times New Roman" w:eastAsia="方正仿宋_GBK"/>
                <w:kern w:val="0"/>
                <w:sz w:val="32"/>
                <w:szCs w:val="32"/>
                <w:shd w:val="clear" w:color="auto" w:fill="FFFFFF"/>
                <w:lang w:bidi="ar"/>
              </w:rPr>
            </w:pPr>
            <w:r>
              <w:rPr>
                <w:rFonts w:hint="eastAsia" w:ascii="方正仿宋_GBK" w:hAnsi="Times New Roman" w:eastAsia="方正仿宋_GBK"/>
                <w:kern w:val="0"/>
                <w:sz w:val="32"/>
                <w:szCs w:val="32"/>
                <w:shd w:val="clear" w:color="auto" w:fill="FFFFFF"/>
                <w:lang w:bidi="ar"/>
              </w:rPr>
              <w:t>耐水色牢度</w:t>
            </w:r>
          </w:p>
        </w:tc>
        <w:tc>
          <w:tcPr>
            <w:tcW w:w="2897" w:type="dxa"/>
            <w:vMerge w:val="continue"/>
            <w:vAlign w:val="center"/>
          </w:tcPr>
          <w:p w14:paraId="314339A5">
            <w:pPr>
              <w:adjustRightInd w:val="0"/>
              <w:snapToGrid w:val="0"/>
              <w:jc w:val="center"/>
              <w:rPr>
                <w:rFonts w:ascii="方正仿宋_GBK" w:hAnsi="Times New Roman" w:eastAsia="方正仿宋_GBK"/>
                <w:kern w:val="0"/>
                <w:sz w:val="32"/>
                <w:szCs w:val="32"/>
                <w:shd w:val="clear" w:color="auto" w:fill="FFFFFF"/>
                <w:lang w:bidi="ar"/>
              </w:rPr>
            </w:pPr>
          </w:p>
        </w:tc>
        <w:tc>
          <w:tcPr>
            <w:tcW w:w="3037" w:type="dxa"/>
            <w:vAlign w:val="center"/>
          </w:tcPr>
          <w:p w14:paraId="4568299C">
            <w:pPr>
              <w:adjustRightInd w:val="0"/>
              <w:snapToGrid w:val="0"/>
              <w:jc w:val="center"/>
              <w:rPr>
                <w:rFonts w:ascii="方正仿宋_GBK" w:hAnsi="Times New Roman" w:eastAsia="方正仿宋_GBK"/>
                <w:kern w:val="0"/>
                <w:sz w:val="32"/>
                <w:szCs w:val="32"/>
                <w:shd w:val="clear" w:color="auto" w:fill="FFFFFF"/>
                <w:lang w:bidi="ar"/>
              </w:rPr>
            </w:pPr>
            <w:r>
              <w:rPr>
                <w:rFonts w:hint="eastAsia" w:ascii="方正仿宋_GBK" w:hAnsi="Times New Roman" w:eastAsia="方正仿宋_GBK"/>
                <w:kern w:val="0"/>
                <w:sz w:val="32"/>
                <w:szCs w:val="32"/>
                <w:shd w:val="clear" w:color="auto" w:fill="FFFFFF"/>
                <w:lang w:bidi="ar"/>
              </w:rPr>
              <w:t>GB/T 5713-2013</w:t>
            </w:r>
          </w:p>
        </w:tc>
      </w:tr>
      <w:tr w14:paraId="128EAA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1" w:hRule="atLeast"/>
          <w:jc w:val="center"/>
        </w:trPr>
        <w:tc>
          <w:tcPr>
            <w:tcW w:w="1111" w:type="dxa"/>
            <w:vAlign w:val="center"/>
          </w:tcPr>
          <w:p w14:paraId="4CA7DFD3">
            <w:pPr>
              <w:adjustRightInd w:val="0"/>
              <w:snapToGrid w:val="0"/>
              <w:jc w:val="center"/>
              <w:rPr>
                <w:rFonts w:ascii="方正仿宋_GBK" w:hAnsi="Times New Roman" w:eastAsia="方正仿宋_GBK"/>
                <w:kern w:val="0"/>
                <w:sz w:val="32"/>
                <w:szCs w:val="32"/>
                <w:shd w:val="clear" w:color="auto" w:fill="FFFFFF"/>
                <w:lang w:bidi="ar"/>
              </w:rPr>
            </w:pPr>
            <w:r>
              <w:rPr>
                <w:rFonts w:hint="eastAsia" w:ascii="方正仿宋_GBK" w:hAnsi="Times New Roman" w:eastAsia="方正仿宋_GBK"/>
                <w:kern w:val="0"/>
                <w:sz w:val="32"/>
                <w:szCs w:val="32"/>
                <w:shd w:val="clear" w:color="auto" w:fill="FFFFFF"/>
                <w:lang w:bidi="ar"/>
              </w:rPr>
              <w:t>5</w:t>
            </w:r>
          </w:p>
        </w:tc>
        <w:tc>
          <w:tcPr>
            <w:tcW w:w="2693" w:type="dxa"/>
            <w:vAlign w:val="center"/>
          </w:tcPr>
          <w:p w14:paraId="45ED2F48">
            <w:pPr>
              <w:adjustRightInd w:val="0"/>
              <w:snapToGrid w:val="0"/>
              <w:jc w:val="center"/>
              <w:rPr>
                <w:rFonts w:ascii="方正仿宋_GBK" w:hAnsi="Times New Roman" w:eastAsia="方正仿宋_GBK"/>
                <w:kern w:val="0"/>
                <w:sz w:val="32"/>
                <w:szCs w:val="32"/>
                <w:shd w:val="clear" w:color="auto" w:fill="FFFFFF"/>
                <w:lang w:bidi="ar"/>
              </w:rPr>
            </w:pPr>
            <w:r>
              <w:rPr>
                <w:rFonts w:hint="eastAsia" w:ascii="方正仿宋_GBK" w:hAnsi="Times New Roman" w:eastAsia="方正仿宋_GBK"/>
                <w:kern w:val="0"/>
                <w:sz w:val="32"/>
                <w:szCs w:val="32"/>
                <w:shd w:val="clear" w:color="auto" w:fill="FFFFFF"/>
                <w:lang w:bidi="ar"/>
              </w:rPr>
              <w:t>耐酸汗渍色牢度</w:t>
            </w:r>
          </w:p>
        </w:tc>
        <w:tc>
          <w:tcPr>
            <w:tcW w:w="2897" w:type="dxa"/>
            <w:vMerge w:val="continue"/>
            <w:vAlign w:val="center"/>
          </w:tcPr>
          <w:p w14:paraId="11B57E9F">
            <w:pPr>
              <w:adjustRightInd w:val="0"/>
              <w:snapToGrid w:val="0"/>
              <w:jc w:val="center"/>
              <w:rPr>
                <w:rFonts w:ascii="方正仿宋_GBK" w:hAnsi="Times New Roman" w:eastAsia="方正仿宋_GBK"/>
                <w:kern w:val="0"/>
                <w:sz w:val="32"/>
                <w:szCs w:val="32"/>
                <w:shd w:val="clear" w:color="auto" w:fill="FFFFFF"/>
                <w:lang w:bidi="ar"/>
              </w:rPr>
            </w:pPr>
          </w:p>
        </w:tc>
        <w:tc>
          <w:tcPr>
            <w:tcW w:w="3037" w:type="dxa"/>
            <w:vAlign w:val="center"/>
          </w:tcPr>
          <w:p w14:paraId="6B4FCC79">
            <w:pPr>
              <w:adjustRightInd w:val="0"/>
              <w:snapToGrid w:val="0"/>
              <w:jc w:val="center"/>
              <w:rPr>
                <w:rFonts w:ascii="方正仿宋_GBK" w:hAnsi="Times New Roman" w:eastAsia="方正仿宋_GBK"/>
                <w:kern w:val="0"/>
                <w:sz w:val="32"/>
                <w:szCs w:val="32"/>
                <w:shd w:val="clear" w:color="auto" w:fill="FFFFFF"/>
                <w:lang w:bidi="ar"/>
              </w:rPr>
            </w:pPr>
            <w:r>
              <w:rPr>
                <w:rFonts w:hint="eastAsia" w:ascii="方正仿宋_GBK" w:hAnsi="Times New Roman" w:eastAsia="方正仿宋_GBK"/>
                <w:kern w:val="0"/>
                <w:sz w:val="32"/>
                <w:szCs w:val="32"/>
                <w:shd w:val="clear" w:color="auto" w:fill="FFFFFF"/>
                <w:lang w:bidi="ar"/>
              </w:rPr>
              <w:t>GB/T 3922-2013</w:t>
            </w:r>
          </w:p>
        </w:tc>
      </w:tr>
      <w:tr w14:paraId="022A6E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1" w:hRule="atLeast"/>
          <w:jc w:val="center"/>
        </w:trPr>
        <w:tc>
          <w:tcPr>
            <w:tcW w:w="1111" w:type="dxa"/>
            <w:vAlign w:val="center"/>
          </w:tcPr>
          <w:p w14:paraId="134E47FD">
            <w:pPr>
              <w:adjustRightInd w:val="0"/>
              <w:snapToGrid w:val="0"/>
              <w:jc w:val="center"/>
              <w:rPr>
                <w:rFonts w:ascii="方正仿宋_GBK" w:hAnsi="Times New Roman" w:eastAsia="方正仿宋_GBK"/>
                <w:kern w:val="0"/>
                <w:sz w:val="32"/>
                <w:szCs w:val="32"/>
                <w:shd w:val="clear" w:color="auto" w:fill="FFFFFF"/>
                <w:lang w:bidi="ar"/>
              </w:rPr>
            </w:pPr>
            <w:r>
              <w:rPr>
                <w:rFonts w:hint="eastAsia" w:ascii="方正仿宋_GBK" w:hAnsi="Times New Roman" w:eastAsia="方正仿宋_GBK"/>
                <w:kern w:val="0"/>
                <w:sz w:val="32"/>
                <w:szCs w:val="32"/>
                <w:shd w:val="clear" w:color="auto" w:fill="FFFFFF"/>
                <w:lang w:bidi="ar"/>
              </w:rPr>
              <w:t>6</w:t>
            </w:r>
          </w:p>
        </w:tc>
        <w:tc>
          <w:tcPr>
            <w:tcW w:w="2693" w:type="dxa"/>
            <w:vAlign w:val="center"/>
          </w:tcPr>
          <w:p w14:paraId="067E1E4D">
            <w:pPr>
              <w:adjustRightInd w:val="0"/>
              <w:snapToGrid w:val="0"/>
              <w:jc w:val="center"/>
              <w:rPr>
                <w:rFonts w:ascii="方正仿宋_GBK" w:hAnsi="Times New Roman" w:eastAsia="方正仿宋_GBK"/>
                <w:kern w:val="0"/>
                <w:sz w:val="32"/>
                <w:szCs w:val="32"/>
                <w:shd w:val="clear" w:color="auto" w:fill="FFFFFF"/>
                <w:lang w:bidi="ar"/>
              </w:rPr>
            </w:pPr>
            <w:r>
              <w:rPr>
                <w:rFonts w:hint="eastAsia" w:ascii="方正仿宋_GBK" w:hAnsi="Times New Roman" w:eastAsia="方正仿宋_GBK"/>
                <w:kern w:val="0"/>
                <w:sz w:val="32"/>
                <w:szCs w:val="32"/>
                <w:shd w:val="clear" w:color="auto" w:fill="FFFFFF"/>
                <w:lang w:bidi="ar"/>
              </w:rPr>
              <w:t>耐碱汗渍色牢度</w:t>
            </w:r>
          </w:p>
        </w:tc>
        <w:tc>
          <w:tcPr>
            <w:tcW w:w="2897" w:type="dxa"/>
            <w:vMerge w:val="continue"/>
            <w:vAlign w:val="center"/>
          </w:tcPr>
          <w:p w14:paraId="51534241">
            <w:pPr>
              <w:adjustRightInd w:val="0"/>
              <w:snapToGrid w:val="0"/>
              <w:jc w:val="center"/>
              <w:rPr>
                <w:rFonts w:ascii="方正仿宋_GBK" w:hAnsi="Times New Roman" w:eastAsia="方正仿宋_GBK"/>
                <w:kern w:val="0"/>
                <w:sz w:val="32"/>
                <w:szCs w:val="32"/>
                <w:shd w:val="clear" w:color="auto" w:fill="FFFFFF"/>
                <w:lang w:bidi="ar"/>
              </w:rPr>
            </w:pPr>
          </w:p>
        </w:tc>
        <w:tc>
          <w:tcPr>
            <w:tcW w:w="3037" w:type="dxa"/>
            <w:vAlign w:val="center"/>
          </w:tcPr>
          <w:p w14:paraId="077A7983">
            <w:pPr>
              <w:adjustRightInd w:val="0"/>
              <w:snapToGrid w:val="0"/>
              <w:jc w:val="center"/>
              <w:rPr>
                <w:rFonts w:ascii="方正仿宋_GBK" w:hAnsi="Times New Roman" w:eastAsia="方正仿宋_GBK"/>
                <w:kern w:val="0"/>
                <w:sz w:val="32"/>
                <w:szCs w:val="32"/>
                <w:shd w:val="clear" w:color="auto" w:fill="FFFFFF"/>
                <w:lang w:bidi="ar"/>
              </w:rPr>
            </w:pPr>
            <w:r>
              <w:rPr>
                <w:rFonts w:hint="eastAsia" w:ascii="方正仿宋_GBK" w:hAnsi="Times New Roman" w:eastAsia="方正仿宋_GBK"/>
                <w:kern w:val="0"/>
                <w:sz w:val="32"/>
                <w:szCs w:val="32"/>
                <w:shd w:val="clear" w:color="auto" w:fill="FFFFFF"/>
                <w:lang w:bidi="ar"/>
              </w:rPr>
              <w:t>GB/T 3922-2013</w:t>
            </w:r>
          </w:p>
        </w:tc>
      </w:tr>
      <w:tr w14:paraId="18A8FD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1" w:hRule="atLeast"/>
          <w:jc w:val="center"/>
        </w:trPr>
        <w:tc>
          <w:tcPr>
            <w:tcW w:w="1111" w:type="dxa"/>
            <w:vAlign w:val="center"/>
          </w:tcPr>
          <w:p w14:paraId="58778B0B">
            <w:pPr>
              <w:adjustRightInd w:val="0"/>
              <w:snapToGrid w:val="0"/>
              <w:jc w:val="center"/>
              <w:rPr>
                <w:rFonts w:ascii="方正仿宋_GBK" w:hAnsi="Times New Roman" w:eastAsia="方正仿宋_GBK"/>
                <w:kern w:val="0"/>
                <w:sz w:val="32"/>
                <w:szCs w:val="32"/>
                <w:shd w:val="clear" w:color="auto" w:fill="FFFFFF"/>
                <w:lang w:bidi="ar"/>
              </w:rPr>
            </w:pPr>
            <w:r>
              <w:rPr>
                <w:rFonts w:hint="eastAsia" w:ascii="方正仿宋_GBK" w:hAnsi="Times New Roman" w:eastAsia="方正仿宋_GBK"/>
                <w:kern w:val="0"/>
                <w:sz w:val="32"/>
                <w:szCs w:val="32"/>
                <w:shd w:val="clear" w:color="auto" w:fill="FFFFFF"/>
                <w:lang w:bidi="ar"/>
              </w:rPr>
              <w:t>7</w:t>
            </w:r>
          </w:p>
        </w:tc>
        <w:tc>
          <w:tcPr>
            <w:tcW w:w="2693" w:type="dxa"/>
            <w:vAlign w:val="center"/>
          </w:tcPr>
          <w:p w14:paraId="27F837DD">
            <w:pPr>
              <w:adjustRightInd w:val="0"/>
              <w:snapToGrid w:val="0"/>
              <w:jc w:val="center"/>
              <w:rPr>
                <w:rFonts w:ascii="方正仿宋_GBK" w:hAnsi="Times New Roman" w:eastAsia="方正仿宋_GBK"/>
                <w:kern w:val="0"/>
                <w:sz w:val="32"/>
                <w:szCs w:val="32"/>
                <w:shd w:val="clear" w:color="auto" w:fill="FFFFFF"/>
                <w:lang w:bidi="ar"/>
              </w:rPr>
            </w:pPr>
            <w:r>
              <w:rPr>
                <w:rFonts w:hint="eastAsia" w:ascii="方正仿宋_GBK" w:hAnsi="Times New Roman" w:eastAsia="方正仿宋_GBK"/>
                <w:kern w:val="0"/>
                <w:sz w:val="32"/>
                <w:szCs w:val="32"/>
                <w:shd w:val="clear" w:color="auto" w:fill="FFFFFF"/>
                <w:lang w:bidi="ar"/>
              </w:rPr>
              <w:t>耐干摩擦色牢度</w:t>
            </w:r>
          </w:p>
        </w:tc>
        <w:tc>
          <w:tcPr>
            <w:tcW w:w="2897" w:type="dxa"/>
            <w:vMerge w:val="continue"/>
            <w:vAlign w:val="center"/>
          </w:tcPr>
          <w:p w14:paraId="57235D2A">
            <w:pPr>
              <w:adjustRightInd w:val="0"/>
              <w:snapToGrid w:val="0"/>
              <w:jc w:val="center"/>
              <w:rPr>
                <w:rFonts w:ascii="方正仿宋_GBK" w:hAnsi="Times New Roman" w:eastAsia="方正仿宋_GBK"/>
                <w:kern w:val="0"/>
                <w:sz w:val="32"/>
                <w:szCs w:val="32"/>
                <w:shd w:val="clear" w:color="auto" w:fill="FFFFFF"/>
                <w:lang w:bidi="ar"/>
              </w:rPr>
            </w:pPr>
          </w:p>
        </w:tc>
        <w:tc>
          <w:tcPr>
            <w:tcW w:w="3037" w:type="dxa"/>
            <w:vAlign w:val="center"/>
          </w:tcPr>
          <w:p w14:paraId="24625006">
            <w:pPr>
              <w:adjustRightInd w:val="0"/>
              <w:snapToGrid w:val="0"/>
              <w:jc w:val="center"/>
              <w:rPr>
                <w:rFonts w:ascii="方正仿宋_GBK" w:hAnsi="Times New Roman" w:eastAsia="方正仿宋_GBK"/>
                <w:kern w:val="0"/>
                <w:sz w:val="32"/>
                <w:szCs w:val="32"/>
                <w:shd w:val="clear" w:color="auto" w:fill="FFFFFF"/>
                <w:lang w:bidi="ar"/>
              </w:rPr>
            </w:pPr>
            <w:r>
              <w:rPr>
                <w:rFonts w:hint="eastAsia" w:ascii="方正仿宋_GBK" w:hAnsi="Times New Roman" w:eastAsia="方正仿宋_GBK"/>
                <w:kern w:val="0"/>
                <w:sz w:val="32"/>
                <w:szCs w:val="32"/>
                <w:shd w:val="clear" w:color="auto" w:fill="FFFFFF"/>
                <w:lang w:bidi="ar"/>
              </w:rPr>
              <w:t>GB/T 3920-2008</w:t>
            </w:r>
          </w:p>
        </w:tc>
      </w:tr>
      <w:tr w14:paraId="5224CC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1" w:hRule="atLeast"/>
          <w:jc w:val="center"/>
        </w:trPr>
        <w:tc>
          <w:tcPr>
            <w:tcW w:w="1111" w:type="dxa"/>
            <w:vAlign w:val="center"/>
          </w:tcPr>
          <w:p w14:paraId="3388D242">
            <w:pPr>
              <w:adjustRightInd w:val="0"/>
              <w:snapToGrid w:val="0"/>
              <w:jc w:val="center"/>
              <w:rPr>
                <w:rFonts w:ascii="方正仿宋_GBK" w:hAnsi="Times New Roman" w:eastAsia="方正仿宋_GBK"/>
                <w:kern w:val="0"/>
                <w:sz w:val="32"/>
                <w:szCs w:val="32"/>
                <w:shd w:val="clear" w:color="auto" w:fill="FFFFFF"/>
                <w:lang w:bidi="ar"/>
              </w:rPr>
            </w:pPr>
            <w:r>
              <w:rPr>
                <w:rFonts w:hint="eastAsia" w:ascii="方正仿宋_GBK" w:hAnsi="Times New Roman" w:eastAsia="方正仿宋_GBK"/>
                <w:kern w:val="0"/>
                <w:sz w:val="32"/>
                <w:szCs w:val="32"/>
                <w:shd w:val="clear" w:color="auto" w:fill="FFFFFF"/>
                <w:lang w:bidi="ar"/>
              </w:rPr>
              <w:t>8</w:t>
            </w:r>
          </w:p>
        </w:tc>
        <w:tc>
          <w:tcPr>
            <w:tcW w:w="2693" w:type="dxa"/>
            <w:vAlign w:val="center"/>
          </w:tcPr>
          <w:p w14:paraId="64054AF6">
            <w:pPr>
              <w:adjustRightInd w:val="0"/>
              <w:snapToGrid w:val="0"/>
              <w:jc w:val="center"/>
              <w:rPr>
                <w:rFonts w:ascii="方正仿宋_GBK" w:hAnsi="Times New Roman" w:eastAsia="方正仿宋_GBK"/>
                <w:kern w:val="0"/>
                <w:sz w:val="32"/>
                <w:szCs w:val="32"/>
                <w:shd w:val="clear" w:color="auto" w:fill="FFFFFF"/>
                <w:lang w:bidi="ar"/>
              </w:rPr>
            </w:pPr>
            <w:r>
              <w:rPr>
                <w:rFonts w:hint="eastAsia" w:ascii="方正仿宋_GBK" w:hAnsi="Times New Roman" w:eastAsia="方正仿宋_GBK"/>
                <w:kern w:val="0"/>
                <w:sz w:val="32"/>
                <w:szCs w:val="32"/>
                <w:shd w:val="clear" w:color="auto" w:fill="FFFFFF"/>
                <w:lang w:bidi="ar"/>
              </w:rPr>
              <w:t>耐湿摩擦色牢度</w:t>
            </w:r>
          </w:p>
        </w:tc>
        <w:tc>
          <w:tcPr>
            <w:tcW w:w="2897" w:type="dxa"/>
            <w:vMerge w:val="continue"/>
            <w:vAlign w:val="center"/>
          </w:tcPr>
          <w:p w14:paraId="56F35F14">
            <w:pPr>
              <w:adjustRightInd w:val="0"/>
              <w:snapToGrid w:val="0"/>
              <w:jc w:val="center"/>
              <w:rPr>
                <w:rFonts w:ascii="方正仿宋_GBK" w:hAnsi="Times New Roman" w:eastAsia="方正仿宋_GBK"/>
                <w:kern w:val="0"/>
                <w:sz w:val="32"/>
                <w:szCs w:val="32"/>
                <w:shd w:val="clear" w:color="auto" w:fill="FFFFFF"/>
                <w:lang w:bidi="ar"/>
              </w:rPr>
            </w:pPr>
          </w:p>
        </w:tc>
        <w:tc>
          <w:tcPr>
            <w:tcW w:w="3037" w:type="dxa"/>
            <w:vAlign w:val="center"/>
          </w:tcPr>
          <w:p w14:paraId="626D024B">
            <w:pPr>
              <w:adjustRightInd w:val="0"/>
              <w:snapToGrid w:val="0"/>
              <w:jc w:val="center"/>
              <w:rPr>
                <w:rFonts w:ascii="方正仿宋_GBK" w:hAnsi="Times New Roman" w:eastAsia="方正仿宋_GBK"/>
                <w:kern w:val="0"/>
                <w:sz w:val="32"/>
                <w:szCs w:val="32"/>
                <w:shd w:val="clear" w:color="auto" w:fill="FFFFFF"/>
                <w:lang w:bidi="ar"/>
              </w:rPr>
            </w:pPr>
            <w:r>
              <w:rPr>
                <w:rFonts w:hint="eastAsia" w:ascii="方正仿宋_GBK" w:hAnsi="Times New Roman" w:eastAsia="方正仿宋_GBK"/>
                <w:kern w:val="0"/>
                <w:sz w:val="32"/>
                <w:szCs w:val="32"/>
                <w:shd w:val="clear" w:color="auto" w:fill="FFFFFF"/>
                <w:lang w:bidi="ar"/>
              </w:rPr>
              <w:t>GB/T 3920-2008</w:t>
            </w:r>
          </w:p>
        </w:tc>
      </w:tr>
      <w:tr w14:paraId="0260A6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1" w:hRule="atLeast"/>
          <w:jc w:val="center"/>
        </w:trPr>
        <w:tc>
          <w:tcPr>
            <w:tcW w:w="1111" w:type="dxa"/>
            <w:vAlign w:val="center"/>
          </w:tcPr>
          <w:p w14:paraId="7E310A26">
            <w:pPr>
              <w:adjustRightInd w:val="0"/>
              <w:snapToGrid w:val="0"/>
              <w:jc w:val="center"/>
              <w:rPr>
                <w:rFonts w:ascii="方正仿宋_GBK" w:hAnsi="Times New Roman" w:eastAsia="方正仿宋_GBK"/>
                <w:kern w:val="0"/>
                <w:sz w:val="32"/>
                <w:szCs w:val="32"/>
                <w:shd w:val="clear" w:color="auto" w:fill="FFFFFF"/>
                <w:lang w:bidi="ar"/>
              </w:rPr>
            </w:pPr>
            <w:r>
              <w:rPr>
                <w:rFonts w:hint="eastAsia" w:ascii="方正仿宋_GBK" w:hAnsi="Times New Roman" w:eastAsia="方正仿宋_GBK"/>
                <w:kern w:val="0"/>
                <w:sz w:val="32"/>
                <w:szCs w:val="32"/>
                <w:shd w:val="clear" w:color="auto" w:fill="FFFFFF"/>
                <w:lang w:bidi="ar"/>
              </w:rPr>
              <w:t>9</w:t>
            </w:r>
          </w:p>
        </w:tc>
        <w:tc>
          <w:tcPr>
            <w:tcW w:w="2693" w:type="dxa"/>
            <w:vAlign w:val="center"/>
          </w:tcPr>
          <w:p w14:paraId="2B16DC4A">
            <w:pPr>
              <w:adjustRightInd w:val="0"/>
              <w:snapToGrid w:val="0"/>
              <w:jc w:val="center"/>
              <w:rPr>
                <w:rFonts w:ascii="方正仿宋_GBK" w:hAnsi="Times New Roman" w:eastAsia="方正仿宋_GBK"/>
                <w:kern w:val="0"/>
                <w:sz w:val="32"/>
                <w:szCs w:val="32"/>
                <w:shd w:val="clear" w:color="auto" w:fill="FFFFFF"/>
                <w:lang w:bidi="ar"/>
              </w:rPr>
            </w:pPr>
            <w:r>
              <w:rPr>
                <w:rFonts w:hint="eastAsia" w:ascii="方正仿宋_GBK" w:hAnsi="Times New Roman" w:eastAsia="方正仿宋_GBK"/>
                <w:kern w:val="0"/>
                <w:sz w:val="32"/>
                <w:szCs w:val="32"/>
                <w:shd w:val="clear" w:color="auto" w:fill="FFFFFF"/>
                <w:lang w:bidi="ar"/>
              </w:rPr>
              <w:t>耐唾液色牢度</w:t>
            </w:r>
          </w:p>
        </w:tc>
        <w:tc>
          <w:tcPr>
            <w:tcW w:w="2897" w:type="dxa"/>
            <w:vMerge w:val="continue"/>
            <w:vAlign w:val="center"/>
          </w:tcPr>
          <w:p w14:paraId="38335D7A">
            <w:pPr>
              <w:adjustRightInd w:val="0"/>
              <w:snapToGrid w:val="0"/>
              <w:jc w:val="center"/>
              <w:rPr>
                <w:rFonts w:ascii="方正仿宋_GBK" w:hAnsi="Times New Roman" w:eastAsia="方正仿宋_GBK"/>
                <w:kern w:val="0"/>
                <w:sz w:val="32"/>
                <w:szCs w:val="32"/>
                <w:shd w:val="clear" w:color="auto" w:fill="FFFFFF"/>
                <w:lang w:bidi="ar"/>
              </w:rPr>
            </w:pPr>
          </w:p>
        </w:tc>
        <w:tc>
          <w:tcPr>
            <w:tcW w:w="3037" w:type="dxa"/>
            <w:vAlign w:val="center"/>
          </w:tcPr>
          <w:p w14:paraId="77B6235C">
            <w:pPr>
              <w:adjustRightInd w:val="0"/>
              <w:snapToGrid w:val="0"/>
              <w:jc w:val="center"/>
              <w:rPr>
                <w:rFonts w:ascii="方正仿宋_GBK" w:hAnsi="Times New Roman" w:eastAsia="方正仿宋_GBK"/>
                <w:kern w:val="0"/>
                <w:sz w:val="32"/>
                <w:szCs w:val="32"/>
                <w:shd w:val="clear" w:color="auto" w:fill="FFFFFF"/>
                <w:lang w:bidi="ar"/>
              </w:rPr>
            </w:pPr>
            <w:r>
              <w:rPr>
                <w:rFonts w:hint="eastAsia" w:ascii="方正仿宋_GBK" w:hAnsi="Times New Roman" w:eastAsia="方正仿宋_GBK"/>
                <w:kern w:val="0"/>
                <w:sz w:val="32"/>
                <w:szCs w:val="32"/>
                <w:shd w:val="clear" w:color="auto" w:fill="FFFFFF"/>
                <w:lang w:bidi="ar"/>
              </w:rPr>
              <w:t>GB/T 18886-2019</w:t>
            </w:r>
          </w:p>
        </w:tc>
      </w:tr>
      <w:tr w14:paraId="0BA24B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1" w:hRule="atLeast"/>
          <w:jc w:val="center"/>
        </w:trPr>
        <w:tc>
          <w:tcPr>
            <w:tcW w:w="1111" w:type="dxa"/>
            <w:vAlign w:val="center"/>
          </w:tcPr>
          <w:p w14:paraId="4609EB73">
            <w:pPr>
              <w:adjustRightInd w:val="0"/>
              <w:snapToGrid w:val="0"/>
              <w:jc w:val="center"/>
              <w:rPr>
                <w:rFonts w:ascii="方正仿宋_GBK" w:hAnsi="Times New Roman" w:eastAsia="方正仿宋_GBK"/>
                <w:kern w:val="0"/>
                <w:sz w:val="32"/>
                <w:szCs w:val="32"/>
                <w:shd w:val="clear" w:color="auto" w:fill="FFFFFF"/>
                <w:lang w:bidi="ar"/>
              </w:rPr>
            </w:pPr>
            <w:r>
              <w:rPr>
                <w:rFonts w:hint="eastAsia" w:ascii="方正仿宋_GBK" w:hAnsi="Times New Roman" w:eastAsia="方正仿宋_GBK"/>
                <w:kern w:val="0"/>
                <w:sz w:val="32"/>
                <w:szCs w:val="32"/>
                <w:shd w:val="clear" w:color="auto" w:fill="FFFFFF"/>
                <w:lang w:bidi="ar"/>
              </w:rPr>
              <w:t>10</w:t>
            </w:r>
          </w:p>
        </w:tc>
        <w:tc>
          <w:tcPr>
            <w:tcW w:w="2693" w:type="dxa"/>
            <w:vAlign w:val="center"/>
          </w:tcPr>
          <w:p w14:paraId="343F780F">
            <w:pPr>
              <w:adjustRightInd w:val="0"/>
              <w:snapToGrid w:val="0"/>
              <w:jc w:val="center"/>
              <w:rPr>
                <w:rFonts w:ascii="方正仿宋_GBK" w:hAnsi="Times New Roman" w:eastAsia="方正仿宋_GBK"/>
                <w:kern w:val="0"/>
                <w:sz w:val="32"/>
                <w:szCs w:val="32"/>
                <w:shd w:val="clear" w:color="auto" w:fill="FFFFFF"/>
                <w:lang w:bidi="ar"/>
              </w:rPr>
            </w:pPr>
            <w:r>
              <w:rPr>
                <w:rFonts w:hint="eastAsia" w:ascii="方正仿宋_GBK" w:hAnsi="Times New Roman" w:eastAsia="方正仿宋_GBK"/>
                <w:kern w:val="0"/>
                <w:sz w:val="32"/>
                <w:szCs w:val="32"/>
                <w:shd w:val="clear" w:color="auto" w:fill="FFFFFF"/>
                <w:lang w:bidi="ar"/>
              </w:rPr>
              <w:t>重金属（铅、镉）</w:t>
            </w:r>
          </w:p>
        </w:tc>
        <w:tc>
          <w:tcPr>
            <w:tcW w:w="2897" w:type="dxa"/>
            <w:vMerge w:val="restart"/>
            <w:vAlign w:val="center"/>
          </w:tcPr>
          <w:p w14:paraId="15909958">
            <w:pPr>
              <w:adjustRightInd w:val="0"/>
              <w:snapToGrid w:val="0"/>
              <w:jc w:val="center"/>
              <w:rPr>
                <w:rFonts w:ascii="方正仿宋_GBK" w:hAnsi="Times New Roman" w:eastAsia="方正仿宋_GBK"/>
                <w:kern w:val="0"/>
                <w:sz w:val="32"/>
                <w:szCs w:val="32"/>
                <w:shd w:val="clear" w:color="auto" w:fill="FFFFFF"/>
                <w:lang w:bidi="ar"/>
              </w:rPr>
            </w:pPr>
            <w:r>
              <w:rPr>
                <w:rFonts w:hint="eastAsia" w:ascii="方正仿宋_GBK" w:hAnsi="Times New Roman" w:eastAsia="方正仿宋_GBK"/>
                <w:kern w:val="0"/>
                <w:sz w:val="32"/>
                <w:szCs w:val="32"/>
                <w:shd w:val="clear" w:color="auto" w:fill="FFFFFF"/>
                <w:lang w:bidi="ar"/>
              </w:rPr>
              <w:t>GB 31701-2015</w:t>
            </w:r>
          </w:p>
        </w:tc>
        <w:tc>
          <w:tcPr>
            <w:tcW w:w="3037" w:type="dxa"/>
            <w:vAlign w:val="center"/>
          </w:tcPr>
          <w:p w14:paraId="23310B8B">
            <w:pPr>
              <w:adjustRightInd w:val="0"/>
              <w:snapToGrid w:val="0"/>
              <w:jc w:val="center"/>
              <w:rPr>
                <w:rFonts w:ascii="方正仿宋_GBK" w:hAnsi="Times New Roman" w:eastAsia="方正仿宋_GBK"/>
                <w:kern w:val="0"/>
                <w:sz w:val="32"/>
                <w:szCs w:val="32"/>
                <w:shd w:val="clear" w:color="auto" w:fill="FFFFFF"/>
                <w:lang w:bidi="ar"/>
              </w:rPr>
            </w:pPr>
            <w:r>
              <w:rPr>
                <w:rFonts w:hint="eastAsia" w:ascii="方正仿宋_GBK" w:hAnsi="Times New Roman" w:eastAsia="方正仿宋_GBK"/>
                <w:kern w:val="0"/>
                <w:sz w:val="32"/>
                <w:szCs w:val="32"/>
                <w:shd w:val="clear" w:color="auto" w:fill="FFFFFF"/>
                <w:lang w:bidi="ar"/>
              </w:rPr>
              <w:t>GB/T 30157-2013</w:t>
            </w:r>
          </w:p>
        </w:tc>
      </w:tr>
      <w:tr w14:paraId="457EE1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1" w:hRule="atLeast"/>
          <w:jc w:val="center"/>
        </w:trPr>
        <w:tc>
          <w:tcPr>
            <w:tcW w:w="1111" w:type="dxa"/>
            <w:vAlign w:val="center"/>
          </w:tcPr>
          <w:p w14:paraId="15BCF13E">
            <w:pPr>
              <w:adjustRightInd w:val="0"/>
              <w:snapToGrid w:val="0"/>
              <w:jc w:val="center"/>
              <w:rPr>
                <w:rFonts w:ascii="方正仿宋_GBK" w:hAnsi="Times New Roman" w:eastAsia="方正仿宋_GBK"/>
                <w:kern w:val="0"/>
                <w:sz w:val="32"/>
                <w:szCs w:val="32"/>
                <w:shd w:val="clear" w:color="auto" w:fill="FFFFFF"/>
                <w:lang w:bidi="ar"/>
              </w:rPr>
            </w:pPr>
            <w:r>
              <w:rPr>
                <w:rFonts w:hint="eastAsia" w:ascii="方正仿宋_GBK" w:hAnsi="Times New Roman" w:eastAsia="方正仿宋_GBK"/>
                <w:kern w:val="0"/>
                <w:sz w:val="32"/>
                <w:szCs w:val="32"/>
                <w:shd w:val="clear" w:color="auto" w:fill="FFFFFF"/>
                <w:lang w:bidi="ar"/>
              </w:rPr>
              <w:t>11</w:t>
            </w:r>
          </w:p>
        </w:tc>
        <w:tc>
          <w:tcPr>
            <w:tcW w:w="2693" w:type="dxa"/>
            <w:vAlign w:val="center"/>
          </w:tcPr>
          <w:p w14:paraId="7B7700FD">
            <w:pPr>
              <w:adjustRightInd w:val="0"/>
              <w:snapToGrid w:val="0"/>
              <w:jc w:val="center"/>
              <w:rPr>
                <w:rFonts w:ascii="方正仿宋_GBK" w:hAnsi="Times New Roman" w:eastAsia="方正仿宋_GBK"/>
                <w:kern w:val="0"/>
                <w:sz w:val="32"/>
                <w:szCs w:val="32"/>
                <w:shd w:val="clear" w:color="auto" w:fill="FFFFFF"/>
                <w:lang w:bidi="ar"/>
              </w:rPr>
            </w:pPr>
            <w:r>
              <w:rPr>
                <w:rFonts w:hint="eastAsia" w:ascii="方正仿宋_GBK" w:hAnsi="Times New Roman" w:eastAsia="方正仿宋_GBK"/>
                <w:kern w:val="0"/>
                <w:sz w:val="32"/>
                <w:szCs w:val="32"/>
                <w:shd w:val="clear" w:color="auto" w:fill="FFFFFF"/>
                <w:lang w:bidi="ar"/>
              </w:rPr>
              <w:t>附件抗拉强力</w:t>
            </w:r>
          </w:p>
        </w:tc>
        <w:tc>
          <w:tcPr>
            <w:tcW w:w="2897" w:type="dxa"/>
            <w:vMerge w:val="continue"/>
            <w:vAlign w:val="center"/>
          </w:tcPr>
          <w:p w14:paraId="3CF03788">
            <w:pPr>
              <w:adjustRightInd w:val="0"/>
              <w:snapToGrid w:val="0"/>
              <w:jc w:val="center"/>
              <w:rPr>
                <w:rFonts w:ascii="方正仿宋_GBK" w:hAnsi="Times New Roman" w:eastAsia="方正仿宋_GBK"/>
                <w:kern w:val="0"/>
                <w:sz w:val="32"/>
                <w:szCs w:val="32"/>
                <w:shd w:val="clear" w:color="auto" w:fill="FFFFFF"/>
                <w:lang w:bidi="ar"/>
              </w:rPr>
            </w:pPr>
          </w:p>
        </w:tc>
        <w:tc>
          <w:tcPr>
            <w:tcW w:w="3037" w:type="dxa"/>
            <w:vAlign w:val="center"/>
          </w:tcPr>
          <w:p w14:paraId="2B50D115">
            <w:pPr>
              <w:adjustRightInd w:val="0"/>
              <w:snapToGrid w:val="0"/>
              <w:jc w:val="center"/>
              <w:rPr>
                <w:rFonts w:ascii="方正仿宋_GBK" w:hAnsi="Times New Roman" w:eastAsia="方正仿宋_GBK"/>
                <w:kern w:val="0"/>
                <w:sz w:val="32"/>
                <w:szCs w:val="32"/>
                <w:shd w:val="clear" w:color="auto" w:fill="FFFFFF"/>
                <w:lang w:bidi="ar"/>
              </w:rPr>
            </w:pPr>
            <w:r>
              <w:rPr>
                <w:rFonts w:hint="eastAsia" w:ascii="方正仿宋_GBK" w:hAnsi="Times New Roman" w:eastAsia="方正仿宋_GBK"/>
                <w:kern w:val="0"/>
                <w:sz w:val="32"/>
                <w:szCs w:val="32"/>
                <w:shd w:val="clear" w:color="auto" w:fill="FFFFFF"/>
                <w:lang w:bidi="ar"/>
              </w:rPr>
              <w:t>GB 31701-2015附录A</w:t>
            </w:r>
          </w:p>
        </w:tc>
      </w:tr>
      <w:tr w14:paraId="18ADA1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1" w:hRule="atLeast"/>
          <w:jc w:val="center"/>
        </w:trPr>
        <w:tc>
          <w:tcPr>
            <w:tcW w:w="1111" w:type="dxa"/>
            <w:vAlign w:val="center"/>
          </w:tcPr>
          <w:p w14:paraId="1FF8A387">
            <w:pPr>
              <w:adjustRightInd w:val="0"/>
              <w:snapToGrid w:val="0"/>
              <w:jc w:val="center"/>
              <w:rPr>
                <w:rFonts w:ascii="方正仿宋_GBK" w:hAnsi="Times New Roman" w:eastAsia="方正仿宋_GBK"/>
                <w:kern w:val="0"/>
                <w:sz w:val="32"/>
                <w:szCs w:val="32"/>
                <w:shd w:val="clear" w:color="auto" w:fill="FFFFFF"/>
                <w:lang w:bidi="ar"/>
              </w:rPr>
            </w:pPr>
            <w:r>
              <w:rPr>
                <w:rFonts w:hint="eastAsia" w:ascii="方正仿宋_GBK" w:hAnsi="Times New Roman" w:eastAsia="方正仿宋_GBK"/>
                <w:kern w:val="0"/>
                <w:sz w:val="32"/>
                <w:szCs w:val="32"/>
                <w:shd w:val="clear" w:color="auto" w:fill="FFFFFF"/>
                <w:lang w:bidi="ar"/>
              </w:rPr>
              <w:t>12</w:t>
            </w:r>
          </w:p>
        </w:tc>
        <w:tc>
          <w:tcPr>
            <w:tcW w:w="2693" w:type="dxa"/>
            <w:vAlign w:val="center"/>
          </w:tcPr>
          <w:p w14:paraId="538FF7FC">
            <w:pPr>
              <w:adjustRightInd w:val="0"/>
              <w:snapToGrid w:val="0"/>
              <w:jc w:val="center"/>
              <w:rPr>
                <w:rFonts w:ascii="方正仿宋_GBK" w:hAnsi="Times New Roman" w:eastAsia="方正仿宋_GBK"/>
                <w:kern w:val="0"/>
                <w:sz w:val="32"/>
                <w:szCs w:val="32"/>
                <w:shd w:val="clear" w:color="auto" w:fill="FFFFFF"/>
                <w:lang w:bidi="ar"/>
              </w:rPr>
            </w:pPr>
            <w:r>
              <w:rPr>
                <w:rFonts w:hint="eastAsia" w:ascii="方正仿宋_GBK" w:hAnsi="Times New Roman" w:eastAsia="方正仿宋_GBK"/>
                <w:kern w:val="0"/>
                <w:sz w:val="32"/>
                <w:szCs w:val="32"/>
                <w:shd w:val="clear" w:color="auto" w:fill="FFFFFF"/>
                <w:lang w:bidi="ar"/>
              </w:rPr>
              <w:t>附件锐利性</w:t>
            </w:r>
          </w:p>
        </w:tc>
        <w:tc>
          <w:tcPr>
            <w:tcW w:w="2897" w:type="dxa"/>
            <w:vMerge w:val="continue"/>
            <w:vAlign w:val="center"/>
          </w:tcPr>
          <w:p w14:paraId="0AF9DAB6">
            <w:pPr>
              <w:adjustRightInd w:val="0"/>
              <w:snapToGrid w:val="0"/>
              <w:jc w:val="center"/>
              <w:rPr>
                <w:rFonts w:ascii="方正仿宋_GBK" w:hAnsi="Times New Roman" w:eastAsia="方正仿宋_GBK"/>
                <w:kern w:val="0"/>
                <w:sz w:val="32"/>
                <w:szCs w:val="32"/>
                <w:shd w:val="clear" w:color="auto" w:fill="FFFFFF"/>
                <w:lang w:bidi="ar"/>
              </w:rPr>
            </w:pPr>
          </w:p>
        </w:tc>
        <w:tc>
          <w:tcPr>
            <w:tcW w:w="3037" w:type="dxa"/>
            <w:vAlign w:val="center"/>
          </w:tcPr>
          <w:p w14:paraId="00535BE8">
            <w:pPr>
              <w:adjustRightInd w:val="0"/>
              <w:snapToGrid w:val="0"/>
              <w:jc w:val="center"/>
              <w:rPr>
                <w:rFonts w:ascii="方正仿宋_GBK" w:hAnsi="Times New Roman" w:eastAsia="方正仿宋_GBK"/>
                <w:kern w:val="0"/>
                <w:sz w:val="32"/>
                <w:szCs w:val="32"/>
                <w:shd w:val="clear" w:color="auto" w:fill="FFFFFF"/>
                <w:lang w:bidi="ar"/>
              </w:rPr>
            </w:pPr>
            <w:r>
              <w:rPr>
                <w:rFonts w:hint="eastAsia" w:ascii="方正仿宋_GBK" w:hAnsi="Times New Roman" w:eastAsia="方正仿宋_GBK"/>
                <w:kern w:val="0"/>
                <w:sz w:val="32"/>
                <w:szCs w:val="32"/>
                <w:shd w:val="clear" w:color="auto" w:fill="FFFFFF"/>
                <w:lang w:bidi="ar"/>
              </w:rPr>
              <w:t>GB/T 31702-2015</w:t>
            </w:r>
          </w:p>
        </w:tc>
      </w:tr>
      <w:tr w14:paraId="0EBD91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1" w:hRule="atLeast"/>
          <w:jc w:val="center"/>
        </w:trPr>
        <w:tc>
          <w:tcPr>
            <w:tcW w:w="1111" w:type="dxa"/>
            <w:vAlign w:val="center"/>
          </w:tcPr>
          <w:p w14:paraId="4435DB71">
            <w:pPr>
              <w:adjustRightInd w:val="0"/>
              <w:snapToGrid w:val="0"/>
              <w:jc w:val="center"/>
              <w:rPr>
                <w:rFonts w:ascii="方正仿宋_GBK" w:hAnsi="Times New Roman" w:eastAsia="方正仿宋_GBK"/>
                <w:kern w:val="0"/>
                <w:sz w:val="32"/>
                <w:szCs w:val="32"/>
                <w:shd w:val="clear" w:color="auto" w:fill="FFFFFF"/>
                <w:lang w:bidi="ar"/>
              </w:rPr>
            </w:pPr>
            <w:r>
              <w:rPr>
                <w:rFonts w:hint="eastAsia" w:ascii="方正仿宋_GBK" w:hAnsi="Times New Roman" w:eastAsia="方正仿宋_GBK"/>
                <w:kern w:val="0"/>
                <w:sz w:val="32"/>
                <w:szCs w:val="32"/>
                <w:shd w:val="clear" w:color="auto" w:fill="FFFFFF"/>
                <w:lang w:bidi="ar"/>
              </w:rPr>
              <w:t>13</w:t>
            </w:r>
          </w:p>
        </w:tc>
        <w:tc>
          <w:tcPr>
            <w:tcW w:w="2693" w:type="dxa"/>
            <w:vAlign w:val="center"/>
          </w:tcPr>
          <w:p w14:paraId="62F0A6D2">
            <w:pPr>
              <w:adjustRightInd w:val="0"/>
              <w:snapToGrid w:val="0"/>
              <w:jc w:val="center"/>
              <w:rPr>
                <w:rFonts w:ascii="方正仿宋_GBK" w:hAnsi="Times New Roman" w:eastAsia="方正仿宋_GBK"/>
                <w:kern w:val="0"/>
                <w:sz w:val="32"/>
                <w:szCs w:val="32"/>
                <w:shd w:val="clear" w:color="auto" w:fill="FFFFFF"/>
                <w:lang w:bidi="ar"/>
              </w:rPr>
            </w:pPr>
            <w:r>
              <w:rPr>
                <w:rFonts w:hint="eastAsia" w:ascii="方正仿宋_GBK" w:hAnsi="Times New Roman" w:eastAsia="方正仿宋_GBK"/>
                <w:kern w:val="0"/>
                <w:sz w:val="32"/>
                <w:szCs w:val="32"/>
                <w:shd w:val="clear" w:color="auto" w:fill="FFFFFF"/>
                <w:lang w:bidi="ar"/>
              </w:rPr>
              <w:t>邻苯二甲酸酯</w:t>
            </w:r>
          </w:p>
        </w:tc>
        <w:tc>
          <w:tcPr>
            <w:tcW w:w="2897" w:type="dxa"/>
            <w:vMerge w:val="continue"/>
            <w:vAlign w:val="center"/>
          </w:tcPr>
          <w:p w14:paraId="2F89D632">
            <w:pPr>
              <w:adjustRightInd w:val="0"/>
              <w:snapToGrid w:val="0"/>
              <w:jc w:val="center"/>
              <w:rPr>
                <w:rFonts w:ascii="方正仿宋_GBK" w:hAnsi="Times New Roman" w:eastAsia="方正仿宋_GBK"/>
                <w:kern w:val="0"/>
                <w:sz w:val="32"/>
                <w:szCs w:val="32"/>
                <w:shd w:val="clear" w:color="auto" w:fill="FFFFFF"/>
                <w:lang w:bidi="ar"/>
              </w:rPr>
            </w:pPr>
          </w:p>
        </w:tc>
        <w:tc>
          <w:tcPr>
            <w:tcW w:w="3037" w:type="dxa"/>
            <w:vAlign w:val="center"/>
          </w:tcPr>
          <w:p w14:paraId="3BB809D7">
            <w:pPr>
              <w:adjustRightInd w:val="0"/>
              <w:snapToGrid w:val="0"/>
              <w:jc w:val="center"/>
              <w:rPr>
                <w:rFonts w:ascii="方正仿宋_GBK" w:hAnsi="Times New Roman" w:eastAsia="方正仿宋_GBK"/>
                <w:kern w:val="0"/>
                <w:sz w:val="32"/>
                <w:szCs w:val="32"/>
                <w:shd w:val="clear" w:color="auto" w:fill="FFFFFF"/>
                <w:lang w:bidi="ar"/>
              </w:rPr>
            </w:pPr>
            <w:r>
              <w:rPr>
                <w:rFonts w:hint="eastAsia" w:ascii="方正仿宋_GBK" w:hAnsi="Times New Roman" w:eastAsia="方正仿宋_GBK"/>
                <w:kern w:val="0"/>
                <w:sz w:val="32"/>
                <w:szCs w:val="32"/>
                <w:shd w:val="clear" w:color="auto" w:fill="FFFFFF"/>
                <w:lang w:bidi="ar"/>
              </w:rPr>
              <w:t>GB/T 20388-2016</w:t>
            </w:r>
          </w:p>
        </w:tc>
      </w:tr>
      <w:tr w14:paraId="701B4D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1" w:hRule="atLeast"/>
          <w:jc w:val="center"/>
        </w:trPr>
        <w:tc>
          <w:tcPr>
            <w:tcW w:w="1111" w:type="dxa"/>
            <w:vAlign w:val="center"/>
          </w:tcPr>
          <w:p w14:paraId="70B7BA49">
            <w:pPr>
              <w:adjustRightInd w:val="0"/>
              <w:snapToGrid w:val="0"/>
              <w:jc w:val="center"/>
              <w:rPr>
                <w:rFonts w:ascii="方正仿宋_GBK" w:hAnsi="Times New Roman" w:eastAsia="方正仿宋_GBK"/>
                <w:kern w:val="0"/>
                <w:sz w:val="32"/>
                <w:szCs w:val="32"/>
                <w:shd w:val="clear" w:color="auto" w:fill="FFFFFF"/>
                <w:lang w:bidi="ar"/>
              </w:rPr>
            </w:pPr>
            <w:r>
              <w:rPr>
                <w:rFonts w:hint="eastAsia" w:ascii="方正仿宋_GBK" w:hAnsi="Times New Roman" w:eastAsia="方正仿宋_GBK"/>
                <w:kern w:val="0"/>
                <w:sz w:val="32"/>
                <w:szCs w:val="32"/>
                <w:shd w:val="clear" w:color="auto" w:fill="FFFFFF"/>
                <w:lang w:bidi="ar"/>
              </w:rPr>
              <w:t>14</w:t>
            </w:r>
          </w:p>
        </w:tc>
        <w:tc>
          <w:tcPr>
            <w:tcW w:w="2693" w:type="dxa"/>
            <w:vAlign w:val="center"/>
          </w:tcPr>
          <w:p w14:paraId="780C4354">
            <w:pPr>
              <w:adjustRightInd w:val="0"/>
              <w:snapToGrid w:val="0"/>
              <w:jc w:val="center"/>
              <w:rPr>
                <w:rFonts w:ascii="方正仿宋_GBK" w:hAnsi="Times New Roman" w:eastAsia="方正仿宋_GBK"/>
                <w:kern w:val="0"/>
                <w:sz w:val="32"/>
                <w:szCs w:val="32"/>
                <w:shd w:val="clear" w:color="auto" w:fill="FFFFFF"/>
                <w:lang w:bidi="ar"/>
              </w:rPr>
            </w:pPr>
            <w:r>
              <w:rPr>
                <w:rFonts w:hint="eastAsia" w:ascii="方正仿宋_GBK" w:hAnsi="Times New Roman" w:eastAsia="方正仿宋_GBK"/>
                <w:kern w:val="0"/>
                <w:sz w:val="32"/>
                <w:szCs w:val="32"/>
                <w:shd w:val="clear" w:color="auto" w:fill="FFFFFF"/>
                <w:lang w:bidi="ar"/>
              </w:rPr>
              <w:t>燃烧性能</w:t>
            </w:r>
          </w:p>
        </w:tc>
        <w:tc>
          <w:tcPr>
            <w:tcW w:w="2897" w:type="dxa"/>
            <w:vMerge w:val="continue"/>
            <w:vAlign w:val="center"/>
          </w:tcPr>
          <w:p w14:paraId="615AACAC">
            <w:pPr>
              <w:adjustRightInd w:val="0"/>
              <w:snapToGrid w:val="0"/>
              <w:jc w:val="center"/>
              <w:rPr>
                <w:rFonts w:ascii="方正仿宋_GBK" w:hAnsi="Times New Roman" w:eastAsia="方正仿宋_GBK"/>
                <w:kern w:val="0"/>
                <w:sz w:val="32"/>
                <w:szCs w:val="32"/>
                <w:shd w:val="clear" w:color="auto" w:fill="FFFFFF"/>
                <w:lang w:bidi="ar"/>
              </w:rPr>
            </w:pPr>
          </w:p>
        </w:tc>
        <w:tc>
          <w:tcPr>
            <w:tcW w:w="3037" w:type="dxa"/>
            <w:vAlign w:val="center"/>
          </w:tcPr>
          <w:p w14:paraId="452B7DB3">
            <w:pPr>
              <w:adjustRightInd w:val="0"/>
              <w:snapToGrid w:val="0"/>
              <w:jc w:val="center"/>
              <w:rPr>
                <w:rFonts w:ascii="方正仿宋_GBK" w:hAnsi="Times New Roman" w:eastAsia="方正仿宋_GBK"/>
                <w:kern w:val="0"/>
                <w:sz w:val="32"/>
                <w:szCs w:val="32"/>
                <w:shd w:val="clear" w:color="auto" w:fill="FFFFFF"/>
                <w:lang w:bidi="ar"/>
              </w:rPr>
            </w:pPr>
            <w:r>
              <w:rPr>
                <w:rFonts w:hint="eastAsia" w:ascii="方正仿宋_GBK" w:hAnsi="Times New Roman" w:eastAsia="方正仿宋_GBK"/>
                <w:kern w:val="0"/>
                <w:sz w:val="32"/>
                <w:szCs w:val="32"/>
                <w:shd w:val="clear" w:color="auto" w:fill="FFFFFF"/>
                <w:lang w:bidi="ar"/>
              </w:rPr>
              <w:t>GB/T 14644-2014</w:t>
            </w:r>
          </w:p>
        </w:tc>
      </w:tr>
      <w:tr w14:paraId="762DCE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1" w:hRule="atLeast"/>
          <w:jc w:val="center"/>
        </w:trPr>
        <w:tc>
          <w:tcPr>
            <w:tcW w:w="1111" w:type="dxa"/>
            <w:vAlign w:val="center"/>
          </w:tcPr>
          <w:p w14:paraId="31715C85">
            <w:pPr>
              <w:adjustRightInd w:val="0"/>
              <w:snapToGrid w:val="0"/>
              <w:jc w:val="center"/>
              <w:rPr>
                <w:rFonts w:ascii="方正仿宋_GBK" w:hAnsi="Times New Roman" w:eastAsia="方正仿宋_GBK"/>
                <w:kern w:val="0"/>
                <w:sz w:val="32"/>
                <w:szCs w:val="32"/>
                <w:shd w:val="clear" w:color="auto" w:fill="FFFFFF"/>
                <w:lang w:bidi="ar"/>
              </w:rPr>
            </w:pPr>
            <w:r>
              <w:rPr>
                <w:rFonts w:hint="eastAsia" w:ascii="方正仿宋_GBK" w:hAnsi="Times New Roman" w:eastAsia="方正仿宋_GBK"/>
                <w:kern w:val="0"/>
                <w:sz w:val="32"/>
                <w:szCs w:val="32"/>
                <w:shd w:val="clear" w:color="auto" w:fill="FFFFFF"/>
                <w:lang w:bidi="ar"/>
              </w:rPr>
              <w:t>15</w:t>
            </w:r>
          </w:p>
        </w:tc>
        <w:tc>
          <w:tcPr>
            <w:tcW w:w="2693" w:type="dxa"/>
            <w:vAlign w:val="center"/>
          </w:tcPr>
          <w:p w14:paraId="3B47BC24">
            <w:pPr>
              <w:adjustRightInd w:val="0"/>
              <w:snapToGrid w:val="0"/>
              <w:jc w:val="center"/>
              <w:rPr>
                <w:rFonts w:ascii="方正仿宋_GBK" w:hAnsi="Times New Roman" w:eastAsia="方正仿宋_GBK"/>
                <w:kern w:val="0"/>
                <w:sz w:val="32"/>
                <w:szCs w:val="32"/>
                <w:shd w:val="clear" w:color="auto" w:fill="FFFFFF"/>
                <w:lang w:bidi="ar"/>
              </w:rPr>
            </w:pPr>
            <w:r>
              <w:rPr>
                <w:rFonts w:hint="eastAsia" w:ascii="方正仿宋_GBK" w:hAnsi="Times New Roman" w:eastAsia="方正仿宋_GBK"/>
                <w:kern w:val="0"/>
                <w:sz w:val="32"/>
                <w:szCs w:val="32"/>
                <w:shd w:val="clear" w:color="auto" w:fill="FFFFFF"/>
                <w:lang w:bidi="ar"/>
              </w:rPr>
              <w:t>绳带要求</w:t>
            </w:r>
          </w:p>
        </w:tc>
        <w:tc>
          <w:tcPr>
            <w:tcW w:w="2897" w:type="dxa"/>
            <w:vMerge w:val="continue"/>
            <w:vAlign w:val="center"/>
          </w:tcPr>
          <w:p w14:paraId="7B6BD1FF">
            <w:pPr>
              <w:adjustRightInd w:val="0"/>
              <w:snapToGrid w:val="0"/>
              <w:jc w:val="center"/>
              <w:rPr>
                <w:rFonts w:ascii="方正仿宋_GBK" w:hAnsi="Times New Roman" w:eastAsia="方正仿宋_GBK"/>
                <w:kern w:val="0"/>
                <w:sz w:val="32"/>
                <w:szCs w:val="32"/>
                <w:shd w:val="clear" w:color="auto" w:fill="FFFFFF"/>
                <w:lang w:bidi="ar"/>
              </w:rPr>
            </w:pPr>
          </w:p>
        </w:tc>
        <w:tc>
          <w:tcPr>
            <w:tcW w:w="3037" w:type="dxa"/>
            <w:vAlign w:val="center"/>
          </w:tcPr>
          <w:p w14:paraId="3275B59B">
            <w:pPr>
              <w:adjustRightInd w:val="0"/>
              <w:snapToGrid w:val="0"/>
              <w:jc w:val="center"/>
              <w:rPr>
                <w:rFonts w:ascii="方正仿宋_GBK" w:hAnsi="Times New Roman" w:eastAsia="方正仿宋_GBK"/>
                <w:kern w:val="0"/>
                <w:sz w:val="32"/>
                <w:szCs w:val="32"/>
                <w:shd w:val="clear" w:color="auto" w:fill="FFFFFF"/>
                <w:lang w:bidi="ar"/>
              </w:rPr>
            </w:pPr>
            <w:r>
              <w:rPr>
                <w:rFonts w:hint="eastAsia" w:ascii="方正仿宋_GBK" w:hAnsi="Times New Roman" w:eastAsia="方正仿宋_GBK"/>
                <w:kern w:val="0"/>
                <w:sz w:val="32"/>
                <w:szCs w:val="32"/>
                <w:shd w:val="clear" w:color="auto" w:fill="FFFFFF"/>
                <w:lang w:bidi="ar"/>
              </w:rPr>
              <w:t>GB 31701-2015</w:t>
            </w:r>
          </w:p>
        </w:tc>
      </w:tr>
      <w:tr w14:paraId="46AD98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1" w:hRule="atLeast"/>
          <w:jc w:val="center"/>
        </w:trPr>
        <w:tc>
          <w:tcPr>
            <w:tcW w:w="1111" w:type="dxa"/>
            <w:vAlign w:val="center"/>
          </w:tcPr>
          <w:p w14:paraId="5E12BDEF">
            <w:pPr>
              <w:adjustRightInd w:val="0"/>
              <w:snapToGrid w:val="0"/>
              <w:jc w:val="center"/>
              <w:rPr>
                <w:rFonts w:ascii="方正仿宋_GBK" w:hAnsi="Times New Roman" w:eastAsia="方正仿宋_GBK"/>
                <w:kern w:val="0"/>
                <w:sz w:val="32"/>
                <w:szCs w:val="32"/>
                <w:shd w:val="clear" w:color="auto" w:fill="FFFFFF"/>
                <w:lang w:bidi="ar"/>
              </w:rPr>
            </w:pPr>
            <w:r>
              <w:rPr>
                <w:rFonts w:hint="eastAsia" w:ascii="方正仿宋_GBK" w:hAnsi="Times New Roman" w:eastAsia="方正仿宋_GBK"/>
                <w:kern w:val="0"/>
                <w:sz w:val="32"/>
                <w:szCs w:val="32"/>
                <w:shd w:val="clear" w:color="auto" w:fill="FFFFFF"/>
                <w:lang w:bidi="ar"/>
              </w:rPr>
              <w:t>16</w:t>
            </w:r>
          </w:p>
        </w:tc>
        <w:tc>
          <w:tcPr>
            <w:tcW w:w="2693" w:type="dxa"/>
            <w:vAlign w:val="center"/>
          </w:tcPr>
          <w:p w14:paraId="4818CE4D">
            <w:pPr>
              <w:adjustRightInd w:val="0"/>
              <w:snapToGrid w:val="0"/>
              <w:jc w:val="center"/>
              <w:rPr>
                <w:rFonts w:ascii="方正仿宋_GBK" w:hAnsi="Times New Roman" w:eastAsia="方正仿宋_GBK"/>
                <w:kern w:val="0"/>
                <w:sz w:val="32"/>
                <w:szCs w:val="32"/>
                <w:shd w:val="clear" w:color="auto" w:fill="FFFFFF"/>
                <w:lang w:bidi="ar"/>
              </w:rPr>
            </w:pPr>
            <w:r>
              <w:rPr>
                <w:rFonts w:hint="eastAsia" w:ascii="方正仿宋_GBK" w:hAnsi="Times New Roman" w:eastAsia="方正仿宋_GBK"/>
                <w:kern w:val="0"/>
                <w:sz w:val="32"/>
                <w:szCs w:val="32"/>
                <w:shd w:val="clear" w:color="auto" w:fill="FFFFFF"/>
                <w:lang w:bidi="ar"/>
              </w:rPr>
              <w:t>纤维含量</w:t>
            </w:r>
          </w:p>
        </w:tc>
        <w:tc>
          <w:tcPr>
            <w:tcW w:w="2897" w:type="dxa"/>
            <w:vAlign w:val="center"/>
          </w:tcPr>
          <w:p w14:paraId="3FD07230">
            <w:pPr>
              <w:adjustRightInd w:val="0"/>
              <w:snapToGrid w:val="0"/>
              <w:jc w:val="center"/>
              <w:rPr>
                <w:rFonts w:ascii="方正仿宋_GBK" w:hAnsi="Times New Roman" w:eastAsia="方正仿宋_GBK"/>
                <w:kern w:val="0"/>
                <w:sz w:val="32"/>
                <w:szCs w:val="32"/>
                <w:shd w:val="clear" w:color="auto" w:fill="FFFFFF"/>
                <w:lang w:bidi="ar"/>
              </w:rPr>
            </w:pPr>
            <w:r>
              <w:rPr>
                <w:rFonts w:hint="eastAsia" w:ascii="方正仿宋_GBK" w:hAnsi="Times New Roman" w:eastAsia="方正仿宋_GBK"/>
                <w:kern w:val="0"/>
                <w:sz w:val="32"/>
                <w:szCs w:val="32"/>
                <w:shd w:val="clear" w:color="auto" w:fill="FFFFFF"/>
                <w:lang w:bidi="ar"/>
              </w:rPr>
              <w:t>GB/T 29862-2013相应产品标准</w:t>
            </w:r>
          </w:p>
        </w:tc>
        <w:tc>
          <w:tcPr>
            <w:tcW w:w="3037" w:type="dxa"/>
            <w:vAlign w:val="center"/>
          </w:tcPr>
          <w:p w14:paraId="2D82859D">
            <w:pPr>
              <w:adjustRightInd w:val="0"/>
              <w:snapToGrid w:val="0"/>
              <w:jc w:val="center"/>
              <w:rPr>
                <w:rFonts w:ascii="方正仿宋_GBK" w:hAnsi="Times New Roman" w:eastAsia="方正仿宋_GBK"/>
                <w:kern w:val="0"/>
                <w:sz w:val="32"/>
                <w:szCs w:val="32"/>
                <w:shd w:val="clear" w:color="auto" w:fill="FFFFFF"/>
                <w:lang w:bidi="ar"/>
              </w:rPr>
            </w:pPr>
            <w:r>
              <w:rPr>
                <w:rFonts w:hint="eastAsia" w:ascii="方正仿宋_GBK" w:hAnsi="Times New Roman" w:eastAsia="方正仿宋_GBK"/>
                <w:kern w:val="0"/>
                <w:sz w:val="32"/>
                <w:szCs w:val="32"/>
                <w:shd w:val="clear" w:color="auto" w:fill="FFFFFF"/>
                <w:lang w:bidi="ar"/>
              </w:rPr>
              <w:t>FZ/T 01057-2007</w:t>
            </w:r>
          </w:p>
          <w:p w14:paraId="419BB4A2">
            <w:pPr>
              <w:adjustRightInd w:val="0"/>
              <w:snapToGrid w:val="0"/>
              <w:jc w:val="center"/>
              <w:rPr>
                <w:rFonts w:ascii="方正仿宋_GBK" w:hAnsi="Times New Roman" w:eastAsia="方正仿宋_GBK"/>
                <w:kern w:val="0"/>
                <w:sz w:val="32"/>
                <w:szCs w:val="32"/>
                <w:shd w:val="clear" w:color="auto" w:fill="FFFFFF"/>
                <w:lang w:bidi="ar"/>
              </w:rPr>
            </w:pPr>
            <w:r>
              <w:rPr>
                <w:rFonts w:hint="eastAsia" w:ascii="方正仿宋_GBK" w:hAnsi="Times New Roman" w:eastAsia="方正仿宋_GBK"/>
                <w:kern w:val="0"/>
                <w:sz w:val="32"/>
                <w:szCs w:val="32"/>
                <w:shd w:val="clear" w:color="auto" w:fill="FFFFFF"/>
                <w:lang w:bidi="ar"/>
              </w:rPr>
              <w:t>GB/T 2910-2009等</w:t>
            </w:r>
          </w:p>
        </w:tc>
      </w:tr>
      <w:tr w14:paraId="0C320C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1" w:hRule="atLeast"/>
          <w:jc w:val="center"/>
        </w:trPr>
        <w:tc>
          <w:tcPr>
            <w:tcW w:w="9738" w:type="dxa"/>
            <w:gridSpan w:val="4"/>
            <w:vAlign w:val="center"/>
          </w:tcPr>
          <w:p w14:paraId="167516AB">
            <w:pPr>
              <w:adjustRightInd w:val="0"/>
              <w:snapToGrid w:val="0"/>
              <w:ind w:left="1280" w:hanging="1280" w:hangingChars="400"/>
              <w:jc w:val="left"/>
              <w:rPr>
                <w:rFonts w:ascii="方正仿宋_GBK" w:hAnsi="Times New Roman" w:eastAsia="方正仿宋_GBK"/>
                <w:kern w:val="0"/>
                <w:sz w:val="32"/>
                <w:szCs w:val="32"/>
                <w:shd w:val="clear" w:color="auto" w:fill="FFFFFF"/>
                <w:lang w:bidi="ar"/>
              </w:rPr>
            </w:pPr>
            <w:r>
              <w:rPr>
                <w:rFonts w:hint="eastAsia" w:ascii="方正仿宋_GBK" w:hAnsi="Times New Roman" w:eastAsia="方正仿宋_GBK"/>
                <w:kern w:val="0"/>
                <w:sz w:val="32"/>
                <w:szCs w:val="32"/>
                <w:shd w:val="clear" w:color="auto" w:fill="FFFFFF"/>
                <w:lang w:bidi="ar"/>
              </w:rPr>
              <w:t>备注：1.重金属仅考核含有涂层和涂料印染的织物，指标为铅、镉总量占涂层质量的比值；</w:t>
            </w:r>
          </w:p>
          <w:p w14:paraId="1580CE53">
            <w:pPr>
              <w:adjustRightInd w:val="0"/>
              <w:snapToGrid w:val="0"/>
              <w:ind w:firstLine="960" w:firstLineChars="300"/>
              <w:jc w:val="left"/>
              <w:rPr>
                <w:rFonts w:ascii="方正仿宋_GBK" w:hAnsi="Times New Roman" w:eastAsia="方正仿宋_GBK"/>
                <w:kern w:val="0"/>
                <w:sz w:val="32"/>
                <w:szCs w:val="32"/>
                <w:shd w:val="clear" w:color="auto" w:fill="FFFFFF"/>
                <w:lang w:bidi="ar"/>
              </w:rPr>
            </w:pPr>
            <w:r>
              <w:rPr>
                <w:rFonts w:hint="eastAsia" w:ascii="方正仿宋_GBK" w:hAnsi="Times New Roman" w:eastAsia="方正仿宋_GBK"/>
                <w:kern w:val="0"/>
                <w:sz w:val="32"/>
                <w:szCs w:val="32"/>
                <w:shd w:val="clear" w:color="auto" w:fill="FFFFFF"/>
                <w:lang w:bidi="ar"/>
              </w:rPr>
              <w:t>2.针织类产品耐摩擦色牢度只做直向。</w:t>
            </w:r>
            <w:bookmarkStart w:id="2" w:name="_GoBack"/>
            <w:bookmarkEnd w:id="2"/>
          </w:p>
        </w:tc>
      </w:tr>
      <w:bookmarkEnd w:id="1"/>
    </w:tbl>
    <w:p w14:paraId="5E91A091">
      <w:pPr>
        <w:snapToGrid w:val="0"/>
        <w:spacing w:line="600" w:lineRule="exact"/>
        <w:ind w:firstLine="56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检验方法包括相关产品标准及试验方法标准。</w:t>
      </w:r>
    </w:p>
    <w:p w14:paraId="7B3A01D1">
      <w:pPr>
        <w:snapToGrid w:val="0"/>
        <w:spacing w:line="600" w:lineRule="exact"/>
        <w:ind w:firstLine="560"/>
        <w:rPr>
          <w:rFonts w:ascii="宋体" w:hAnsi="宋体" w:cs="宋体"/>
          <w:sz w:val="32"/>
          <w:szCs w:val="32"/>
        </w:rPr>
      </w:pPr>
      <w:r>
        <w:rPr>
          <w:rFonts w:hint="eastAsia" w:ascii="方正仿宋_GBK" w:hAnsi="方正仿宋_GBK" w:eastAsia="方正仿宋_GBK" w:cs="方正仿宋_GBK"/>
          <w:sz w:val="32"/>
          <w:szCs w:val="32"/>
        </w:rPr>
        <w:t>凡是注日期的文件，其随后所有的修改单（不包括勘误的内容）或修订版不适用于本细则。凡是不注日期的文件，其最新版本适用于本细则。</w:t>
      </w:r>
    </w:p>
    <w:p w14:paraId="3B4610D5">
      <w:pPr>
        <w:spacing w:line="600" w:lineRule="exact"/>
        <w:ind w:firstLine="640" w:firstLineChars="200"/>
        <w:rPr>
          <w:rFonts w:ascii="方正黑体_GBK" w:hAnsi="方正黑体_GBK" w:eastAsia="方正黑体_GBK" w:cs="方正黑体_GBK"/>
          <w:bCs/>
          <w:sz w:val="32"/>
          <w:szCs w:val="32"/>
        </w:rPr>
      </w:pPr>
      <w:r>
        <w:rPr>
          <w:rFonts w:hint="eastAsia" w:ascii="方正黑体_GBK" w:hAnsi="方正黑体_GBK" w:eastAsia="方正黑体_GBK" w:cs="方正黑体_GBK"/>
          <w:bCs/>
          <w:sz w:val="32"/>
          <w:szCs w:val="32"/>
        </w:rPr>
        <w:t>4.判定规则</w:t>
      </w:r>
    </w:p>
    <w:p w14:paraId="1453353E">
      <w:pPr>
        <w:spacing w:line="600" w:lineRule="exact"/>
        <w:ind w:firstLine="640" w:firstLineChars="200"/>
        <w:rPr>
          <w:rFonts w:ascii="方正黑体_GBK" w:hAnsi="宋体" w:eastAsia="方正黑体_GBK" w:cs="宋体"/>
          <w:bCs/>
          <w:sz w:val="32"/>
          <w:szCs w:val="32"/>
        </w:rPr>
      </w:pPr>
      <w:r>
        <w:rPr>
          <w:rFonts w:hint="eastAsia" w:ascii="方正黑体_GBK" w:hAnsi="宋体" w:eastAsia="方正黑体_GBK" w:cs="宋体"/>
          <w:bCs/>
          <w:sz w:val="32"/>
          <w:szCs w:val="32"/>
        </w:rPr>
        <w:t>4.1依据标准</w:t>
      </w:r>
    </w:p>
    <w:p w14:paraId="02494325">
      <w:pPr>
        <w:spacing w:line="600" w:lineRule="exact"/>
        <w:ind w:firstLine="640" w:firstLineChars="200"/>
        <w:contextualSpacing/>
        <w:rPr>
          <w:rFonts w:ascii="方正仿宋_GBK" w:hAnsi="Times New Roman" w:eastAsia="方正仿宋_GBK"/>
          <w:sz w:val="32"/>
          <w:szCs w:val="32"/>
        </w:rPr>
      </w:pPr>
      <w:r>
        <w:rPr>
          <w:rFonts w:hint="eastAsia" w:ascii="方正仿宋_GBK" w:hAnsi="Times New Roman" w:eastAsia="方正仿宋_GBK"/>
          <w:sz w:val="32"/>
          <w:szCs w:val="32"/>
        </w:rPr>
        <w:t>GB 31701-2015《婴幼儿及儿童纺织产品安全技术规范》</w:t>
      </w:r>
    </w:p>
    <w:p w14:paraId="235517BD">
      <w:pPr>
        <w:spacing w:line="600" w:lineRule="exact"/>
        <w:ind w:firstLine="640" w:firstLineChars="200"/>
        <w:contextualSpacing/>
        <w:rPr>
          <w:rFonts w:ascii="方正仿宋_GBK" w:hAnsi="Times New Roman" w:eastAsia="方正仿宋_GBK"/>
          <w:sz w:val="32"/>
          <w:szCs w:val="32"/>
        </w:rPr>
      </w:pPr>
      <w:r>
        <w:rPr>
          <w:rFonts w:hint="eastAsia" w:ascii="方正仿宋_GBK" w:hAnsi="Times New Roman" w:eastAsia="方正仿宋_GBK"/>
          <w:sz w:val="32"/>
          <w:szCs w:val="32"/>
        </w:rPr>
        <w:t>GB/T 29862-2013《纺织品 纤维含量的标识》</w:t>
      </w:r>
    </w:p>
    <w:p w14:paraId="2CE18631">
      <w:pPr>
        <w:spacing w:line="600" w:lineRule="exact"/>
        <w:ind w:firstLine="640" w:firstLineChars="200"/>
        <w:rPr>
          <w:rFonts w:ascii="方正仿宋_GBK" w:hAnsi="Times New Roman" w:eastAsia="方正仿宋_GBK"/>
          <w:sz w:val="32"/>
          <w:szCs w:val="32"/>
        </w:rPr>
      </w:pPr>
      <w:r>
        <w:rPr>
          <w:rFonts w:hint="eastAsia" w:ascii="方正仿宋_GBK" w:hAnsi="Times New Roman" w:eastAsia="方正仿宋_GBK"/>
          <w:sz w:val="32"/>
          <w:szCs w:val="32"/>
        </w:rPr>
        <w:t>GB/T 26384-2011《针织棉服装》</w:t>
      </w:r>
    </w:p>
    <w:p w14:paraId="20E00C83">
      <w:pPr>
        <w:spacing w:line="600" w:lineRule="exact"/>
        <w:ind w:firstLine="640" w:firstLineChars="200"/>
        <w:rPr>
          <w:rFonts w:ascii="方正仿宋_GBK" w:hAnsi="Times New Roman" w:eastAsia="方正仿宋_GBK"/>
          <w:sz w:val="32"/>
          <w:szCs w:val="32"/>
        </w:rPr>
      </w:pPr>
      <w:r>
        <w:rPr>
          <w:rFonts w:hint="eastAsia" w:ascii="方正仿宋_GBK" w:hAnsi="Times New Roman" w:eastAsia="方正仿宋_GBK"/>
          <w:sz w:val="32"/>
          <w:szCs w:val="32"/>
        </w:rPr>
        <w:t>GB/T 26385-2011《针织拼接服装》</w:t>
      </w:r>
    </w:p>
    <w:p w14:paraId="3115E1A7">
      <w:pPr>
        <w:spacing w:line="600" w:lineRule="exact"/>
        <w:ind w:firstLine="640" w:firstLineChars="200"/>
        <w:rPr>
          <w:rFonts w:ascii="方正仿宋_GBK" w:hAnsi="Times New Roman" w:eastAsia="方正仿宋_GBK"/>
          <w:b/>
          <w:sz w:val="32"/>
          <w:szCs w:val="32"/>
        </w:rPr>
      </w:pPr>
      <w:r>
        <w:rPr>
          <w:rFonts w:hint="eastAsia" w:ascii="方正仿宋_GBK" w:hAnsi="Times New Roman" w:eastAsia="方正仿宋_GBK"/>
          <w:sz w:val="32"/>
          <w:szCs w:val="32"/>
        </w:rPr>
        <w:t>GB/T 33271-2016《机织婴幼儿服装》</w:t>
      </w:r>
    </w:p>
    <w:p w14:paraId="6F196DAB">
      <w:pPr>
        <w:spacing w:line="600" w:lineRule="exact"/>
        <w:ind w:firstLine="640" w:firstLineChars="200"/>
        <w:rPr>
          <w:rFonts w:ascii="方正仿宋_GBK" w:hAnsi="Times New Roman" w:eastAsia="方正仿宋_GBK"/>
          <w:b/>
          <w:sz w:val="32"/>
          <w:szCs w:val="32"/>
        </w:rPr>
      </w:pPr>
      <w:r>
        <w:rPr>
          <w:rFonts w:hint="eastAsia" w:ascii="方正仿宋_GBK" w:hAnsi="Times New Roman" w:eastAsia="方正仿宋_GBK"/>
          <w:sz w:val="32"/>
          <w:szCs w:val="32"/>
        </w:rPr>
        <w:t>GB/T 39508-2020《针织婴幼儿及儿童服装》</w:t>
      </w:r>
    </w:p>
    <w:p w14:paraId="3A6F7541">
      <w:pPr>
        <w:spacing w:line="600" w:lineRule="exact"/>
        <w:ind w:firstLine="640" w:firstLineChars="200"/>
        <w:rPr>
          <w:rFonts w:ascii="方正仿宋_GBK" w:hAnsi="Times New Roman" w:eastAsia="方正仿宋_GBK"/>
          <w:b/>
          <w:sz w:val="32"/>
          <w:szCs w:val="32"/>
        </w:rPr>
      </w:pPr>
      <w:r>
        <w:rPr>
          <w:rFonts w:hint="eastAsia" w:ascii="方正仿宋_GBK" w:hAnsi="Times New Roman" w:eastAsia="方正仿宋_GBK"/>
          <w:sz w:val="32"/>
          <w:szCs w:val="32"/>
        </w:rPr>
        <w:t>FZ/T 08001-2021《羊毛絮片服装》</w:t>
      </w:r>
    </w:p>
    <w:p w14:paraId="6035A055">
      <w:pPr>
        <w:spacing w:line="600" w:lineRule="exact"/>
        <w:ind w:firstLine="640" w:firstLineChars="200"/>
        <w:rPr>
          <w:rFonts w:ascii="方正仿宋_GBK" w:hAnsi="Times New Roman" w:eastAsia="方正仿宋_GBK"/>
          <w:sz w:val="32"/>
          <w:szCs w:val="32"/>
        </w:rPr>
      </w:pPr>
      <w:r>
        <w:rPr>
          <w:rFonts w:hint="eastAsia" w:ascii="方正仿宋_GBK" w:hAnsi="Times New Roman" w:eastAsia="方正仿宋_GBK"/>
          <w:sz w:val="32"/>
          <w:szCs w:val="32"/>
        </w:rPr>
        <w:t>FZ/T 08002-2022《新生儿纺织产品》</w:t>
      </w:r>
    </w:p>
    <w:p w14:paraId="6804AEAC">
      <w:pPr>
        <w:spacing w:line="600" w:lineRule="exact"/>
        <w:ind w:firstLine="640" w:firstLineChars="200"/>
        <w:rPr>
          <w:rFonts w:ascii="方正仿宋_GBK" w:hAnsi="Times New Roman" w:eastAsia="方正仿宋_GBK"/>
          <w:sz w:val="32"/>
          <w:szCs w:val="32"/>
        </w:rPr>
      </w:pPr>
      <w:r>
        <w:rPr>
          <w:rFonts w:hint="eastAsia" w:ascii="方正仿宋_GBK" w:hAnsi="Times New Roman" w:eastAsia="方正仿宋_GBK"/>
          <w:sz w:val="32"/>
          <w:szCs w:val="32"/>
        </w:rPr>
        <w:t>FZ/T 24019-2012《印花羊绒针织品》</w:t>
      </w:r>
    </w:p>
    <w:p w14:paraId="33EA50E5">
      <w:pPr>
        <w:spacing w:line="600" w:lineRule="exact"/>
        <w:ind w:firstLine="640" w:firstLineChars="200"/>
        <w:rPr>
          <w:rFonts w:ascii="方正仿宋_GBK" w:hAnsi="Times New Roman" w:eastAsia="方正仿宋_GBK"/>
          <w:sz w:val="32"/>
          <w:szCs w:val="32"/>
        </w:rPr>
      </w:pPr>
      <w:r>
        <w:rPr>
          <w:rFonts w:hint="eastAsia" w:ascii="方正仿宋_GBK" w:hAnsi="Times New Roman" w:eastAsia="方正仿宋_GBK"/>
          <w:sz w:val="32"/>
          <w:szCs w:val="32"/>
        </w:rPr>
        <w:t>FZ/T 43015-2021《桑蚕丝针织服装》</w:t>
      </w:r>
    </w:p>
    <w:p w14:paraId="1B0D7125">
      <w:pPr>
        <w:spacing w:line="600" w:lineRule="exact"/>
        <w:ind w:firstLine="640" w:firstLineChars="200"/>
        <w:rPr>
          <w:rFonts w:ascii="方正仿宋_GBK" w:hAnsi="Times New Roman" w:eastAsia="方正仿宋_GBK"/>
          <w:sz w:val="32"/>
          <w:szCs w:val="32"/>
        </w:rPr>
      </w:pPr>
      <w:r>
        <w:rPr>
          <w:rFonts w:hint="eastAsia" w:ascii="方正仿宋_GBK" w:hAnsi="Times New Roman" w:eastAsia="方正仿宋_GBK"/>
          <w:sz w:val="32"/>
          <w:szCs w:val="32"/>
        </w:rPr>
        <w:t>FZ/T 73009-2021《山羊绒针织品》</w:t>
      </w:r>
    </w:p>
    <w:p w14:paraId="73880C8D">
      <w:pPr>
        <w:spacing w:line="600" w:lineRule="exact"/>
        <w:ind w:firstLine="640" w:firstLineChars="200"/>
        <w:rPr>
          <w:rFonts w:ascii="方正仿宋_GBK" w:hAnsi="Times New Roman" w:eastAsia="方正仿宋_GBK"/>
          <w:sz w:val="32"/>
          <w:szCs w:val="32"/>
        </w:rPr>
      </w:pPr>
      <w:r>
        <w:rPr>
          <w:rFonts w:hint="eastAsia" w:ascii="方正仿宋_GBK" w:hAnsi="Times New Roman" w:eastAsia="方正仿宋_GBK"/>
          <w:sz w:val="32"/>
          <w:szCs w:val="32"/>
        </w:rPr>
        <w:t>FZ/T 73025-2019《婴幼儿针织服饰》</w:t>
      </w:r>
    </w:p>
    <w:p w14:paraId="596F2F00">
      <w:pPr>
        <w:spacing w:line="600" w:lineRule="exact"/>
        <w:ind w:firstLine="640" w:firstLineChars="200"/>
        <w:rPr>
          <w:rFonts w:ascii="方正仿宋_GBK" w:hAnsi="Times New Roman" w:eastAsia="方正仿宋_GBK"/>
          <w:sz w:val="32"/>
          <w:szCs w:val="32"/>
        </w:rPr>
      </w:pPr>
      <w:r>
        <w:rPr>
          <w:rFonts w:hint="eastAsia" w:ascii="方正仿宋_GBK" w:hAnsi="Times New Roman" w:eastAsia="方正仿宋_GBK"/>
          <w:sz w:val="32"/>
          <w:szCs w:val="32"/>
        </w:rPr>
        <w:t>FZ/T 73034-2021《半精纺毛针织品》</w:t>
      </w:r>
    </w:p>
    <w:p w14:paraId="69E4E81C">
      <w:pPr>
        <w:spacing w:line="600" w:lineRule="exact"/>
        <w:ind w:firstLine="640" w:firstLineChars="200"/>
        <w:rPr>
          <w:rFonts w:ascii="方正仿宋_GBK" w:hAnsi="方正仿宋_GBK" w:eastAsia="方正仿宋_GBK"/>
          <w:sz w:val="32"/>
          <w:szCs w:val="32"/>
        </w:rPr>
      </w:pPr>
      <w:r>
        <w:rPr>
          <w:rFonts w:hint="eastAsia" w:ascii="方正仿宋_GBK" w:hAnsi="方正仿宋_GBK" w:eastAsia="方正仿宋_GBK"/>
          <w:sz w:val="32"/>
          <w:szCs w:val="32"/>
        </w:rPr>
        <w:t>相关的法律法规、部门规章和规范</w:t>
      </w:r>
      <w:r>
        <w:rPr>
          <w:rFonts w:hint="eastAsia" w:ascii="方正仿宋_GBK" w:hAnsi="Times New Roman" w:eastAsia="方正仿宋_GBK"/>
          <w:sz w:val="32"/>
          <w:szCs w:val="32"/>
        </w:rPr>
        <w:t>》</w:t>
      </w:r>
    </w:p>
    <w:p w14:paraId="3CB77E65">
      <w:pPr>
        <w:spacing w:line="600" w:lineRule="exact"/>
        <w:ind w:firstLine="640" w:firstLineChars="200"/>
        <w:rPr>
          <w:rFonts w:ascii="方正仿宋_GBK" w:hAnsi="方正仿宋_GBK" w:eastAsia="方正仿宋_GBK"/>
          <w:sz w:val="32"/>
          <w:szCs w:val="32"/>
        </w:rPr>
      </w:pPr>
      <w:r>
        <w:rPr>
          <w:rFonts w:hint="eastAsia" w:ascii="方正仿宋_GBK" w:hAnsi="方正仿宋_GBK" w:eastAsia="方正仿宋_GBK"/>
          <w:sz w:val="32"/>
          <w:szCs w:val="32"/>
        </w:rPr>
        <w:t>经备案现行有效的企业标准及产品明示的质量要求等</w:t>
      </w:r>
    </w:p>
    <w:p w14:paraId="7D4E3EE8">
      <w:pPr>
        <w:spacing w:line="600" w:lineRule="exact"/>
        <w:ind w:firstLine="640" w:firstLineChars="200"/>
        <w:rPr>
          <w:rFonts w:ascii="方正黑体_GBK" w:hAnsi="宋体" w:eastAsia="方正黑体_GBK" w:cs="宋体"/>
          <w:bCs/>
          <w:sz w:val="32"/>
          <w:szCs w:val="32"/>
        </w:rPr>
      </w:pPr>
      <w:r>
        <w:rPr>
          <w:rFonts w:hint="eastAsia" w:ascii="方正黑体_GBK" w:hAnsi="宋体" w:eastAsia="方正黑体_GBK" w:cs="宋体"/>
          <w:bCs/>
          <w:sz w:val="32"/>
          <w:szCs w:val="32"/>
        </w:rPr>
        <w:t>4.2判定原则</w:t>
      </w:r>
    </w:p>
    <w:p w14:paraId="266A2314">
      <w:pPr>
        <w:spacing w:line="600" w:lineRule="exact"/>
        <w:ind w:firstLine="640" w:firstLineChars="200"/>
        <w:rPr>
          <w:rFonts w:ascii="方正仿宋_GBK" w:hAnsi="宋体" w:eastAsia="方正仿宋_GBK" w:cs="宋体"/>
          <w:sz w:val="32"/>
          <w:szCs w:val="32"/>
        </w:rPr>
      </w:pPr>
      <w:r>
        <w:rPr>
          <w:rFonts w:hint="eastAsia" w:ascii="方正仿宋_GBK" w:hAnsi="宋体" w:eastAsia="方正仿宋_GBK" w:cs="宋体"/>
          <w:sz w:val="32"/>
          <w:szCs w:val="32"/>
        </w:rPr>
        <w:t>经检验，检验项目全部合格，判定为被抽查产品未发现不合格；检验项目中任一项或一项以上不合格，判定为被抽查产品不合格。</w:t>
      </w:r>
    </w:p>
    <w:p w14:paraId="7B373EC6">
      <w:pPr>
        <w:spacing w:line="600" w:lineRule="exact"/>
        <w:ind w:firstLine="56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若被检产品明示的质量要求高于本细则中检验项目依据的标准要求时，应按被检产品明示的质量要求判定。</w:t>
      </w:r>
    </w:p>
    <w:p w14:paraId="2C42229C">
      <w:pPr>
        <w:spacing w:line="600" w:lineRule="exact"/>
        <w:ind w:firstLine="56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若被检产品明示的质量要求低于本细则中检验项目依据的强制性标准要求时，应按照强制性标准要求判定。</w:t>
      </w:r>
    </w:p>
    <w:p w14:paraId="218A4FF1">
      <w:pPr>
        <w:spacing w:line="600" w:lineRule="exact"/>
        <w:ind w:firstLine="56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若被检产品明示的质量要求低于或包含细则中检验项目依据的推荐性标准要求时，应以被检产品明示的质量要求判定，但应在检验报告备注中进行说明。</w:t>
      </w:r>
    </w:p>
    <w:p w14:paraId="75422769">
      <w:pPr>
        <w:spacing w:line="600" w:lineRule="exact"/>
        <w:ind w:firstLine="56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若被检产品明示的质量要求缺少本细则中检验项目依据的强制性标准要求时，应按照强制性标准要求判定。</w:t>
      </w:r>
    </w:p>
    <w:p w14:paraId="2E33C660">
      <w:pPr>
        <w:spacing w:line="600" w:lineRule="exact"/>
        <w:ind w:firstLine="56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若被检产品明示的质量要求缺少本细则中检验项目依据的推荐性标准要求时，该项目不参与判定，但应在检验报告备注中进行说明。</w:t>
      </w:r>
    </w:p>
    <w:p w14:paraId="6B9CB36E">
      <w:pPr>
        <w:spacing w:line="600" w:lineRule="exact"/>
        <w:ind w:firstLine="640" w:firstLineChars="200"/>
        <w:rPr>
          <w:rFonts w:ascii="方正黑体_GBK" w:hAnsi="方正黑体_GBK" w:eastAsia="方正黑体_GBK" w:cs="方正黑体_GBK"/>
          <w:bCs/>
          <w:sz w:val="32"/>
          <w:szCs w:val="32"/>
        </w:rPr>
      </w:pPr>
      <w:r>
        <w:rPr>
          <w:rFonts w:hint="eastAsia" w:ascii="方正黑体_GBK" w:hAnsi="方正黑体_GBK" w:eastAsia="方正黑体_GBK" w:cs="方正黑体_GBK"/>
          <w:bCs/>
          <w:sz w:val="32"/>
          <w:szCs w:val="32"/>
        </w:rPr>
        <w:t>5.异议处理</w:t>
      </w:r>
    </w:p>
    <w:p w14:paraId="099B2644">
      <w:pPr>
        <w:spacing w:line="600" w:lineRule="exact"/>
        <w:ind w:firstLine="640" w:firstLineChars="200"/>
        <w:rPr>
          <w:rFonts w:ascii="方正仿宋_GBK" w:hAnsi="Times New Roman" w:eastAsia="方正仿宋_GBK"/>
          <w:sz w:val="32"/>
          <w:szCs w:val="32"/>
        </w:rPr>
      </w:pPr>
      <w:r>
        <w:rPr>
          <w:rFonts w:hint="eastAsia" w:ascii="方正仿宋_GBK" w:hAnsi="Times New Roman" w:eastAsia="方正仿宋_GBK"/>
          <w:sz w:val="32"/>
          <w:szCs w:val="32"/>
        </w:rPr>
        <w:t>5.1对监督抽查程序有异议的，由任务下达部门核查相关证据后维持或者撤销原检验结果。</w:t>
      </w:r>
    </w:p>
    <w:p w14:paraId="00AF3D94">
      <w:pPr>
        <w:spacing w:line="600" w:lineRule="exact"/>
        <w:ind w:firstLine="640" w:firstLineChars="200"/>
        <w:rPr>
          <w:rFonts w:ascii="方正仿宋_GBK" w:hAnsi="Times New Roman" w:eastAsia="方正仿宋_GBK"/>
          <w:sz w:val="32"/>
          <w:szCs w:val="32"/>
        </w:rPr>
      </w:pPr>
      <w:r>
        <w:rPr>
          <w:rFonts w:hint="eastAsia" w:ascii="方正仿宋_GBK" w:hAnsi="Times New Roman" w:eastAsia="方正仿宋_GBK"/>
          <w:sz w:val="32"/>
          <w:szCs w:val="32"/>
        </w:rPr>
        <w:t>5.2对检验结果有异议的，任务下达部门核查相关证据，能够证明原检验结果准确的，维持原检验结果；不能证明原检验结果准确，需要进行复检的，由任务下达部门指定复检机构进行复检，复检结果为本次监督抽查最终结论。</w:t>
      </w:r>
    </w:p>
    <w:p w14:paraId="25E78823">
      <w:pPr>
        <w:spacing w:line="600" w:lineRule="exact"/>
        <w:ind w:firstLine="640" w:firstLineChars="200"/>
        <w:rPr>
          <w:rFonts w:ascii="方正仿宋_GBK" w:hAnsi="Times New Roman" w:eastAsia="方正仿宋_GBK"/>
          <w:sz w:val="32"/>
          <w:szCs w:val="32"/>
        </w:rPr>
      </w:pPr>
      <w:r>
        <w:rPr>
          <w:rFonts w:hint="eastAsia" w:ascii="方正仿宋_GBK" w:hAnsi="Times New Roman" w:eastAsia="方正仿宋_GBK"/>
          <w:sz w:val="32"/>
          <w:szCs w:val="32"/>
        </w:rPr>
        <w:t>5.3对样品信息有异议的，任务下达部门核查样品确认情况和生产企业提交证明材料后，维持或者撤销原检验结果。</w:t>
      </w:r>
    </w:p>
    <w:p w14:paraId="77D8A7B6">
      <w:pPr>
        <w:spacing w:line="600" w:lineRule="exact"/>
        <w:ind w:firstLine="640" w:firstLineChars="200"/>
      </w:pPr>
      <w:r>
        <w:rPr>
          <w:rFonts w:hint="eastAsia" w:ascii="方正仿宋_GBK" w:hAnsi="Times New Roman" w:eastAsia="方正仿宋_GBK"/>
          <w:sz w:val="32"/>
          <w:szCs w:val="32"/>
        </w:rPr>
        <w:t>5.4本次监督抽查项目均可复检</w:t>
      </w:r>
      <w:r>
        <w:rPr>
          <w:rFonts w:hint="eastAsia" w:ascii="方正仿宋_GBK" w:hAnsi="方正仿宋_GBK" w:eastAsia="方正仿宋_GBK" w:cs="方正仿宋_GBK"/>
          <w:sz w:val="32"/>
          <w:szCs w:val="32"/>
        </w:rPr>
        <w:t>。</w:t>
      </w:r>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小标宋_GBK">
    <w:altName w:val="微软雅黑"/>
    <w:panose1 w:val="00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方正黑体_GBK">
    <w:altName w:val="微软雅黑"/>
    <w:panose1 w:val="00000000000000000000"/>
    <w:charset w:val="86"/>
    <w:family w:val="script"/>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方正仿宋_GBK">
    <w:altName w:val="微软雅黑"/>
    <w:panose1 w:val="03000509000000000000"/>
    <w:charset w:val="86"/>
    <w:family w:val="script"/>
    <w:pitch w:val="default"/>
    <w:sig w:usb0="00000000" w:usb1="0000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B54956F">
    <w:pPr>
      <w:pStyle w:val="3"/>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1F11D82">
                          <w:pPr>
                            <w:pStyle w:val="3"/>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14:paraId="41F11D82">
                    <w:pPr>
                      <w:pStyle w:val="3"/>
                    </w:pPr>
                    <w:r>
                      <w:fldChar w:fldCharType="begin"/>
                    </w:r>
                    <w:r>
                      <w:instrText xml:space="preserve"> PAGE  \* MERGEFORMAT </w:instrText>
                    </w:r>
                    <w:r>
                      <w:fldChar w:fldCharType="separate"/>
                    </w:r>
                    <w:r>
                      <w:t>2</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72111C6">
    <w:pPr>
      <w:pStyle w:val="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6"/>
    <w:multiLevelType w:val="multilevel"/>
    <w:tmpl w:val="00000006"/>
    <w:lvl w:ilvl="0" w:tentative="0">
      <w:start w:val="1"/>
      <w:numFmt w:val="chineseCountingThousand"/>
      <w:suff w:val="nothing"/>
      <w:lvlText w:val="第%1章"/>
      <w:lvlJc w:val="left"/>
      <w:pPr>
        <w:ind w:left="-70"/>
      </w:pPr>
    </w:lvl>
    <w:lvl w:ilvl="1" w:tentative="0">
      <w:start w:val="1"/>
      <w:numFmt w:val="none"/>
      <w:suff w:val="nothing"/>
      <w:lvlText w:val=""/>
      <w:lvlJc w:val="left"/>
    </w:lvl>
    <w:lvl w:ilvl="2" w:tentative="0">
      <w:start w:val="1"/>
      <w:numFmt w:val="none"/>
      <w:suff w:val="nothing"/>
      <w:lvlText w:val=""/>
      <w:lvlJc w:val="left"/>
    </w:lvl>
    <w:lvl w:ilvl="3" w:tentative="0">
      <w:start w:val="1"/>
      <w:numFmt w:val="none"/>
      <w:pStyle w:val="2"/>
      <w:suff w:val="nothing"/>
      <w:lvlText w:val=""/>
      <w:lvlJc w:val="left"/>
    </w:lvl>
    <w:lvl w:ilvl="4" w:tentative="0">
      <w:start w:val="1"/>
      <w:numFmt w:val="none"/>
      <w:suff w:val="nothing"/>
      <w:lvlText w:val=""/>
      <w:lvlJc w:val="left"/>
    </w:lvl>
    <w:lvl w:ilvl="5" w:tentative="0">
      <w:start w:val="1"/>
      <w:numFmt w:val="none"/>
      <w:suff w:val="nothing"/>
      <w:lvlText w:val=""/>
      <w:lvlJc w:val="left"/>
    </w:lvl>
    <w:lvl w:ilvl="6" w:tentative="0">
      <w:start w:val="1"/>
      <w:numFmt w:val="none"/>
      <w:suff w:val="nothing"/>
      <w:lvlText w:val=""/>
      <w:lvlJc w:val="left"/>
    </w:lvl>
    <w:lvl w:ilvl="7" w:tentative="0">
      <w:start w:val="1"/>
      <w:numFmt w:val="none"/>
      <w:suff w:val="nothing"/>
      <w:lvlText w:val=""/>
      <w:lvlJc w:val="left"/>
    </w:lvl>
    <w:lvl w:ilvl="8" w:tentative="0">
      <w:start w:val="1"/>
      <w:numFmt w:val="none"/>
      <w:suff w:val="nothing"/>
      <w:lvlText w:val=""/>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WFjNjVlNmU5OTIzNWNjOGYyOWIwNmI1NzMwYzMyYTQifQ=="/>
  </w:docVars>
  <w:rsids>
    <w:rsidRoot w:val="007C7F0E"/>
    <w:rsid w:val="0016099F"/>
    <w:rsid w:val="00351856"/>
    <w:rsid w:val="003E41B9"/>
    <w:rsid w:val="004139FB"/>
    <w:rsid w:val="00547642"/>
    <w:rsid w:val="006C78AD"/>
    <w:rsid w:val="007C7F0E"/>
    <w:rsid w:val="00A251E4"/>
    <w:rsid w:val="00AB1354"/>
    <w:rsid w:val="00AE239C"/>
    <w:rsid w:val="00B32474"/>
    <w:rsid w:val="00B7312B"/>
    <w:rsid w:val="00CF51D0"/>
    <w:rsid w:val="00D472E3"/>
    <w:rsid w:val="00F11D99"/>
    <w:rsid w:val="00F75617"/>
    <w:rsid w:val="01610122"/>
    <w:rsid w:val="016A4161"/>
    <w:rsid w:val="02153CAE"/>
    <w:rsid w:val="03E5503B"/>
    <w:rsid w:val="04583A5F"/>
    <w:rsid w:val="045C4246"/>
    <w:rsid w:val="05AC22B4"/>
    <w:rsid w:val="061A5C1B"/>
    <w:rsid w:val="06236CA2"/>
    <w:rsid w:val="08EB0A30"/>
    <w:rsid w:val="0AB155F2"/>
    <w:rsid w:val="0B3D24FE"/>
    <w:rsid w:val="0C1C1816"/>
    <w:rsid w:val="0CC41A96"/>
    <w:rsid w:val="1180065A"/>
    <w:rsid w:val="12EA441C"/>
    <w:rsid w:val="12F708E7"/>
    <w:rsid w:val="14096B23"/>
    <w:rsid w:val="14810200"/>
    <w:rsid w:val="16064B6B"/>
    <w:rsid w:val="16D53EBB"/>
    <w:rsid w:val="178C784F"/>
    <w:rsid w:val="18290B8F"/>
    <w:rsid w:val="1A116732"/>
    <w:rsid w:val="1A4E54F4"/>
    <w:rsid w:val="1A501008"/>
    <w:rsid w:val="1C44339F"/>
    <w:rsid w:val="1C8C6544"/>
    <w:rsid w:val="1D9236E6"/>
    <w:rsid w:val="1E3173A3"/>
    <w:rsid w:val="1EF26B32"/>
    <w:rsid w:val="1FD06747"/>
    <w:rsid w:val="21621621"/>
    <w:rsid w:val="21AB121A"/>
    <w:rsid w:val="21EA7F94"/>
    <w:rsid w:val="22995516"/>
    <w:rsid w:val="23DE58D7"/>
    <w:rsid w:val="24CC3981"/>
    <w:rsid w:val="251315B0"/>
    <w:rsid w:val="25A93CC2"/>
    <w:rsid w:val="27221F7E"/>
    <w:rsid w:val="287A0B9F"/>
    <w:rsid w:val="29135BFF"/>
    <w:rsid w:val="291853E7"/>
    <w:rsid w:val="29A94129"/>
    <w:rsid w:val="2A3A4110"/>
    <w:rsid w:val="2ADA27ED"/>
    <w:rsid w:val="2B146082"/>
    <w:rsid w:val="2B5E67F1"/>
    <w:rsid w:val="2DA01E4F"/>
    <w:rsid w:val="2E3F0BEE"/>
    <w:rsid w:val="2E690493"/>
    <w:rsid w:val="31D34754"/>
    <w:rsid w:val="31DB16A7"/>
    <w:rsid w:val="320F75A3"/>
    <w:rsid w:val="32452FC5"/>
    <w:rsid w:val="325902CD"/>
    <w:rsid w:val="33294694"/>
    <w:rsid w:val="34806536"/>
    <w:rsid w:val="37712C33"/>
    <w:rsid w:val="3887559B"/>
    <w:rsid w:val="394144E6"/>
    <w:rsid w:val="3ADE3FB6"/>
    <w:rsid w:val="3CA57A27"/>
    <w:rsid w:val="3D8C5F4C"/>
    <w:rsid w:val="3EBA37FA"/>
    <w:rsid w:val="3F165ACD"/>
    <w:rsid w:val="3F8769CB"/>
    <w:rsid w:val="45554E75"/>
    <w:rsid w:val="458D65FF"/>
    <w:rsid w:val="45975C4A"/>
    <w:rsid w:val="4663139F"/>
    <w:rsid w:val="46BC1650"/>
    <w:rsid w:val="471362A9"/>
    <w:rsid w:val="47290367"/>
    <w:rsid w:val="474D674C"/>
    <w:rsid w:val="4B9B6BDD"/>
    <w:rsid w:val="4BD5286C"/>
    <w:rsid w:val="4C6912E9"/>
    <w:rsid w:val="4D425B5D"/>
    <w:rsid w:val="4E4E17FB"/>
    <w:rsid w:val="4F341127"/>
    <w:rsid w:val="4F9205A5"/>
    <w:rsid w:val="4FE5088D"/>
    <w:rsid w:val="506A3822"/>
    <w:rsid w:val="50E47086"/>
    <w:rsid w:val="51AE4863"/>
    <w:rsid w:val="532B216B"/>
    <w:rsid w:val="5630526E"/>
    <w:rsid w:val="56C43C09"/>
    <w:rsid w:val="57831D16"/>
    <w:rsid w:val="58156E12"/>
    <w:rsid w:val="59657925"/>
    <w:rsid w:val="5A793BB6"/>
    <w:rsid w:val="5A912603"/>
    <w:rsid w:val="5A963D30"/>
    <w:rsid w:val="5A9A35FE"/>
    <w:rsid w:val="5AD907BE"/>
    <w:rsid w:val="5B324193"/>
    <w:rsid w:val="5C974299"/>
    <w:rsid w:val="5D8B722E"/>
    <w:rsid w:val="5DFE120F"/>
    <w:rsid w:val="5EAC27E5"/>
    <w:rsid w:val="5EE765A7"/>
    <w:rsid w:val="5F8705EA"/>
    <w:rsid w:val="60956D42"/>
    <w:rsid w:val="61D97CB9"/>
    <w:rsid w:val="622B7232"/>
    <w:rsid w:val="627604AD"/>
    <w:rsid w:val="6284477B"/>
    <w:rsid w:val="62F6339C"/>
    <w:rsid w:val="645D3FF3"/>
    <w:rsid w:val="64B50DEE"/>
    <w:rsid w:val="64D42528"/>
    <w:rsid w:val="655960F5"/>
    <w:rsid w:val="65E70F67"/>
    <w:rsid w:val="65EE67C8"/>
    <w:rsid w:val="68955405"/>
    <w:rsid w:val="691D75BD"/>
    <w:rsid w:val="6A3F7D1E"/>
    <w:rsid w:val="6BC35959"/>
    <w:rsid w:val="6DEC1F6B"/>
    <w:rsid w:val="6E231C40"/>
    <w:rsid w:val="6FF55EE9"/>
    <w:rsid w:val="71506ABB"/>
    <w:rsid w:val="7429310C"/>
    <w:rsid w:val="746639C2"/>
    <w:rsid w:val="74D53C87"/>
    <w:rsid w:val="75734D20"/>
    <w:rsid w:val="789E7E07"/>
    <w:rsid w:val="79381A8F"/>
    <w:rsid w:val="7A454EDD"/>
    <w:rsid w:val="7D060228"/>
    <w:rsid w:val="7D772353"/>
    <w:rsid w:val="7FBE596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paragraph" w:styleId="2">
    <w:name w:val="heading 4"/>
    <w:basedOn w:val="1"/>
    <w:next w:val="1"/>
    <w:qFormat/>
    <w:uiPriority w:val="0"/>
    <w:pPr>
      <w:keepNext/>
      <w:keepLines/>
      <w:numPr>
        <w:ilvl w:val="3"/>
        <w:numId w:val="1"/>
      </w:numPr>
      <w:spacing w:before="280" w:after="290" w:line="376" w:lineRule="auto"/>
      <w:outlineLvl w:val="3"/>
    </w:pPr>
    <w:rPr>
      <w:rFonts w:ascii="Cambria" w:hAnsi="Cambria" w:cs="Cambria"/>
      <w:b/>
      <w:bCs/>
      <w:sz w:val="28"/>
      <w:szCs w:val="28"/>
    </w:rPr>
  </w:style>
  <w:style w:type="character" w:default="1" w:styleId="7">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table" w:styleId="6">
    <w:name w:val="Table Grid"/>
    <w:basedOn w:val="5"/>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GTTC</Company>
  <Pages>5</Pages>
  <Words>1730</Words>
  <Characters>2158</Characters>
  <Lines>15</Lines>
  <Paragraphs>4</Paragraphs>
  <TotalTime>3</TotalTime>
  <ScaleCrop>false</ScaleCrop>
  <LinksUpToDate>false</LinksUpToDate>
  <CharactersWithSpaces>2194</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2024-01-26T06:08:00Z</dcterms:created>
  <dc:creator>Administrator</dc:creator>
  <cp:lastModifiedBy>满心欢喜</cp:lastModifiedBy>
  <dcterms:modified xsi:type="dcterms:W3CDTF">2025-06-20T03:43:07Z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F4DD7932505E4BF7A3B237B24E39866F_13</vt:lpwstr>
  </property>
  <property fmtid="{D5CDD505-2E9C-101B-9397-08002B2CF9AE}" pid="4" name="KSOTemplateDocerSaveRecord">
    <vt:lpwstr>eyJoZGlkIjoiZTBhOWVkYmUxNzIxNjA1NDFiYzg1MTM4MjRiZDYyMTciLCJ1c2VySWQiOiIxMDgwMjg1NDM4In0=</vt:lpwstr>
  </property>
</Properties>
</file>