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2021年度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海安市水产技术推广站</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eastAsia="黑体" w:cs="黑体"/>
        </w:rPr>
        <w:t>单位决算表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eastAsia="黑体" w:cs="黑体"/>
        </w:rPr>
        <w:t>单位决算情况说明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拟订渔业发展政策、规划；保护和合理开发利用渔业资源，指导水产健康养殖和水产品加工流通，组织水生动植物病害防控；组织渔业水域生态环境及水生野生动植物保护。</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指导渔政渔港监督、渔业船舶管理等工作；组织实施中日、中韩等渔业协定，协助重大涉外渔业事件处置工作，负责远洋渔业管理和发展工作；负责渔业安全生产监督管理和防灾减灾工作；协调处理海洋等水域的渔业安全搜救工作和渔业安全重大突发事件；承担渔业船舶检验和监督管理职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做好涉农补贴（渔业）相关工作。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本单位内设机构包括本单位独立编制机构数1个，独立核算机构数1个，机构没有变动。本单位无下属单位。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ascii="仿宋" w:hAnsi="仿宋" w:eastAsia="仿宋" w:cs="仿宋"/>
        </w:rPr>
        <w:t>一</w:t>
      </w:r>
      <w:r>
        <w:rPr>
          <w:rFonts w:hint="eastAsia" w:ascii="仿宋" w:hAnsi="仿宋" w:eastAsia="仿宋" w:cs="仿宋"/>
          <w:lang w:eastAsia="zh-CN"/>
        </w:rPr>
        <w:t>）</w:t>
      </w:r>
      <w:r>
        <w:rPr>
          <w:rFonts w:ascii="仿宋" w:hAnsi="仿宋" w:eastAsia="仿宋" w:cs="仿宋"/>
        </w:rPr>
        <w:t>水产生产方面</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1、完成池塘生态化改造任务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2021年我市制定的养殖池塘生态化改造方案通过了专家评审，并予以公布。池塘生态化改造任务1000亩，已经完成。</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2、推广特色水产养殖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我市积极提高特色水产品养殖量占比，在传统养殖四大家鱼、河蟹、小龙虾的基础上，重点增加河豚、鲥鱼、鮰鱼、鳜鱼的养殖量占比。</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3、推广生态健康养殖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eastAsia="zh-CN"/>
        </w:rPr>
      </w:pPr>
      <w:r>
        <w:rPr>
          <w:rFonts w:ascii="仿宋" w:hAnsi="仿宋" w:eastAsia="仿宋" w:cs="仿宋"/>
        </w:rPr>
        <w:t>开展渔业种质资源调查，我局制定了种质资源普查方案，建立组织，成立了领导组、指导组和普查工作组</w:t>
      </w:r>
      <w:r>
        <w:rPr>
          <w:rFonts w:hint="eastAsia" w:ascii="仿宋" w:hAnsi="仿宋" w:eastAsia="仿宋" w:cs="仿宋"/>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4、开展增殖放流</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市政府安排增殖放流资金10万元，个人生态补偿放流资金3.12万元，开展增殖放流工作。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5、强化水产品质量、安全监管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我市加强水产养殖规范用药指导，发放水产品生产记录并指导养殖户做好养殖生产记录，定期开展水产品例行监测、水产品监督抽检。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6、开展渔业防灾减灾工作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今年极端灾害天气频发，我市积极组织防灾减灾工作，上报受灾损失400万元，提醒养殖户做好灾后鱼塘急救工作，减少灾后损失。</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ascii="仿宋" w:hAnsi="仿宋" w:eastAsia="仿宋" w:cs="仿宋"/>
        </w:rPr>
        <w:t>二</w:t>
      </w:r>
      <w:r>
        <w:rPr>
          <w:rFonts w:hint="eastAsia" w:ascii="仿宋" w:hAnsi="仿宋" w:eastAsia="仿宋" w:cs="仿宋"/>
          <w:lang w:eastAsia="zh-CN"/>
        </w:rPr>
        <w:t>）</w:t>
      </w:r>
      <w:r>
        <w:rPr>
          <w:rFonts w:ascii="仿宋" w:hAnsi="仿宋" w:eastAsia="仿宋" w:cs="仿宋"/>
        </w:rPr>
        <w:t>渔业安全生产工作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1、加强工作部署，落实安全责任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贯彻落实上级要求。海安市政府、市农业农村局多次召开专题会议布置落实省、市政府及主管部门有会议精神和要求，重点是关于布置落实海洋渔业安全专项治理工作、安全生产专项整治三年行动工作、“三类渔船”专项整治工作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ascii="仿宋" w:hAnsi="仿宋" w:eastAsia="仿宋" w:cs="仿宋"/>
        </w:rPr>
        <w:t>构建责任网络，明确安全责任。市政府与海洋渔业安全生产专业委员会各成员单位签订《海安市海洋渔业安全生产工作责任书》10份。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3、</w:t>
      </w:r>
      <w:r>
        <w:rPr>
          <w:rFonts w:ascii="仿宋" w:hAnsi="仿宋" w:eastAsia="仿宋" w:cs="仿宋"/>
        </w:rPr>
        <w:t>强化安全检查，消除安全隐患。常态化、多层次对海洋渔船开展安全生产检查。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ascii="仿宋" w:hAnsi="仿宋" w:eastAsia="仿宋" w:cs="仿宋"/>
        </w:rPr>
        <w:t>三</w:t>
      </w:r>
      <w:r>
        <w:rPr>
          <w:rFonts w:hint="eastAsia" w:ascii="仿宋" w:hAnsi="仿宋" w:eastAsia="仿宋" w:cs="仿宋"/>
          <w:lang w:eastAsia="zh-CN"/>
        </w:rPr>
        <w:t>）</w:t>
      </w:r>
      <w:bookmarkStart w:id="0" w:name="_GoBack"/>
      <w:bookmarkEnd w:id="0"/>
      <w:r>
        <w:rPr>
          <w:rFonts w:ascii="仿宋" w:hAnsi="仿宋" w:eastAsia="仿宋" w:cs="仿宋"/>
        </w:rPr>
        <w:t>渔业执法工作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1、强化执法宣传。通过多种形式，重点宣传渔业法、海洋环境保护法、江苏省渔业安全管理暂行办法等法律法规。</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2、强化执法管理。积极开展伏休管理专项执法行动，联合开展打击电力捕鱼专项治理月活动。开展执法检查活动，开展伏休专项管理，联合水利、公安等部门开展多部门联合执法、齐抓共管打击违法行为。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3、强化执法检查。全年共执法检查90多次，查处各类案件19起。移送司法机关“两法衔接”7起，10人。有效维护了渔业生产秩序。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4、开展长江禁渔工作。3月1日市政府召开了长江禁捕禁售工作会议，对今年长江禁捕禁售工作进行了布置和推进，市政府要求，广泛开展宣传活动，加大检查力度，严厉打击违规行为。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开展渔业打击走私工作。加大宣传力度，海安市农业农村局在北凌新闸、渔港码头等地悬挂横幅、张贴标语、向出海渔民发放宣传材料等形式开展了反走私宣传，在第一责任人培训班、渔民培训会议上对反走私工作进行了宣讲，提出反走私要求。</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6、开展水生野生动物保护</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我市今年对水生野生保护动物人工繁育、经营利用企业进行了检查、监督管理，今年上半年新申请1家单位从事龟的驯养繁殖及经营利用。全市共4家水生野生保护动物生产、利用单位，均已领取国家重点保护水生野生动物人工繁育和经营利用许可证。</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海安市水产技术推广站</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海安市水产技术推广站</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576.38</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6.27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37.69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408.93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136.03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582.65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582.65</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582.65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582.65</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582.65</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576.38</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6.27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事业单位离退休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农业农村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94.18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94.18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582.65</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519.48</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63.17</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37.69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36.57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37.69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36.57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事业单位离退休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408.93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346.88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62.05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农业农村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408.93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346.88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62.05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408.93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346.88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62.05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136.03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136.03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136.03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136.03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94.18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94.18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海安市水产技术推广站</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576.38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402.66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402.66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576.38</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576.38</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576.38</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576.38</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576.38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576.38</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576.38</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513.21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63.17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海安市水产技术推广站</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513.21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489.47</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576.38</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513.21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513.21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489.47</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1.23</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1.23</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103</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单位</w:t>
      </w:r>
      <w:r>
        <w:rPr>
          <w:rFonts w:hint="eastAsia" w:ascii="仿宋" w:hAnsi="仿宋" w:eastAsia="仿宋" w:cs="仿宋"/>
          <w:b w:val="0"/>
          <w:bCs w:val="0"/>
          <w:sz w:val="22"/>
          <w:szCs w:val="22"/>
        </w:rPr>
        <w:t>无一般公共预算机关运行经费支出决算，故本表为空。</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海安市水产技术推广站</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单位决算情况说明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2021年度收入、支出决算总计582.65万元。与上年相比，收、支总计各增加69.54万元，增长13.55%。其中：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（一）收入决算总计582.65万元。包括：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1.本年收入决算合计582.65万元。与上年相比，增加69.54万元，增长13.55%，变动原因：正常性调资及提高津贴补贴人员经费增加。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（二）支出决算总计582.65万元。包括：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1.本年支出决算合计582.65万元。与上年相比，增加69.54万元，增长13.55%，变动原因：正常性调资及提高津贴补贴人员经费增加。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收入决算合计582.65万元，其中：财政拨款收入576.38万元，占98.92%；上级补助收入0万元，占0%；财政专户管理教育收费0万元，占0%；事业收入（不含专户管理教育收费）0万元，占0%；经营收入0万元，占0%；附属单位上缴收入0万元，占0%；其他收入6.27万元，占1.08%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2021年度本年支出决算合计582.65万元，其中：基本支出519.48万元，占89.16%；项目支出63.17万元，占10.84%；上缴上级支出0万元，占0%；经营支出0万元，占0%；对附属单位补助支出0万元，占0%。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2021年度财政拨款收入、支出决算总计576.38万元。与上年相比，收、支总计各增加79.74万元，增长16.06%，变动原因：正常性调资及提高津贴补贴人员经费增加。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2021年度财政拨款支出决算576.38万元，占本年支出合计的98.92%。与2021年度财政拨款支出年初预算541.32万元相比，完成年初预算的106.48%。其中：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1.行政事业单位养老支出（款）事业单位离退休（项）。年初预算1.12万元，支出决算1.12万元，完成年初预算的100%。决算数与年初预算数相同。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2.行政事业单位养老支出（款）机关事业单位基本养老保险缴费支出（项）。年初预算24.38万元，支出决算24.38万元，完成年初预算的100%。决算数与年初预算数相同。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3.行政事业单位养老支出（款）机关事业单位职业年金缴费支出（项）。年初预算12.19万元，支出决算12.19万元，完成年初预算的100%。决算数与年初预算数相同。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（二）农林水支出（类）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农业农村（款）事业运行（项）。年初预算367.55万元，支出决算402.66万元，完成年初预算的109.55%。决算数与年初预算数的差异原因：正常性调资及提高津贴补贴人员经费增加。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1.住房改革支出（款）住房公积金（项）。年初预算38.85万元，支出决算41.85万元，完成年初预算的107.72%。决算数与年初预算数的差异原因：1998年11月30日后工作人员住房补贴基数的8%部分计入了住房公积金。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2.住房改革支出（款）提租补贴（项）。年初预算97.23万元，支出决算94.18万元，完成年初预算的96.86%。决算数与年初预算数的差异原因：1998年11月30日后工作人员住房补贴基数的8%部分计入了住房公积金。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2021年度财政拨款基本支出决算513.21万元，其中：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（一）人员经费489.47万元。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（二）公用经费23.74万元。</w:t>
      </w:r>
      <w:r>
        <w:rPr>
          <w:rFonts w:ascii="仿宋" w:hAnsi="仿宋" w:eastAsia="仿宋" w:cs="仿宋"/>
        </w:rPr>
        <w:t>主要包括：办公费、水费、电费、邮电费、差旅费、维修（护）费、劳务费、委托业务费、工会经费、福利费、其他交通费用、其他商品和服务支出。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2021年度一般公共预算财政拨款支出决算576.38万元。与上年相比，增加79.74万元，增长16.06%，变动原因：正常性调资及提高津贴补贴人员经费增加。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2021年度一般公共预算财政拨款基本支出决算513.21万元，其中：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（一）人员经费489.47万元。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（二）公用经费23.74万元。</w:t>
      </w:r>
      <w:r>
        <w:rPr>
          <w:rFonts w:ascii="仿宋" w:hAnsi="仿宋" w:eastAsia="仿宋" w:cs="仿宋"/>
        </w:rPr>
        <w:t>主要包括：办公费、水费、电费、邮电费、差旅费、维修（护）费、劳务费、委托业务费、工会经费、福利费、其他交通费用、其他商品和服务支出。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（一）一般公共预算“三公”经费支出总体情况说明。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三公”经费支出决算1.23万元。与上年相比，减少1.03万元，变动原因：厉行节约，减少开支。其中，因公出国（境）费支出0万元，占“三公”经费的0%；公务用车购置及运行维护费支出0万元，占“三公”经费的0%；公务接待费支出1.23万元，占“三公”经费的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（二）一般公共预算“三公”经费支出具体情况说明。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1．因公出国（境）费支出预算0万元，支出决算0万元，完成预算的100%，决算数与预算数相同。全年使用一般公共预算财政拨款涉及的出国（境）团组0个，累计0人次。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2．公务用车购置及运行维护费支出预算0万元，支出决算0万元，完成预算的100%，决算数与预算数相同。其中：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（1）公务用车购置支出决算0万元。本年度使用一般公共预算财政拨款购置公务用车0辆。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2.3万元，支出决算1.23万元，完成预算的53.48%，决算数与预算数的差异原因：厉行节约，减少开支。其中：国内公务接待支出1.23万元，接待17批次，103人次，开支内容：上级相关部门对本单位的工作指导、检查等方面的接待；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（三）一般公共预算会议费支出决算情况说明。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2021年度一般公共预算财政拨款会议费支出预算0万元，支出决算0万元，完成预算的100%，决算数与预算数相同。2021年度全年召开会议0个，参加会议0人次。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（四）一般公共预算培训费支出决算情况说明。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2021年度一般公共预算财政拨款培训费支出预算0万元，支出决算0万元，完成预算的100%，决算数与预算数相同。2021年度全年组织培训0个，组织培训0人次。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2021年度机关运行经费支出决算0万元。与上年决算数相同。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采购支出总额10万元，其中：政府采购货物支出10万元、政府采购工程支出0万元、政府采购服务支出0万元。政府采购授予中小企业合同金额10万元，占政府采购支出总额的100%，其中：授予小微企业合同金额10万元，占政府采购支出总额的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2021年度，本单位共0个项目开展了财政重点绩效评价，涉及财政性资金合计0万元；本单位未开展单位整体支出财政重点绩效评价，涉及财政性资金0万元。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本单位共对上年度已实施完成的9个项目开展了绩效自评价，涉及财政性资金合计63.17万元；本单位共开展1项单位整体支出绩效自评价，涉及财政性资金合计576.38万元。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二十二、农林水支出(类)农业农村(款)事业运行(项)</w:t>
      </w:r>
      <w:r>
        <w:rPr>
          <w:rFonts w:ascii="仿宋" w:hAnsi="仿宋" w:eastAsia="仿宋" w:cs="仿宋"/>
          <w:b/>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海安市水产技术推广站</w:t>
    </w:r>
    <w:r>
      <w:t>2021年度单位决算公开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WZhMDQxMmFmOGIwZDQ3YWU5ZDNlY2NhODQ5MWEyZDc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754A1"/>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11527</Words>
  <Characters>14180</Characters>
  <Paragraphs>501</Paragraphs>
  <TotalTime>1</TotalTime>
  <ScaleCrop>false</ScaleCrop>
  <LinksUpToDate>false</LinksUpToDate>
  <CharactersWithSpaces>14740</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2022-08-31T06:54:22Z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2052-11.1.0.12313</vt:lpwstr>
  </property>
  <property fmtid="{D5CDD505-2E9C-101B-9397-08002B2CF9AE}" pid="6" name="LastSaved">
    <vt:filetime>2021-04-15T00:00:00Z</vt:filetime>
  </property>
</Properties>
</file>