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2024年度区域农业服务中心单位预算公开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宣传贯彻农业技术推广的法律、法规、政策；法律、法规规定的其他职责。承担和完成农业技术推广项目。开展关键农业技术试验示范，组织农业公共信息和农业技术宣传教育和培训，普及科技知识。开展植物病虫害及自然灾害的监测、预报和预防；搜集、整理、传播农业技术信息；收集农业技术推广成效和生产经营情况，反映存在问题，提出建议。组织推广农业废弃物综合利用、水生动物的无害化处理技术，推广农业绿色发展技术。指导村农业技术服务站点、农业社会化服务组织和农民技术人员开展农业技术推广活动，宣传农业技术知识，落实农业技术推广措施，为农业劳动者和农业生产经营组织提供农业技术服务。支持、指导农业科技社会化服务组织建设，参与培育高素质农民、新型农业经营主体和新型农业科技服务主体。结合区域内产业特色，聚焦特色产业发展，成立各类专业技术协会，结合新发展业态，培育特色产业基地，带动全市特色产业发展。加强与农业科研单位衔接，针对区域内产业需求，柔性引进各类专业人才，搭建农科教结合平台，推动最新科研成果转化落地。完成上级交办的其他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本单位无内设机构。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我们将锚定建设农业强市目标，紧扣确保粮食生产安全，提升农业综合生产能力这一主线，持续深化农技推广服务体系改革，盯紧“四抓、四促”重点目标，着力构建管理规范、充满活力、服务优化、农民满意的基层现代农业推广技术队伍，保障农技推广服务在农业产业提质增效、经济效益稳步提升中发挥更大作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抓关键技术集成，促技术到位率提升。深入实施“藏粮于技”战略，立足强农之本，加快技术供给，切实增强基层农技推广公益性职能，及时开展苗情、虫情监测调查，收集农业技术推广成效和生产经营情况，开展农业实用性技术培训和高素质农民培训，加快技术集成和推广应用，开展零距离的高效精准对接，实时解决主体生产技术问题，充分利用农资经营点、村级农技联络员等，将农技服务送到所有农户，切实打通农业技术进村入户“最后一公里”，确保农技服务不缺一户、不漏一人，力争农作物主推品种、主推技术服务覆盖面达100%，技术到位率达95%以上。</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是抓大户示范引领，促高质量提升。充分发挥乡土人才优势作用，依托区域特色产业，大力给予政策、资金、技术倾斜和扶持，鼓励引导优秀乡土人才充分利用技术、管理、信息等方面特长优势，领办行业协会和农业合作社，抱团发挥作用，全面激发乡土人才干事创业内生动力，开辟群众增收致富的“绿色通道”。发挥“农二代”带动作用，建立智慧农业、特色产业等示范基地，充分发挥乡土人才的辐射带动作用。分类抓好典型示范户、提档升级户、结对共建户，重点通过抓两头促中间开展工作，一头抓典型示范，一头抓技术托底，全面开展专业技术推广服务，采取“示范户＋升级户+共建户”发展模式，组织示范引领、结对共建、指导生产、提供技术，形成“带动一方百姓，搞活一片经济，富裕一乡农村”的集群发展效应。</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是抓特色产业培育，促品牌化提升。产业振兴是乡村振兴的重中之重，五大中心立足各区域资源优势，围绕“一中心一特色”，聚焦主导特色产业需求，农业新型业态，加强与各大高校和科研院所合作，加速促进科技成果落地转化，精准培育农业科技示范主体，增强农业科技示范展示能力，打造一批农业科技示范样板，实现村有科技示范主体、区镇有科技展示样板、中心有产业示范基地。重点围绕西南“雅周香芋”品牌打造，里下河鮰鱼与食用菌示范推广，高新区脱毒草莓、都市农业提档升级，开发区稻米产业联盟发展，东部蔬菜育苗中心与智慧化农业应用等。</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是抓中心作风建设，促满意度提升。作风建设是党建设的重要组成部分，是党的创造力、凝聚力和战斗力的重要源泉。中心的良好有序发展离不开强硬的作风建设，强化中心日常管理，严明工作纪律，严肃工作作风，提振工作精气神，在制度的框架内凝聚合力、增添能量，促进和谐发展、提升工作效能，保持队伍的良好形象，推动中心整体联动，把为民办实事作为重要内容，把群众满意作为检验主题教育成效的“试金石”，推进主题教育取得扎实成效，努力将区域中心打造成一支“忠诚干净担当”的高素质干部和懂农业爱农村爱农民的农技推广新队伍，为推进海安加快建设农业强市提供技术支撑。</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区域农业服务中心</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区域农业服务中心</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964.75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74.59</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665.89</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224.27</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964.75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964.75</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964.75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964.75</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区域农业服务中心</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964.75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964.75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964.75</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082006</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区域农业服务中心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964.75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964.75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964.75</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区域农业服务中心</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964.75</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875.42</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89.33</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74.59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73.29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73.29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73.29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48.86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48.86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残疾人事业</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其他残疾人事业支出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农林水支出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665.89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577.86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88.03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农业农村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665.89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577.86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88.03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665.89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577.86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88.03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224.27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224.27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224.27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224.27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70.82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70.82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153.45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153.45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区域农业服务中心</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964.75</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964.75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964.75</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74.59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665.89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224.27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964.75</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964.75</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区域农业服务中心</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964.75</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875.42</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833.43</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41.99</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89.33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74.59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73.29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73.29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73.29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73.29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48.86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48.86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48.86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24.43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24.43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24.43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残疾人事业</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其他残疾人事业支出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农林水支出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665.89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577.86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535.87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41.99</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88.03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农业农村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665.89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577.86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535.87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41.99</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88.03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665.89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577.86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535.87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41.99</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88.03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70.82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70.82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70.82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153.45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153.45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153.45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区域农业服务中心</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875.42</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833.43</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41.99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833.43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833.43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143.97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195.89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117.85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161.43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161.43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48.86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70.82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70.82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29.56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41.99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3.47</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区域农业服务中心</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964.75</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875.42</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833.43</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41.99</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89.33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74.59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73.29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73.29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73.29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48.86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48.86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48.86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残疾人事业</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其他残疾人事业支出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665.89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577.86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535.87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41.99</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88.03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农业农村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665.89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577.86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535.87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41.99</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88.03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665.89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577.86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535.87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41.99</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88.03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224.27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224.27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224.27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224.27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70.82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70.82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70.82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153.45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153.45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区域农业服务中心</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875.42</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833.43</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41.99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833.43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833.43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143.97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143.97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195.89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195.89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117.85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117.85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161.43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161.43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48.86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48.86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70.82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70.82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29.56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29.56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41.99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41.99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物业管理费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委托业务费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3.47</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区域农业服务中心</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r>
    </w:tbl>
    <w:p>
      <w:pPr>
        <w:widowControl w:val="0"/>
        <w:numPr>
          <w:ilvl w:val="0"/>
          <w:numId w:val="0"/>
        </w:numPr>
        <w:suppressAutoHyphens/>
        <w:bidi w:val="0"/>
        <w:spacing w:before="0" w:after="0"/>
        <w:ind w:left="-220" w:leftChars="0" w:right="0" w:rightChars="0" w:firstLine="0" w:firstLineChars="0"/>
        <w:jc w:val="left"/>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无一般公共预算“三公”经费、会议费、培训费支出，故本表无数据。</w:t>
      </w:r>
      <w:r>
        <w:rPr>
          <w:rFonts w:ascii="仿宋" w:hAnsi="仿宋" w:cs="仿宋" w:eastAsia="仿宋"/>
          <w:b w:val="true"/>
          <w:sz w:val="22"/>
        </w:rPr>
        <w:t/>
      </w:r>
    </w:p>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区域农业服务中心</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区域农业服务中心</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区域农业服务中心</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区域农业服务中心</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无政府采购支出，故本表无数据。</w:t>
      </w:r>
      <w:r>
        <w:rPr>
          <w:rFonts w:hint="eastAsia" w:ascii="仿宋" w:hAnsi="仿宋" w:eastAsia="仿宋" w:cs="仿宋"/>
          <w:b/>
          <w:bCs/>
          <w:sz w:val="22"/>
          <w:szCs w:val="22"/>
        </w:rPr>
        <w:t/>
      </w:r>
    </w:p>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区域农业服务中心2024年度收入、支出预算总计964.75万元，与上年相比收、支预算总计各增加188.04万元，增长24.21%。其中：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（一）收入预算总计964.75万元。包括：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1．本年收入合计964.75万元。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（1）一般公共预算拨款收入964.75万元，与上年相比增加188.04万元，增长24.21%。主要原因是新增人员从而增加工资保险等人员支出和日常总额定额支出。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（二）支出预算总计964.75万元。包括：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1．本年支出合计964.75万元。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（1）社会保障和就业支出（类）支出74.59万元，主要用于在编在职事业人员的基本养老保险和职业年金缴费。与上年相比增加9.59万元，增长14.75%。主要原因是增加新增事业人员的基本养老保险和职业年金缴费。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林水支出（类）支出665.89万元，主要用于在编在职人员工资保险支出、日常综合定额支出及区域农业服务中心农技推广专项经费、工作餐等专项经费支出。与上年相比增加143.39万元，增长27.44%。主要原因是增加新增事业人员的工资保险支出和日常综合定额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（3）住房保障支出（类）支出224.27万元，主要用于在编在职事业人员的住房公积金缴费和提租补贴支出。与上年相比增加35.06万元，增长18.53%。主要原因是增加新增事业人员的住房公积金缴费和提租补贴支出。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区域农业服务中心2024年收入预算合计964.75万元，包括本年收入964.75万元，上年结转结余0万元。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本年一般公共预算收入964.75万元，占100%；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区域农业服务中心2024年支出预算合计964.75万元，其中：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基本支出875.42万元，占90.74%；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项目支出89.33万元，占9.26%；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区域农业服务中心2024年度财政拨款收、支总预算964.75万元。与上年相比，财政拨款收、支总计各增加188.04万元，增长24.21%。主要原因是新增事业人员，增加人员经费支出和日常综合定额支出，且专项拨款增加。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区域农业服务中心2024年财政拨款预算支出964.75万元，占本年支出合计的100%。与上年相比，财政拨款支出增加188.04万元，增长24.21%。主要原因是新增事业人员，增加人员经费支出和日常综合定额支出，且专项拨款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1.行政事业单位养老支出（款）机关事业单位基本养老保险缴费支出（项）支出48.86万元，与上年相比增加5.53万元，增长12.76%。主要原因是增加新增事业人员的基本养老保险缴费。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2.行政事业单位养老支出（款）机关事业单位职业年金缴费支出（项）支出24.43万元，与上年相比增加2.76万元，增长12.74%。主要原因是增加新增事业人员的职业年金缴费。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3.残疾人事业（款）其他残疾人事业支出（项）支出1.3万元，与上年相比增加1.3万元（去年预算数为0万元，无法计算增减比率）。主要原因是根据市财政局和税务局要求，新增残疾人就业保障金。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（二）农林水支出（类）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农业农村（款）事业运行（项）支出665.89万元，与上年相比增加143.39万元，增长27.44%。主要原因是增加新增事业人员，增加工资福利保险等人员经费支出和日常综合定额支出，且专项增加。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1.住房改革支出（款）住房公积金（项）支出70.82万元，与上年相比增加11.07万元，增长18.53%。主要原因是增加新增事业人员的住房公积金缴费。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2.住房改革支出（款）提租补贴（项）支出153.45万元，与上年相比增加23.99万元，增长18.53%。主要原因是增加新增事业人员的提租补贴。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区域农业服务中心2024年度财政拨款基本支出预算875.42万元，其中：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（一）人员经费833.43万元。主要包括：基本工资、津贴补贴、奖金、绩效工资、机关事业单位基本养老保险缴费、职业年金缴费、职工基本医疗保险缴费、其他社会保障缴费、住房公积金、其他工资福利支出。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（二）公用经费41.99万元。主要包括：办公费、水费、电费、邮电费、物业管理费、差旅费、委托业务费、工会经费、福利费、其他交通费用、其他商品和服务支出。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区域农业服务中心2024年一般公共预算财政拨款支出预算964.75万元，与上年相比增加188.04万元，增长24.21%。主要原因是增加新增事业人员，增加工资福利保险等人员经费支出和日常综合定额支出，且专项增加。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区域农业服务中心2024年度一般公共预算财政拨款基本支出预算875.42万元，其中：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（一）人员经费833.43万元。主要包括：基本工资、津贴补贴、奖金、绩效工资、机关事业单位基本养老保险缴费、职业年金缴费、职工基本医疗保险缴费、其他社会保障缴费、住房公积金、其他工资福利支出。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（二）公用经费41.99万元。主要包括：办公费、水费、电费、邮电费、物业管理费、差旅费、委托业务费、工会经费、福利费、其他交通费用、其他商品和服务支出。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区域农业服务中心2024年度一般公共预算拨款安排的“三公”经费支出预算0万元，与上年预算数相同。其中，因公出国（境）费支出0万元，占“三公”经费的0%；公务用车购置及运行维护费支出0万元，占“三公”经费的0%；公务接待费支出0万元，占“三公”经费的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区域农业服务中心2024年度一般公共预算拨款安排的会议费预算支出0万元，与上年预算数相同。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区域农业服务中心2024年度一般公共预算拨款安排的培训费预算支出0万元，与上年预算数相同。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区域农业服务中心2024年政府性基金支出预算支出0万元。与上年预算数相同。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区域农业服务中心2024年国有资本经营预算支出0万元。与上年预算数相同。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2024年度政府采购支出预算总额0万元，其中：拟采购货物支出0万元、拟采购工程支出0万元、拟采购服务支出0万元。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单位整体支出纳入绩效目标管理，涉及财政性资金964.75万元；本单位共4个项目纳入绩效目标管理，涉及财政性资金合计89.33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十、社会保障和就业支出(类)残疾人事业(款)其他残疾人事业支出(项)</w:t>
      </w:r>
      <w:r>
        <w:rPr>
          <w:rFonts w:ascii="仿宋" w:hAnsi="仿宋" w:cs="仿宋" w:eastAsia="仿宋"/>
          <w:b w:val="true"/>
        </w:rPr>
        <w:t>：</w:t>
      </w:r>
      <w:r>
        <w:rPr>
          <w:rFonts w:hint="eastAsia" w:ascii="仿宋" w:hAnsi="仿宋" w:eastAsia="仿宋" w:cs="仿宋"/>
        </w:rPr>
        <w:t>反映除上述项目以外其他用于残疾人事业方面的支出。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十一、农林水支出(类)农业农村(款)事业运行(项)</w:t>
      </w:r>
      <w:r>
        <w:rPr>
          <w:rFonts w:ascii="仿宋" w:hAnsi="仿宋" w:cs="仿宋" w:eastAsia="仿宋"/>
          <w:b w:val="true"/>
        </w:rPr>
        <w:t>：</w:t>
      </w:r>
      <w:r>
        <w:rPr>
          <w:rFonts w:hint="eastAsia" w:ascii="仿宋" w:hAnsi="仿宋" w:eastAsia="仿宋" w:cs="仿宋"/>
        </w:rPr>
        <w:t>反映用于农业事业单位基本支出，事业单位设施、系统运行与资产维护等方面的支出。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区域农业服务中心</w:t>
    </w:r>
    <w:r>
      <w:t>2024</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