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pStyle w:val="8"/>
        <w:snapToGrid w:val="0"/>
        <w:spacing w:before="1653" w:beforeLines="530"/>
        <w:jc w:val="distribute"/>
        <w:rPr>
          <w:rFonts w:hint="eastAsia" w:eastAsia="方正小标宋简体"/>
          <w:b w:val="0"/>
          <w:spacing w:val="-20"/>
          <w:w w:val="55"/>
          <w:sz w:val="124"/>
          <w:szCs w:val="124"/>
        </w:rPr>
      </w:pPr>
      <w:r>
        <w:rPr>
          <w:rFonts w:hint="eastAsia" w:eastAsia="方正小标宋简体"/>
          <w:b w:val="0"/>
          <w:spacing w:val="-20"/>
          <w:w w:val="55"/>
          <w:sz w:val="124"/>
          <w:szCs w:val="124"/>
        </w:rPr>
        <w:t>海</w:t>
      </w:r>
      <w:r>
        <w:rPr>
          <w:rFonts w:hint="eastAsia" w:ascii="方正小标宋简体" w:eastAsia="方正小标宋简体"/>
          <w:b w:val="0"/>
          <w:spacing w:val="-20"/>
          <w:w w:val="55"/>
          <w:sz w:val="124"/>
          <w:szCs w:val="124"/>
        </w:rPr>
        <w:t>安市人民政府办公室文件</w:t>
      </w:r>
    </w:p>
    <w:p>
      <w:pPr>
        <w:snapToGrid w:val="0"/>
        <w:jc w:val="left"/>
        <w:rPr>
          <w:rFonts w:hint="eastAsia"/>
          <w:sz w:val="18"/>
        </w:rPr>
      </w:pPr>
    </w:p>
    <w:p>
      <w:pPr>
        <w:autoSpaceDE w:val="0"/>
        <w:autoSpaceDN w:val="0"/>
        <w:spacing w:before="156" w:beforeLines="50" w:after="156" w:afterLines="50" w:line="300" w:lineRule="auto"/>
        <w:jc w:val="center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海政办发〔2022〕132号</w:t>
      </w:r>
    </w:p>
    <w:p>
      <w:pPr>
        <w:spacing w:line="560" w:lineRule="exact"/>
        <w:jc w:val="center"/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16510</wp:posOffset>
                </wp:positionV>
                <wp:extent cx="5760085" cy="635"/>
                <wp:effectExtent l="0" t="19050" r="635" b="26035"/>
                <wp:wrapNone/>
                <wp:docPr id="1" name="直接连接符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1.3pt;height:0.05pt;width:453.55pt;z-index:251659264;mso-width-relative:page;mso-height-relative:page;" stroked="t" coordsize="21600,21600" o:gfxdata="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Eh7Bq2AAAAAYBAAAPAAAAAAAAAAEAIAAA&#10;ACIAAABkcnMvZG93bnJldi54bWxQSwECFAAUAAAACACHTuJA8LKkYwwCAAATBAAADgAAAAAAAAAB&#10;ACAAAAAnAQAAZHJzL2Uyb0RvYy54bWxQSwUGAAAAAAYABgBZAQAApQUAAAAA&#10;">
                <v:path arrowok="t"/>
                <v:fill focussize="0,0"/>
                <v:stroke weight="3pt" color="#FF0000"/>
                <v:imagedata o:title=""/>
                <o:lock v:ext="edit" aspectratio="t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Cs w:val="32"/>
        </w:rPr>
      </w:pPr>
    </w:p>
    <w:p>
      <w:pPr>
        <w:pStyle w:val="2"/>
        <w:keepNext w:val="0"/>
        <w:keepLines w:val="0"/>
        <w:rPr>
          <w:rFonts w:ascii="方正小标宋简体" w:hAnsi="方正小标宋简体" w:cs="方正小标宋简体"/>
          <w:szCs w:val="44"/>
        </w:rPr>
      </w:pPr>
      <w:bookmarkStart w:id="1" w:name="_GoBack"/>
      <w:r>
        <w:rPr>
          <w:rFonts w:hint="eastAsia" w:ascii="方正小标宋简体" w:hAnsi="方正小标宋简体" w:cs="方正小标宋简体"/>
          <w:szCs w:val="44"/>
        </w:rPr>
        <w:t>市政府办公室印发                         关于加快推进国家现代农业产业园                   创建政策意见的通知</w:t>
      </w:r>
      <w:bookmarkEnd w:id="1"/>
    </w:p>
    <w:p/>
    <w:p>
      <w:pPr>
        <w:spacing w:line="560" w:lineRule="exact"/>
        <w:rPr>
          <w:rFonts w:ascii="仿宋_GB2312" w:eastAsia="仿宋_GB2312"/>
          <w:color w:val="000000"/>
          <w:kern w:val="32"/>
          <w:sz w:val="32"/>
          <w:szCs w:val="32"/>
        </w:rPr>
      </w:pPr>
      <w:r>
        <w:rPr>
          <w:rFonts w:hint="eastAsia" w:ascii="仿宋_GB2312" w:eastAsia="仿宋_GB2312"/>
          <w:color w:val="000000"/>
          <w:kern w:val="32"/>
          <w:sz w:val="32"/>
          <w:szCs w:val="32"/>
        </w:rPr>
        <w:t>各区管委会，各镇人民政府，各街道办事处，市政府各部门、各直属单位：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《关于加快推进国家现代农业产业园创建的政策意见》已经市政府同意，现予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印发，请遵照执行。</w:t>
      </w:r>
    </w:p>
    <w:p>
      <w:pPr>
        <w:spacing w:line="560" w:lineRule="exact"/>
        <w:ind w:firstLine="2080" w:firstLineChars="650"/>
        <w:rPr>
          <w:rFonts w:ascii="仿宋_GB2312" w:eastAsia="仿宋_GB2312"/>
          <w:color w:val="000000"/>
          <w:kern w:val="3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kern w:val="32"/>
          <w:sz w:val="32"/>
          <w:szCs w:val="32"/>
        </w:rPr>
      </w:pPr>
      <w:r>
        <w:rPr>
          <w:rFonts w:hint="eastAsia" w:ascii="仿宋_GB2312" w:eastAsia="仿宋_GB2312"/>
          <w:color w:val="000000"/>
          <w:kern w:val="32"/>
          <w:sz w:val="32"/>
          <w:szCs w:val="32"/>
        </w:rPr>
        <w:t xml:space="preserve">                             海安市人民政府办公室</w:t>
      </w:r>
    </w:p>
    <w:p>
      <w:pPr>
        <w:spacing w:line="560" w:lineRule="exact"/>
        <w:ind w:firstLine="2080" w:firstLineChars="650"/>
        <w:rPr>
          <w:rFonts w:ascii="仿宋_GB2312" w:eastAsia="仿宋_GB2312"/>
          <w:color w:val="000000"/>
          <w:kern w:val="32"/>
          <w:sz w:val="32"/>
          <w:szCs w:val="32"/>
        </w:rPr>
      </w:pPr>
      <w:r>
        <w:rPr>
          <w:rFonts w:hint="eastAsia" w:ascii="仿宋_GB2312" w:eastAsia="仿宋_GB2312"/>
          <w:color w:val="000000"/>
          <w:kern w:val="32"/>
          <w:sz w:val="32"/>
          <w:szCs w:val="32"/>
        </w:rPr>
        <w:t xml:space="preserve">                   2022年8月2日</w:t>
      </w:r>
    </w:p>
    <w:p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关于加快推进国家现代农业产业园创建的          政策意见</w:t>
      </w:r>
    </w:p>
    <w:p>
      <w:pPr>
        <w:spacing w:line="560" w:lineRule="exact"/>
        <w:ind w:firstLine="640" w:firstLineChars="200"/>
        <w:rPr>
          <w:rFonts w:hint="eastAsia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为加快推进国家现代农业产业园建设，充分发挥财政专项资金的激励和引导作用，不断</w:t>
      </w:r>
      <w:r>
        <w:rPr>
          <w:rFonts w:hint="eastAsia" w:ascii="仿宋_GB2312" w:eastAsia="仿宋_GB2312"/>
          <w:sz w:val="32"/>
          <w:szCs w:val="32"/>
        </w:rPr>
        <w:t>提高创建项目实施的规范性、科学性和可操作性，</w:t>
      </w:r>
      <w:r>
        <w:rPr>
          <w:rFonts w:hint="eastAsia" w:eastAsia="仿宋_GB2312" w:cs="仿宋_GB2312"/>
          <w:sz w:val="32"/>
          <w:szCs w:val="32"/>
        </w:rPr>
        <w:t>现结合我市实际，特制定本政策意见。</w:t>
      </w:r>
    </w:p>
    <w:p>
      <w:pPr>
        <w:pStyle w:val="3"/>
        <w:spacing w:line="56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一、推进科技创新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（一）支持高水平创新平台建设</w:t>
      </w:r>
    </w:p>
    <w:p>
      <w:pPr>
        <w:spacing w:line="56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产业园内企业与高校、科研院合作建设的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稻米或禽蛋产业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研发中心、特色产业基地、专家工作站、科技成果转化中心、实验室等平台，采取项目申报立项制，按照不高于项目实施方案总费用</w:t>
      </w:r>
      <w:r>
        <w:rPr>
          <w:rFonts w:ascii="仿宋_GB2312" w:hAnsi="仿宋_GB2312" w:eastAsia="仿宋_GB2312" w:cs="仿宋_GB2312"/>
          <w:sz w:val="32"/>
          <w:szCs w:val="32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的比例给予奖励，单体最高不超过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（二）奖补产学研合作项目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企业同高校科研院所等签订产学研合作协议，按照不高于实际支付费用50%的比例给予奖励，单体最高不超过30万元。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保障农产品质量安全</w:t>
      </w:r>
    </w:p>
    <w:p>
      <w:pPr>
        <w:spacing w:line="560" w:lineRule="exact"/>
        <w:ind w:firstLine="640" w:firstLineChars="200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加大推进农产品质量安全监管体系建设力度，大力推行农业标准化生产，切实做好“两品一标”认证工作。“两品一标” 认证相关工作按照《海安市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年加快推进农业农村现代化建设若干政策意见》（海政发</w:t>
      </w:r>
      <w:r>
        <w:rPr>
          <w:rFonts w:hint="eastAsia" w:ascii="仿宋_GB2312" w:eastAsia="仿宋_GB2312"/>
          <w:sz w:val="32"/>
        </w:rPr>
        <w:t>〔2022〕35号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）有关精神执行。</w:t>
      </w:r>
    </w:p>
    <w:p>
      <w:pPr>
        <w:spacing w:line="56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三、加快企业品牌建设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（一）对利用动车、高铁、大城市地铁、楼宇电梯、省级以上电视媒体等进行企业品牌和产品品牌推广宣传的企业，根据资金使用实际情况，按照不高于实际发生费用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50%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的比例给予奖励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，单体最高不超过</w:t>
      </w:r>
      <w:r>
        <w:rPr>
          <w:rFonts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（二）赞助协会举办大型会议进行品牌推广，根据资金使用实际情况，按照不高于赞助费用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50%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的比例给予奖励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，单体最高不超过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（三）对参加区域性、全国性、国际性展会进行品牌宣传的企业，分别给予1万元、2万元、5万元的一次性奖励。</w:t>
      </w:r>
    </w:p>
    <w:p>
      <w:pPr>
        <w:spacing w:line="56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四、加大贷款贴息支持力度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snapToGrid w:val="0"/>
          <w:sz w:val="32"/>
          <w:szCs w:val="32"/>
        </w:rPr>
        <w:t>（一）支持对象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与稻米、禽蛋产业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相关联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的农业龙头企业、国有农业公司、新型合作农场等。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napToGrid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snapToGrid w:val="0"/>
          <w:sz w:val="32"/>
          <w:szCs w:val="32"/>
        </w:rPr>
        <w:t>（二）满足条件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1.所发生的贷款资金主要用于同企业主营业务相关的业务，包括基地建设、基础设施、设施设备、生产资料购置、品牌宣传和流动资金等。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贷款资金通过各大国有银行、股份制商业银行所取得，程序合法，手续齐全。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3.龙头企业贷款金额在</w:t>
      </w:r>
      <w:r>
        <w:rPr>
          <w:rFonts w:ascii="仿宋_GB2312" w:hAnsi="仿宋_GB2312" w:eastAsia="仿宋_GB2312" w:cs="仿宋_GB2312"/>
          <w:sz w:val="32"/>
          <w:szCs w:val="32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万元以上，新型合作农场贷款金额在</w:t>
      </w:r>
      <w:r>
        <w:rPr>
          <w:rFonts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snapToGrid w:val="0"/>
          <w:sz w:val="32"/>
          <w:szCs w:val="32"/>
        </w:rPr>
        <w:t>（三）贴息标准</w:t>
      </w:r>
    </w:p>
    <w:p>
      <w:pPr>
        <w:spacing w:line="560" w:lineRule="exact"/>
        <w:ind w:firstLine="640" w:firstLineChars="200"/>
        <w:rPr>
          <w:rFonts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按照不高于企业当年实际发生利息额度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60%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的比例给予奖励，每年度每个主体奖励金额不超过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五、搭建利益联结机制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（一）奖励订单农业、协议溢价收购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鼓励稻米类南通市级以上龙头企业、国有农业公司与本地种植大户签订订单收购，“统一品种、统一技术、统一模式等”采取标准化生态种植，高于市场价进行收购，统一品牌销售，按照收购总额的</w:t>
      </w:r>
      <w:r>
        <w:rPr>
          <w:rFonts w:ascii="仿宋_GB2312" w:hAnsi="仿宋_GB2312" w:eastAsia="仿宋_GB2312" w:cs="仿宋_GB2312"/>
          <w:sz w:val="32"/>
          <w:szCs w:val="32"/>
        </w:rPr>
        <w:t>0.5%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给予企业奖励</w:t>
      </w:r>
      <w:bookmarkStart w:id="0" w:name="_Hlk106883725"/>
      <w:r>
        <w:rPr>
          <w:rFonts w:hint="eastAsia" w:ascii="仿宋_GB2312" w:hAnsi="仿宋_GB2312" w:eastAsia="仿宋_GB2312" w:cs="仿宋_GB2312"/>
          <w:sz w:val="32"/>
          <w:szCs w:val="32"/>
        </w:rPr>
        <w:t>，奖励金额不高于农户获得溢价金额的</w:t>
      </w:r>
      <w:r>
        <w:rPr>
          <w:rFonts w:ascii="仿宋_GB2312" w:hAnsi="仿宋_GB2312" w:eastAsia="仿宋_GB2312" w:cs="仿宋_GB2312"/>
          <w:sz w:val="32"/>
          <w:szCs w:val="32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单个企业每年度最高不超过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鼓励禽蛋类南通市级以上龙头企业通过订单收购、溢价收购、技术指导等方式向建立联结协议的本地农户回购农产品。对溢价收购的按照收购总额的</w:t>
      </w:r>
      <w:r>
        <w:rPr>
          <w:rFonts w:ascii="仿宋_GB2312" w:hAnsi="仿宋_GB2312" w:eastAsia="仿宋_GB2312" w:cs="仿宋_GB2312"/>
          <w:sz w:val="32"/>
          <w:szCs w:val="32"/>
        </w:rPr>
        <w:t>0.5%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给予企业奖励，奖励金额不高于农户获得溢价金额的</w:t>
      </w:r>
      <w:r>
        <w:rPr>
          <w:rFonts w:ascii="仿宋_GB2312" w:hAnsi="仿宋_GB2312" w:eastAsia="仿宋_GB2312" w:cs="仿宋_GB2312"/>
          <w:sz w:val="32"/>
          <w:szCs w:val="32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，单个企业每年度最高不超过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（二）支持产业联合体建设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由产业联合体牵头单位申报产业联合体建设的创新项目，每个项目申报限额</w:t>
      </w:r>
      <w:r>
        <w:rPr>
          <w:rFonts w:ascii="仿宋_GB2312" w:hAnsi="仿宋_GB2312" w:eastAsia="仿宋_GB2312" w:cs="仿宋_GB2312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万元，通过评审立项后，按照项目实施的进度分时段进行奖补，中期验收支付</w:t>
      </w:r>
      <w:r>
        <w:rPr>
          <w:rFonts w:ascii="仿宋_GB2312" w:hAnsi="仿宋_GB2312" w:eastAsia="仿宋_GB2312" w:cs="仿宋_GB2312"/>
          <w:sz w:val="32"/>
          <w:szCs w:val="32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，最终验收再支付</w:t>
      </w:r>
      <w:r>
        <w:rPr>
          <w:rFonts w:ascii="仿宋_GB2312" w:hAnsi="仿宋_GB2312" w:eastAsia="仿宋_GB2312" w:cs="仿宋_GB2312"/>
          <w:sz w:val="32"/>
          <w:szCs w:val="32"/>
        </w:rPr>
        <w:t>50%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六、</w:t>
      </w:r>
      <w:r>
        <w:rPr>
          <w:rFonts w:eastAsia="黑体"/>
          <w:sz w:val="32"/>
          <w:szCs w:val="32"/>
        </w:rPr>
        <w:t>相关说明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被列入失信系统单位的项目不得申报补助，近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年项目立项后放弃实施或验收不合格的不得申报补助。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（二）企业发生重大农业环境污染或生态破坏问题，发生重大</w:t>
      </w:r>
      <w:r>
        <w:rPr>
          <w:rFonts w:hint="eastAsia" w:ascii="仿宋_GB2312" w:hAnsi="仿宋_GB2312" w:eastAsia="仿宋_GB2312" w:cs="仿宋_GB2312"/>
          <w:sz w:val="32"/>
          <w:szCs w:val="32"/>
        </w:rPr>
        <w:t>农产品安全事故，提供虚假材料骗取创建资金等情形的，取消政策享受资格。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（三）同一项目同时符合省市多个奖励标准的，坚持就高不就低的原则，不重复享受，其他补助低于本办法的，差额部分予以补足。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（四）本政策只适用于与稻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米、禽蛋产业相关联的企业和单位。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本政策在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国家现代农业产业园创建中央资金方案安排的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范围内予以兑现，并由产业园创建工作领导小组办公室负责解释。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napToGrid w:val="0"/>
        <w:spacing w:line="100" w:lineRule="atLeast"/>
        <w:ind w:left="-57" w:right="-57"/>
        <w:jc w:val="center"/>
        <w:rPr>
          <w:rFonts w:eastAsia="方正仿宋_GBK"/>
          <w:b/>
          <w:kern w:val="0"/>
          <w:szCs w:val="20"/>
        </w:rPr>
      </w:pPr>
      <w:r>
        <w:rPr>
          <w:rFonts w:eastAsia="方正仿宋_GBK"/>
          <w:b/>
          <w:kern w:val="0"/>
          <w:szCs w:val="20"/>
        </w:rPr>
        <w:object>
          <v:shape id="_x0000_i1025" o:spt="75" type="#_x0000_t75" style="height:2.25pt;width:442.45pt;" o:ole="t" fillcolor="#000011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MSDraw" ShapeID="_x0000_i1025" DrawAspect="Content" ObjectID="_1468075725" r:id="rId6">
            <o:LockedField>false</o:LockedField>
          </o:OLEObject>
        </w:object>
      </w:r>
    </w:p>
    <w:p>
      <w:pPr>
        <w:autoSpaceDE w:val="0"/>
        <w:autoSpaceDN w:val="0"/>
        <w:adjustRightInd w:val="0"/>
        <w:snapToGrid w:val="0"/>
        <w:spacing w:after="40" w:line="460" w:lineRule="exact"/>
        <w:ind w:left="1151" w:right="312" w:hanging="839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抄 送：市委各部门、各直属单位，市人大常委会办公室，市政协办</w:t>
      </w:r>
    </w:p>
    <w:p>
      <w:pPr>
        <w:autoSpaceDE w:val="0"/>
        <w:autoSpaceDN w:val="0"/>
        <w:adjustRightInd w:val="0"/>
        <w:snapToGrid w:val="0"/>
        <w:spacing w:after="40" w:line="460" w:lineRule="exact"/>
        <w:ind w:left="1151" w:right="312" w:hanging="839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公室，市法院、检察院，市人武部，市各人民团体。</w:t>
      </w:r>
    </w:p>
    <w:p>
      <w:pPr>
        <w:autoSpaceDE w:val="0"/>
        <w:autoSpaceDN w:val="0"/>
        <w:adjustRightInd w:val="0"/>
        <w:snapToGrid w:val="0"/>
        <w:spacing w:line="100" w:lineRule="atLeast"/>
        <w:ind w:left="-57" w:right="-57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object>
          <v:shape id="_x0000_i1026" o:spt="75" type="#_x0000_t75" style="height:1.5pt;width:442.45pt;" o:ole="t" fillcolor="#000011" filled="f" o:preferrelative="f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MSDraw" ShapeID="_x0000_i1026" DrawAspect="Content" ObjectID="_1468075726" r:id="rId8">
            <o:LockedField>false</o:LockedField>
          </o:OLEObject>
        </w:object>
      </w:r>
    </w:p>
    <w:p>
      <w:pPr>
        <w:tabs>
          <w:tab w:val="right" w:pos="8533"/>
        </w:tabs>
        <w:autoSpaceDE w:val="0"/>
        <w:autoSpaceDN w:val="0"/>
        <w:adjustRightInd w:val="0"/>
        <w:snapToGrid w:val="0"/>
        <w:spacing w:after="40" w:line="454" w:lineRule="exact"/>
        <w:ind w:left="312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海安市人民政府办公室                     2022年8月2日印发</w:t>
      </w:r>
    </w:p>
    <w:p>
      <w:pPr>
        <w:autoSpaceDE w:val="0"/>
        <w:autoSpaceDN w:val="0"/>
        <w:adjustRightInd w:val="0"/>
        <w:snapToGrid w:val="0"/>
        <w:spacing w:line="240" w:lineRule="exact"/>
        <w:jc w:val="left"/>
        <w:rPr>
          <w:rFonts w:eastAsia="方正仿宋_GBK"/>
          <w:kern w:val="0"/>
          <w:szCs w:val="20"/>
        </w:rPr>
      </w:pPr>
      <w:r>
        <w:rPr>
          <w:rFonts w:eastAsia="方正仿宋_GBK"/>
          <w:kern w:val="0"/>
          <w:szCs w:val="20"/>
        </w:rPr>
        <w:object>
          <v:shape id="_x0000_i1027" o:spt="75" type="#_x0000_t75" style="height:2.25pt;width:442.45pt;" o:ole="t" fillcolor="#000011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MSDraw" ShapeID="_x0000_i1027" DrawAspect="Content" ObjectID="_1468075727" r:id="rId10">
            <o:LockedField>false</o:LockedField>
          </o:OLEObject>
        </w:object>
      </w:r>
    </w:p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eastAsia="方正仿宋_GBK"/>
          <w:kern w:val="0"/>
          <w:szCs w:val="20"/>
        </w:rPr>
        <w:sectPr>
          <w:footerReference r:id="rId3" w:type="default"/>
          <w:footerReference r:id="rId4" w:type="even"/>
          <w:pgSz w:w="11906" w:h="16838"/>
          <w:pgMar w:top="1588" w:right="1531" w:bottom="1588" w:left="153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7B9AF1-02EA-4B91-ACB8-849F66994B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F34EED-9B8A-492F-90B1-C0024EAC6486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D292E163-2B5B-4787-99BF-D1D7A0990E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5203E99-67D4-4FEB-A5EC-6BF1808F7A0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8573441-2A45-4F13-90D4-F434555B978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525319E8-646F-4952-9A67-39B06595485A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7" w:fontKey="{1ACE747E-1941-4D93-878F-917F686593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- 10 -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7486F"/>
    <w:multiLevelType w:val="singleLevel"/>
    <w:tmpl w:val="DD9748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NWIzZjJkMTI0MzRlNWQwNDNjYmQ1ODRkYTlmYWQifQ=="/>
  </w:docVars>
  <w:rsids>
    <w:rsidRoot w:val="00000000"/>
    <w:rsid w:val="5042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40" w:lineRule="exact"/>
      <w:jc w:val="center"/>
      <w:outlineLvl w:val="0"/>
    </w:pPr>
    <w:rPr>
      <w:rFonts w:eastAsia="方正小标宋简体"/>
      <w:kern w:val="44"/>
      <w:sz w:val="44"/>
      <w:szCs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发文机关标识"/>
    <w:next w:val="4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color w:val="FF0000"/>
      <w:kern w:val="2"/>
      <w:sz w:val="7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2024-02-01T02:33:43Z</dcterms:created>
  <dc:creator>ny</dc:creator>
  <cp:lastModifiedBy>ny</cp:lastModifiedBy>
  <dcterms:modified xsi:type="dcterms:W3CDTF">2024-02-01T02:34:53Z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A9C0E905204248BE8C0962CD57AC7294_12</vt:lpwstr>
  </property>
</Properties>
</file>