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widowControl/>
        <w:jc w:val="center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项目可行性报告</w:t>
      </w:r>
      <w:bookmarkEnd w:id="0"/>
    </w:p>
    <w:p>
      <w:pPr>
        <w:widowControl/>
        <w:jc w:val="lef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项目单位简介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主要包括项目申报单位的简介，具体介绍参与项目有何优势和能力。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项目建设内容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主要包括项目建设地点，建设内容包括资金来源、分子项建设内容（设备包括单价、型号、指标性能，土建包括建设面积、建筑结构、单价等）、建设期限和进度安排等。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项目预期成效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预计实现的绩效目标：产量增长、利润增长等经济指标，绿色生产、减排增效等生态指标以及带动农户收益等社会效益指标。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可行性分析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完成项目所需要的资金筹措、人员队伍、技术支持、组织安排等项目全流程简述（不超过</w:t>
      </w:r>
      <w:r>
        <w:rPr>
          <w:rFonts w:ascii="仿宋_GB2312" w:hAnsi="仿宋_GB2312" w:eastAsia="仿宋_GB2312" w:cs="仿宋_GB2312"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字）。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1FB41"/>
    <w:multiLevelType w:val="singleLevel"/>
    <w:tmpl w:val="8BC1FB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DUzNDM4OWIxOTFjMGUyNzVhOGEzN2VmZjJlMDYifQ=="/>
  </w:docVars>
  <w:rsids>
    <w:rsidRoot w:val="3A425171"/>
    <w:rsid w:val="3A42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238</Characters>
  <Lines>0</Lines>
  <Paragraphs>0</Paragraphs>
  <TotalTime>0</TotalTime>
  <ScaleCrop>false</ScaleCrop>
  <LinksUpToDate>false</LinksUpToDate>
  <CharactersWithSpaces>238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2025-09-01T01:07:00Z</dcterms:created>
  <dc:creator>孙桑杰</dc:creator>
  <cp:lastModifiedBy>孙桑杰</cp:lastModifiedBy>
  <dcterms:modified xsi:type="dcterms:W3CDTF">2025-09-01T01:07:51Z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3AF8666E31A74AB4BBE1DDB3B070954E_11</vt:lpwstr>
  </property>
</Properties>
</file>