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ED8AB">
      <w:pPr>
        <w:spacing w:before="156" w:beforeLines="50" w:after="156" w:afterLines="50" w:line="700" w:lineRule="exact"/>
        <w:jc w:val="left"/>
        <w:rPr>
          <w:rFonts w:hint="eastAsia" w:ascii="Times New Roman" w:hAnsi="Times New Roman" w:eastAsia="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附件</w:t>
      </w:r>
      <w:r>
        <w:rPr>
          <w:rFonts w:hint="eastAsia" w:ascii="Times New Roman" w:hAnsi="Times New Roman" w:eastAsia="方正仿宋_GBK"/>
          <w:color w:val="000000" w:themeColor="text1"/>
          <w:sz w:val="32"/>
          <w:szCs w:val="32"/>
          <w:lang w:val="en-US" w:eastAsia="zh-CN"/>
          <w14:textFill>
            <w14:solidFill>
              <w14:schemeClr w14:val="tx1"/>
            </w14:solidFill>
          </w14:textFill>
        </w:rPr>
        <w:t>2</w:t>
      </w:r>
    </w:p>
    <w:p w14:paraId="0A359E7A">
      <w:pPr>
        <w:spacing w:before="156" w:beforeLines="50" w:after="156" w:afterLines="50" w:line="700" w:lineRule="exact"/>
        <w:jc w:val="center"/>
        <w:rPr>
          <w:rFonts w:ascii="Times New Roman" w:hAnsi="Times New Roman" w:eastAsia="方正小标宋_GBK"/>
          <w:color w:val="000000" w:themeColor="text1"/>
          <w:sz w:val="36"/>
          <w:szCs w:val="36"/>
          <w14:textFill>
            <w14:solidFill>
              <w14:schemeClr w14:val="tx1"/>
            </w14:solidFill>
          </w14:textFill>
        </w:rPr>
      </w:pPr>
      <w:r>
        <w:rPr>
          <w:rFonts w:hint="eastAsia" w:ascii="Times New Roman" w:hAnsi="Times New Roman" w:eastAsia="方正小标宋_GBK"/>
          <w:color w:val="000000" w:themeColor="text1"/>
          <w:sz w:val="36"/>
          <w:szCs w:val="36"/>
          <w:lang w:eastAsia="zh-CN"/>
          <w14:textFill>
            <w14:solidFill>
              <w14:schemeClr w14:val="tx1"/>
            </w14:solidFill>
          </w14:textFill>
        </w:rPr>
        <w:t>海安市</w:t>
      </w:r>
      <w:r>
        <w:rPr>
          <w:rFonts w:hint="eastAsia" w:ascii="Times New Roman" w:hAnsi="Times New Roman" w:eastAsia="方正小标宋_GBK" w:cs="方正楷体_GBK"/>
          <w:bCs/>
          <w:sz w:val="36"/>
          <w:szCs w:val="36"/>
        </w:rPr>
        <w:t>关键核心技术攻关</w:t>
      </w:r>
      <w:r>
        <w:rPr>
          <w:rFonts w:hint="eastAsia" w:ascii="Times New Roman" w:hAnsi="Times New Roman" w:eastAsia="方正小标宋_GBK" w:cs="方正楷体_GBK"/>
          <w:bCs/>
          <w:sz w:val="36"/>
          <w:szCs w:val="36"/>
          <w:lang w:eastAsia="zh-CN"/>
        </w:rPr>
        <w:t>“揭榜挂帅”项目</w:t>
      </w:r>
      <w:r>
        <w:rPr>
          <w:rFonts w:hint="eastAsia" w:ascii="Times New Roman" w:hAnsi="Times New Roman" w:eastAsia="方正小标宋_GBK" w:cs="方正楷体_GBK"/>
          <w:bCs/>
          <w:sz w:val="36"/>
          <w:szCs w:val="36"/>
        </w:rPr>
        <w:t>实施细则</w:t>
      </w:r>
    </w:p>
    <w:p w14:paraId="460D5B0D">
      <w:pPr>
        <w:pStyle w:val="14"/>
        <w:spacing w:line="590" w:lineRule="exact"/>
        <w:ind w:firstLine="640" w:firstLineChars="200"/>
        <w:rPr>
          <w:rFonts w:eastAsia="方正黑体_GBK" w:cs="方正黑体_GBK"/>
          <w:color w:val="000000" w:themeColor="text1"/>
          <w:sz w:val="32"/>
          <w:szCs w:val="32"/>
          <w14:textFill>
            <w14:solidFill>
              <w14:schemeClr w14:val="tx1"/>
            </w14:solidFill>
          </w14:textFill>
        </w:rPr>
      </w:pPr>
      <w:r>
        <w:rPr>
          <w:rFonts w:hint="eastAsia" w:eastAsia="方正黑体_GBK" w:cs="方正黑体_GBK"/>
          <w:color w:val="000000" w:themeColor="text1"/>
          <w:sz w:val="32"/>
          <w:szCs w:val="32"/>
          <w14:textFill>
            <w14:solidFill>
              <w14:schemeClr w14:val="tx1"/>
            </w14:solidFill>
          </w14:textFill>
        </w:rPr>
        <w:t>一、支持对象</w:t>
      </w:r>
    </w:p>
    <w:p w14:paraId="096AEC6D">
      <w:pPr>
        <w:pStyle w:val="14"/>
        <w:spacing w:line="590" w:lineRule="exact"/>
        <w:ind w:firstLine="640" w:firstLineChars="200"/>
        <w:rPr>
          <w:rFonts w:hint="eastAsia" w:eastAsia="方正仿宋_GBK" w:cs="方正仿宋_GBK"/>
          <w:color w:val="000000" w:themeColor="text1"/>
          <w:sz w:val="32"/>
          <w:szCs w:val="32"/>
          <w:lang w:eastAsia="zh-CN"/>
          <w14:textFill>
            <w14:solidFill>
              <w14:schemeClr w14:val="tx1"/>
            </w14:solidFill>
          </w14:textFill>
        </w:rPr>
      </w:pPr>
      <w:r>
        <w:rPr>
          <w:rFonts w:hint="eastAsia" w:eastAsia="方正仿宋_GBK" w:cs="方正仿宋_GBK"/>
          <w:color w:val="000000" w:themeColor="text1"/>
          <w:sz w:val="32"/>
          <w:szCs w:val="32"/>
          <w14:textFill>
            <w14:solidFill>
              <w14:schemeClr w14:val="tx1"/>
            </w14:solidFill>
          </w14:textFill>
        </w:rPr>
        <w:t>在海安市正常开展经营活动的具有独立法人资格的“专精特新”企业、高新技术企业及其他科技型企业</w:t>
      </w:r>
      <w:r>
        <w:rPr>
          <w:rFonts w:hint="eastAsia" w:eastAsia="方正仿宋_GBK" w:cs="方正仿宋_GBK"/>
          <w:color w:val="000000" w:themeColor="text1"/>
          <w:sz w:val="32"/>
          <w:szCs w:val="32"/>
          <w:lang w:eastAsia="zh-CN"/>
          <w14:textFill>
            <w14:solidFill>
              <w14:schemeClr w14:val="tx1"/>
            </w14:solidFill>
          </w14:textFill>
        </w:rPr>
        <w:t>。</w:t>
      </w:r>
    </w:p>
    <w:p w14:paraId="65FCB7E2">
      <w:pPr>
        <w:pStyle w:val="14"/>
        <w:spacing w:line="590" w:lineRule="exact"/>
        <w:ind w:firstLine="640" w:firstLineChars="200"/>
        <w:rPr>
          <w:rFonts w:hint="eastAsia" w:eastAsia="方正黑体_GBK" w:cs="方正黑体_GBK"/>
          <w:color w:val="000000" w:themeColor="text1"/>
          <w:sz w:val="32"/>
          <w:szCs w:val="32"/>
          <w:lang w:eastAsia="zh-CN"/>
          <w14:textFill>
            <w14:solidFill>
              <w14:schemeClr w14:val="tx1"/>
            </w14:solidFill>
          </w14:textFill>
        </w:rPr>
      </w:pPr>
      <w:r>
        <w:rPr>
          <w:rFonts w:hint="eastAsia" w:eastAsia="方正黑体_GBK" w:cs="方正黑体_GBK"/>
          <w:color w:val="000000" w:themeColor="text1"/>
          <w:sz w:val="32"/>
          <w:szCs w:val="32"/>
          <w14:textFill>
            <w14:solidFill>
              <w14:schemeClr w14:val="tx1"/>
            </w14:solidFill>
          </w14:textFill>
        </w:rPr>
        <w:t>二、支持条件</w:t>
      </w:r>
    </w:p>
    <w:p w14:paraId="2B275256">
      <w:pPr>
        <w:pStyle w:val="14"/>
        <w:spacing w:line="590" w:lineRule="exact"/>
        <w:ind w:firstLine="640" w:firstLineChars="200"/>
        <w:rPr>
          <w:rFonts w:hint="eastAsia" w:eastAsia="方正仿宋_GBK" w:cs="方正仿宋_GBK"/>
          <w:sz w:val="32"/>
          <w:szCs w:val="32"/>
        </w:rPr>
      </w:pPr>
      <w:r>
        <w:rPr>
          <w:rFonts w:hint="eastAsia" w:eastAsia="方正仿宋_GBK" w:cs="方正仿宋_GBK"/>
          <w:color w:val="000000" w:themeColor="text1"/>
          <w:sz w:val="32"/>
          <w:szCs w:val="32"/>
          <w14:textFill>
            <w14:solidFill>
              <w14:schemeClr w14:val="tx1"/>
            </w14:solidFill>
          </w14:textFill>
        </w:rPr>
        <w:t>以“揭榜挂帅”方式支持</w:t>
      </w:r>
      <w:r>
        <w:rPr>
          <w:rFonts w:hint="eastAsia" w:eastAsia="方正仿宋_GBK" w:cs="方正仿宋_GBK"/>
          <w:sz w:val="32"/>
          <w:szCs w:val="32"/>
        </w:rPr>
        <w:t>制约</w:t>
      </w:r>
      <w:r>
        <w:rPr>
          <w:rFonts w:hint="eastAsia" w:eastAsia="方正仿宋_GBK" w:cs="方正仿宋_GBK"/>
          <w:sz w:val="32"/>
          <w:szCs w:val="32"/>
          <w:lang w:eastAsia="zh-CN"/>
        </w:rPr>
        <w:t>我市</w:t>
      </w:r>
      <w:r>
        <w:rPr>
          <w:rFonts w:hint="eastAsia" w:eastAsia="方正仿宋_GBK" w:cs="方正仿宋_GBK"/>
          <w:sz w:val="32"/>
          <w:szCs w:val="32"/>
        </w:rPr>
        <w:t>产业发展的重大瓶颈技术、短缺技术和企业急需的关键核心技术，采取发榜形式组织，市科技局</w:t>
      </w:r>
      <w:r>
        <w:rPr>
          <w:rFonts w:hint="eastAsia" w:eastAsia="方正仿宋_GBK" w:cs="方正仿宋_GBK"/>
          <w:sz w:val="32"/>
          <w:szCs w:val="32"/>
          <w:lang w:eastAsia="zh-CN"/>
        </w:rPr>
        <w:t>组织</w:t>
      </w:r>
      <w:r>
        <w:rPr>
          <w:rFonts w:hint="eastAsia" w:eastAsia="方正仿宋_GBK" w:cs="方正仿宋_GBK"/>
          <w:sz w:val="32"/>
          <w:szCs w:val="32"/>
        </w:rPr>
        <w:t>技术需求企业</w:t>
      </w:r>
      <w:r>
        <w:rPr>
          <w:rFonts w:hint="eastAsia" w:eastAsia="方正仿宋_GBK" w:cs="方正仿宋_GBK"/>
          <w:sz w:val="32"/>
          <w:szCs w:val="32"/>
          <w:lang w:eastAsia="zh-CN"/>
        </w:rPr>
        <w:t>发榜</w:t>
      </w:r>
      <w:r>
        <w:rPr>
          <w:rFonts w:hint="eastAsia" w:eastAsia="方正仿宋_GBK" w:cs="方正仿宋_GBK"/>
          <w:sz w:val="32"/>
          <w:szCs w:val="32"/>
        </w:rPr>
        <w:t>。发榜企业要对技术攻关有内在迫切需求，在项目攻关成功后能率先在本企业推广应用，能够显著提升企业核心竞争力，社会经济效益明显。</w:t>
      </w:r>
    </w:p>
    <w:p w14:paraId="1E8E830A">
      <w:pPr>
        <w:pStyle w:val="14"/>
        <w:spacing w:line="590" w:lineRule="exact"/>
        <w:ind w:firstLine="640" w:firstLineChars="200"/>
        <w:rPr>
          <w:rFonts w:eastAsia="方正黑体_GBK" w:cs="方正黑体_GBK"/>
          <w:color w:val="000000" w:themeColor="text1"/>
          <w:sz w:val="32"/>
          <w:szCs w:val="32"/>
          <w14:textFill>
            <w14:solidFill>
              <w14:schemeClr w14:val="tx1"/>
            </w14:solidFill>
          </w14:textFill>
        </w:rPr>
      </w:pPr>
      <w:r>
        <w:rPr>
          <w:rFonts w:hint="eastAsia" w:eastAsia="方正黑体_GBK" w:cs="方正黑体_GBK"/>
          <w:color w:val="000000" w:themeColor="text1"/>
          <w:sz w:val="32"/>
          <w:szCs w:val="32"/>
          <w14:textFill>
            <w14:solidFill>
              <w14:schemeClr w14:val="tx1"/>
            </w14:solidFill>
          </w14:textFill>
        </w:rPr>
        <w:t>三、支持方式</w:t>
      </w:r>
    </w:p>
    <w:p w14:paraId="4CE287F9">
      <w:pPr>
        <w:pStyle w:val="14"/>
        <w:spacing w:line="590" w:lineRule="exact"/>
        <w:ind w:firstLine="640" w:firstLineChars="200"/>
        <w:rPr>
          <w:rFonts w:hint="eastAsia" w:ascii="Times New Roman" w:hAnsi="Times New Roman" w:eastAsia="方正仿宋_GBK" w:cs="方正仿宋_GBK"/>
          <w:kern w:val="2"/>
          <w:sz w:val="32"/>
          <w:szCs w:val="32"/>
          <w:lang w:val="en-US" w:eastAsia="zh-CN" w:bidi="ar-SA"/>
          <w14:ligatures w14:val="none"/>
        </w:rPr>
      </w:pPr>
      <w:r>
        <w:rPr>
          <w:rFonts w:hint="eastAsia" w:eastAsia="方正仿宋_GBK" w:cs="方正仿宋_GBK"/>
          <w:sz w:val="32"/>
          <w:szCs w:val="32"/>
        </w:rPr>
        <w:t>1</w:t>
      </w:r>
      <w:r>
        <w:rPr>
          <w:rFonts w:hint="eastAsia" w:eastAsia="方正仿宋_GBK"/>
          <w:sz w:val="32"/>
          <w:szCs w:val="32"/>
        </w:rPr>
        <w:t>．</w:t>
      </w:r>
      <w:r>
        <w:rPr>
          <w:rFonts w:hint="eastAsia" w:ascii="Times New Roman" w:hAnsi="Times New Roman" w:eastAsia="方正仿宋_GBK" w:cs="方正仿宋_GBK"/>
          <w:kern w:val="2"/>
          <w:sz w:val="32"/>
          <w:szCs w:val="32"/>
          <w:lang w:val="en-US" w:eastAsia="zh-CN" w:bidi="ar-SA"/>
          <w14:ligatures w14:val="none"/>
        </w:rPr>
        <w:t>对</w:t>
      </w:r>
      <w:r>
        <w:rPr>
          <w:rFonts w:hint="eastAsia" w:eastAsia="方正仿宋_GBK" w:cs="方正仿宋_GBK"/>
          <w:kern w:val="2"/>
          <w:sz w:val="32"/>
          <w:szCs w:val="32"/>
          <w:lang w:val="en-US" w:eastAsia="zh-CN" w:bidi="ar-SA"/>
          <w14:ligatures w14:val="none"/>
        </w:rPr>
        <w:t>支付揭榜方产学研合作</w:t>
      </w:r>
      <w:r>
        <w:rPr>
          <w:rFonts w:hint="eastAsia" w:ascii="Times New Roman" w:hAnsi="Times New Roman" w:eastAsia="方正仿宋_GBK" w:cs="方正仿宋_GBK"/>
          <w:kern w:val="2"/>
          <w:sz w:val="32"/>
          <w:szCs w:val="32"/>
          <w:lang w:val="en-US" w:eastAsia="zh-CN" w:bidi="ar-SA"/>
          <w14:ligatures w14:val="none"/>
        </w:rPr>
        <w:t>经费30万元以上、成功揭榜并立项的“揭榜挂帅”项目，市财政给予单个项目不超过发榜方向揭榜方</w:t>
      </w:r>
      <w:r>
        <w:rPr>
          <w:rFonts w:hint="eastAsia" w:eastAsia="方正仿宋_GBK" w:cs="方正仿宋_GBK"/>
          <w:kern w:val="2"/>
          <w:sz w:val="32"/>
          <w:szCs w:val="32"/>
          <w:lang w:val="en-US" w:eastAsia="zh-CN" w:bidi="ar-SA"/>
          <w14:ligatures w14:val="none"/>
        </w:rPr>
        <w:t>支</w:t>
      </w:r>
      <w:r>
        <w:rPr>
          <w:rFonts w:hint="eastAsia" w:ascii="Times New Roman" w:hAnsi="Times New Roman" w:eastAsia="方正仿宋_GBK" w:cs="方正仿宋_GBK"/>
          <w:kern w:val="2"/>
          <w:sz w:val="32"/>
          <w:szCs w:val="32"/>
          <w:lang w:val="en-US" w:eastAsia="zh-CN" w:bidi="ar-SA"/>
          <w14:ligatures w14:val="none"/>
        </w:rPr>
        <w:t>付资金的40%、最高100万元科技创新资金</w:t>
      </w:r>
      <w:r>
        <w:rPr>
          <w:rFonts w:hint="eastAsia" w:eastAsia="方正仿宋_GBK" w:cs="方正仿宋_GBK"/>
          <w:kern w:val="2"/>
          <w:sz w:val="32"/>
          <w:szCs w:val="32"/>
          <w:lang w:val="en-US" w:eastAsia="zh-CN" w:bidi="ar-SA"/>
          <w14:ligatures w14:val="none"/>
        </w:rPr>
        <w:t>资助</w:t>
      </w:r>
      <w:r>
        <w:rPr>
          <w:rFonts w:hint="eastAsia" w:ascii="Times New Roman" w:hAnsi="Times New Roman" w:eastAsia="方正仿宋_GBK" w:cs="方正仿宋_GBK"/>
          <w:kern w:val="2"/>
          <w:sz w:val="32"/>
          <w:szCs w:val="32"/>
          <w:lang w:val="en-US" w:eastAsia="zh-CN" w:bidi="ar-SA"/>
          <w14:ligatures w14:val="none"/>
        </w:rPr>
        <w:t>。</w:t>
      </w:r>
    </w:p>
    <w:p w14:paraId="18EAA3C5">
      <w:pPr>
        <w:pStyle w:val="14"/>
        <w:spacing w:line="590" w:lineRule="exact"/>
        <w:ind w:firstLine="640" w:firstLineChars="200"/>
        <w:rPr>
          <w:rFonts w:hint="default" w:eastAsia="方正仿宋_GBK" w:cs="方正仿宋_GBK"/>
          <w:sz w:val="32"/>
          <w:szCs w:val="32"/>
          <w:lang w:val="en-US" w:eastAsia="zh-CN"/>
        </w:rPr>
      </w:pPr>
      <w:r>
        <w:rPr>
          <w:rFonts w:hint="eastAsia" w:eastAsia="方正仿宋_GBK" w:cs="方正仿宋_GBK"/>
          <w:sz w:val="32"/>
          <w:szCs w:val="32"/>
        </w:rPr>
        <w:t>2</w:t>
      </w:r>
      <w:r>
        <w:rPr>
          <w:rFonts w:hint="eastAsia" w:eastAsia="方正仿宋_GBK"/>
          <w:sz w:val="32"/>
          <w:szCs w:val="32"/>
        </w:rPr>
        <w:t>．</w:t>
      </w:r>
      <w:r>
        <w:rPr>
          <w:rFonts w:hint="eastAsia" w:eastAsia="方正仿宋_GBK" w:cs="方正仿宋_GBK"/>
          <w:sz w:val="32"/>
          <w:szCs w:val="32"/>
        </w:rPr>
        <w:t>项目实施期一般为3年</w:t>
      </w:r>
      <w:r>
        <w:rPr>
          <w:rFonts w:hint="eastAsia" w:eastAsia="方正仿宋_GBK" w:cs="方正仿宋_GBK"/>
          <w:sz w:val="32"/>
          <w:szCs w:val="32"/>
          <w:lang w:eastAsia="zh-CN"/>
        </w:rPr>
        <w:t>。</w:t>
      </w:r>
      <w:r>
        <w:rPr>
          <w:rFonts w:hint="eastAsia" w:ascii="Times New Roman" w:hAnsi="Times New Roman" w:eastAsia="方正仿宋_GBK" w:cs="方正仿宋_GBK"/>
          <w:kern w:val="2"/>
          <w:sz w:val="32"/>
          <w:szCs w:val="32"/>
          <w:lang w:val="en-US" w:eastAsia="zh-CN" w:bidi="ar-SA"/>
          <w14:ligatures w14:val="none"/>
        </w:rPr>
        <w:t>市财政按发榜企业拨付给揭榜方的经费总额分批次按比例拨付发榜企业项目资助资金，项目立</w:t>
      </w:r>
      <w:r>
        <w:rPr>
          <w:rFonts w:hint="eastAsia" w:eastAsia="方正仿宋_GBK" w:cs="方正仿宋_GBK"/>
          <w:sz w:val="32"/>
          <w:szCs w:val="32"/>
          <w:lang w:val="en-US" w:eastAsia="zh-CN"/>
        </w:rPr>
        <w:t>项签订合</w:t>
      </w:r>
      <w:bookmarkStart w:id="0" w:name="_GoBack"/>
      <w:bookmarkEnd w:id="0"/>
      <w:r>
        <w:rPr>
          <w:rFonts w:hint="eastAsia" w:eastAsia="方正仿宋_GBK" w:cs="方正仿宋_GBK"/>
          <w:sz w:val="32"/>
          <w:szCs w:val="32"/>
          <w:lang w:val="en-US" w:eastAsia="zh-CN"/>
        </w:rPr>
        <w:t>同后拨付资助总额的30%，通过中期检查后拨付30%，</w:t>
      </w:r>
      <w:r>
        <w:rPr>
          <w:rFonts w:hint="eastAsia" w:eastAsia="方正仿宋_GBK" w:cs="方正仿宋_GBK"/>
          <w:sz w:val="32"/>
          <w:szCs w:val="32"/>
        </w:rPr>
        <w:t>剩</w:t>
      </w:r>
      <w:r>
        <w:rPr>
          <w:rFonts w:hint="eastAsia" w:eastAsia="方正仿宋_GBK" w:cs="方正仿宋_GBK"/>
          <w:sz w:val="32"/>
          <w:szCs w:val="32"/>
          <w:lang w:val="en-US" w:eastAsia="zh-CN"/>
        </w:rPr>
        <w:t>余40%待项目验收通过后拨付。发榜企业拨付给揭榜方的经费达30万元以上时开始分批拨付。</w:t>
      </w:r>
    </w:p>
    <w:p w14:paraId="2D4B62B4">
      <w:pPr>
        <w:pStyle w:val="14"/>
        <w:spacing w:line="590" w:lineRule="exact"/>
        <w:ind w:firstLine="640" w:firstLineChars="200"/>
        <w:rPr>
          <w:rFonts w:hint="eastAsia" w:eastAsia="方正仿宋_GBK" w:cs="方正仿宋_GBK"/>
          <w:sz w:val="32"/>
          <w:szCs w:val="32"/>
        </w:rPr>
      </w:pPr>
      <w:r>
        <w:rPr>
          <w:rFonts w:hint="eastAsia" w:eastAsia="方正仿宋_GBK" w:cs="方正仿宋_GBK"/>
          <w:sz w:val="32"/>
          <w:szCs w:val="32"/>
        </w:rPr>
        <w:t>3．</w:t>
      </w:r>
      <w:r>
        <w:rPr>
          <w:rFonts w:hint="eastAsia" w:eastAsia="方正仿宋_GBK" w:cs="方正仿宋_GBK"/>
          <w:sz w:val="32"/>
          <w:szCs w:val="32"/>
        </w:rPr>
        <w:t>“揭榜挂帅”项目验收时</w:t>
      </w:r>
      <w:r>
        <w:rPr>
          <w:rFonts w:hint="eastAsia" w:eastAsia="方正仿宋_GBK" w:cs="方正仿宋_GBK"/>
          <w:sz w:val="32"/>
          <w:szCs w:val="32"/>
          <w:lang w:eastAsia="zh-CN"/>
        </w:rPr>
        <w:t>发榜方</w:t>
      </w:r>
      <w:r>
        <w:rPr>
          <w:rFonts w:hint="eastAsia" w:eastAsia="方正仿宋_GBK" w:cs="方正仿宋_GBK"/>
          <w:sz w:val="32"/>
          <w:szCs w:val="32"/>
        </w:rPr>
        <w:t>实际</w:t>
      </w:r>
      <w:r>
        <w:rPr>
          <w:rFonts w:hint="eastAsia" w:eastAsia="方正仿宋_GBK" w:cs="方正仿宋_GBK"/>
          <w:sz w:val="32"/>
          <w:szCs w:val="32"/>
          <w:lang w:eastAsia="zh-CN"/>
        </w:rPr>
        <w:t>支付揭榜方的资金</w:t>
      </w:r>
      <w:r>
        <w:rPr>
          <w:rFonts w:hint="eastAsia" w:eastAsia="方正仿宋_GBK" w:cs="方正仿宋_GBK"/>
          <w:sz w:val="32"/>
          <w:szCs w:val="32"/>
        </w:rPr>
        <w:t>低于项目合同预算投入80%的，应重新核定资助金额，超出部分需在项目验收通过后退回并上缴国库。</w:t>
      </w:r>
    </w:p>
    <w:p w14:paraId="6A3C9C10">
      <w:pPr>
        <w:pStyle w:val="14"/>
        <w:spacing w:line="590" w:lineRule="exact"/>
        <w:ind w:firstLine="640" w:firstLineChars="200"/>
        <w:rPr>
          <w:rFonts w:eastAsia="方正黑体_GBK" w:cs="方正黑体_GBK"/>
          <w:color w:val="000000" w:themeColor="text1"/>
          <w:sz w:val="32"/>
          <w:szCs w:val="32"/>
          <w14:textFill>
            <w14:solidFill>
              <w14:schemeClr w14:val="tx1"/>
            </w14:solidFill>
          </w14:textFill>
        </w:rPr>
      </w:pPr>
      <w:r>
        <w:rPr>
          <w:rFonts w:hint="eastAsia" w:eastAsia="方正黑体_GBK" w:cs="方正黑体_GBK"/>
          <w:color w:val="000000" w:themeColor="text1"/>
          <w:sz w:val="32"/>
          <w:szCs w:val="32"/>
          <w14:textFill>
            <w14:solidFill>
              <w14:schemeClr w14:val="tx1"/>
            </w14:solidFill>
          </w14:textFill>
        </w:rPr>
        <w:t>四、办理流程</w:t>
      </w:r>
    </w:p>
    <w:p w14:paraId="323C123E">
      <w:pPr>
        <w:pStyle w:val="14"/>
        <w:spacing w:line="590" w:lineRule="exact"/>
        <w:ind w:firstLine="640" w:firstLineChars="200"/>
        <w:rPr>
          <w:rFonts w:hint="eastAsia" w:eastAsia="方正仿宋_GBK" w:cs="方正仿宋_GBK"/>
          <w:sz w:val="32"/>
          <w:szCs w:val="32"/>
          <w:lang w:val="en-US" w:eastAsia="zh-CN"/>
        </w:rPr>
      </w:pPr>
      <w:r>
        <w:rPr>
          <w:rFonts w:hint="eastAsia" w:eastAsia="方正仿宋_GBK" w:cs="方正仿宋_GBK"/>
          <w:sz w:val="32"/>
          <w:szCs w:val="32"/>
          <w:lang w:val="en-US" w:eastAsia="zh-CN"/>
        </w:rPr>
        <w:t>1．市科技局适时发布海安市关键核心技术攻关“揭榜挂帅”项目申报通知。</w:t>
      </w:r>
    </w:p>
    <w:p w14:paraId="459494BD">
      <w:pPr>
        <w:pStyle w:val="14"/>
        <w:spacing w:line="590" w:lineRule="exact"/>
        <w:ind w:firstLine="640" w:firstLineChars="200"/>
        <w:rPr>
          <w:rFonts w:hint="eastAsia" w:eastAsia="方正仿宋_GBK" w:cs="方正仿宋_GBK"/>
          <w:sz w:val="32"/>
          <w:szCs w:val="32"/>
          <w:lang w:val="en-US" w:eastAsia="zh-CN"/>
        </w:rPr>
      </w:pPr>
      <w:r>
        <w:rPr>
          <w:rFonts w:hint="eastAsia" w:eastAsia="方正仿宋_GBK" w:cs="方正仿宋_GBK"/>
          <w:sz w:val="32"/>
          <w:szCs w:val="32"/>
          <w:lang w:val="en-US" w:eastAsia="zh-CN"/>
        </w:rPr>
        <w:t>2．市科技局对企业自荐、部门或区镇推荐的项目，通过形式审查或专家论证等形式进行遴选，确定发榜企业，并报市政府批准后发榜。</w:t>
      </w:r>
    </w:p>
    <w:p w14:paraId="701AE3AF">
      <w:pPr>
        <w:pStyle w:val="14"/>
        <w:spacing w:line="590" w:lineRule="exact"/>
        <w:ind w:firstLine="640" w:firstLineChars="200"/>
        <w:rPr>
          <w:rFonts w:hint="eastAsia" w:eastAsia="方正仿宋_GBK" w:cs="方正仿宋_GBK"/>
          <w:sz w:val="32"/>
          <w:szCs w:val="32"/>
          <w:lang w:val="en-US" w:eastAsia="zh-CN"/>
        </w:rPr>
      </w:pPr>
      <w:r>
        <w:rPr>
          <w:rFonts w:hint="eastAsia" w:eastAsia="方正仿宋_GBK" w:cs="方正仿宋_GBK"/>
          <w:sz w:val="32"/>
          <w:szCs w:val="32"/>
          <w:lang w:val="en-US" w:eastAsia="zh-CN"/>
        </w:rPr>
        <w:t>3．市科技局通过市主流媒体或市政府信息公开栏等向社会发榜公告，接收揭榜单位的申报，公告逾期未被揭榜项目不再列入下一批发榜项目。</w:t>
      </w:r>
    </w:p>
    <w:p w14:paraId="529DA649">
      <w:pPr>
        <w:pStyle w:val="14"/>
        <w:spacing w:line="590" w:lineRule="exact"/>
        <w:ind w:firstLine="640" w:firstLineChars="200"/>
        <w:rPr>
          <w:rFonts w:hint="eastAsia" w:eastAsia="方正仿宋_GBK" w:cs="方正仿宋_GBK"/>
          <w:sz w:val="32"/>
          <w:szCs w:val="32"/>
          <w:lang w:val="en-US" w:eastAsia="zh-CN"/>
        </w:rPr>
      </w:pPr>
      <w:r>
        <w:rPr>
          <w:rFonts w:hint="eastAsia" w:eastAsia="方正仿宋_GBK" w:cs="方正仿宋_GBK"/>
          <w:sz w:val="32"/>
          <w:szCs w:val="32"/>
          <w:lang w:val="en-US" w:eastAsia="zh-CN"/>
        </w:rPr>
        <w:t>4．揭榜方、发榜企业应实事求是、主动对接、相互考察，公平竞争洽谈，由发榜企业择优选取揭榜单位，并制定合理技术揭榜方案；市科技局组织专家或委托第三方机构对揭榜方案进行论证，确定拟中榜项目。</w:t>
      </w:r>
    </w:p>
    <w:p w14:paraId="05012626">
      <w:pPr>
        <w:pStyle w:val="14"/>
        <w:spacing w:line="590" w:lineRule="exact"/>
        <w:ind w:firstLine="640" w:firstLineChars="200"/>
        <w:rPr>
          <w:rFonts w:hint="eastAsia" w:eastAsia="方正仿宋_GBK" w:cs="方正仿宋_GBK"/>
          <w:sz w:val="32"/>
          <w:szCs w:val="32"/>
          <w:lang w:val="en-US" w:eastAsia="zh-CN"/>
        </w:rPr>
      </w:pPr>
      <w:r>
        <w:rPr>
          <w:rFonts w:hint="eastAsia" w:eastAsia="方正仿宋_GBK" w:cs="方正仿宋_GBK"/>
          <w:sz w:val="32"/>
          <w:szCs w:val="32"/>
          <w:lang w:val="en-US" w:eastAsia="zh-CN"/>
        </w:rPr>
        <w:t>5．市科技局对拟中榜项目进行公示，公示期满无异议，市科技局组织签订三方项目合同。</w:t>
      </w:r>
    </w:p>
    <w:p w14:paraId="18213B4D">
      <w:pPr>
        <w:pStyle w:val="14"/>
        <w:spacing w:line="590" w:lineRule="exact"/>
        <w:ind w:firstLine="640" w:firstLineChars="200"/>
        <w:rPr>
          <w:rFonts w:hint="eastAsia" w:eastAsia="方正仿宋_GBK" w:cs="方正仿宋_GBK"/>
          <w:sz w:val="32"/>
          <w:szCs w:val="32"/>
          <w:lang w:val="en-US" w:eastAsia="zh-CN"/>
        </w:rPr>
      </w:pPr>
      <w:r>
        <w:rPr>
          <w:rFonts w:hint="eastAsia" w:eastAsia="方正仿宋_GBK" w:cs="方正仿宋_GBK"/>
          <w:sz w:val="32"/>
          <w:szCs w:val="32"/>
          <w:lang w:val="en-US" w:eastAsia="zh-CN"/>
        </w:rPr>
        <w:t>6．市科技局联合市财政局下达立项文件，市财政局根据发榜企业支付揭榜方的经费进度按比例下达资助资金。</w:t>
      </w:r>
    </w:p>
    <w:p w14:paraId="49C96D1E">
      <w:pPr>
        <w:pStyle w:val="14"/>
        <w:spacing w:line="590" w:lineRule="exact"/>
        <w:ind w:firstLine="640" w:firstLineChars="200"/>
        <w:rPr>
          <w:rFonts w:hint="eastAsia" w:eastAsia="方正仿宋_GBK" w:cs="方正仿宋_GBK"/>
          <w:sz w:val="32"/>
          <w:szCs w:val="32"/>
        </w:rPr>
      </w:pPr>
    </w:p>
    <w:sectPr>
      <w:footerReference r:id="rId5" w:type="default"/>
      <w:pgSz w:w="11906" w:h="16838"/>
      <w:pgMar w:top="1440" w:right="1587" w:bottom="1440" w:left="1587" w:header="851" w:footer="992" w:gutter="0"/>
      <w:pgNumType w:fmt="decimal" w:start="36"/>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910D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9893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A9893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C8"/>
    <w:rsid w:val="00103BC8"/>
    <w:rsid w:val="00846985"/>
    <w:rsid w:val="00CE1F09"/>
    <w:rsid w:val="041D4F5E"/>
    <w:rsid w:val="0E4B262C"/>
    <w:rsid w:val="1E5F6468"/>
    <w:rsid w:val="1FB1630E"/>
    <w:rsid w:val="2459009D"/>
    <w:rsid w:val="3E6E0B6F"/>
    <w:rsid w:val="4047034E"/>
    <w:rsid w:val="40F52520"/>
    <w:rsid w:val="7AB45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18"/>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9"/>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0"/>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1"/>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2"/>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3"/>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szCs w:val="24"/>
      <w14:ligatures w14:val="standardContextual"/>
    </w:rPr>
  </w:style>
  <w:style w:type="paragraph" w:styleId="8">
    <w:name w:val="heading 7"/>
    <w:basedOn w:val="1"/>
    <w:next w:val="1"/>
    <w:link w:val="24"/>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5"/>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6"/>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Normal (Web)"/>
    <w:basedOn w:val="1"/>
    <w:qFormat/>
    <w:uiPriority w:val="99"/>
    <w:rPr>
      <w:rFonts w:ascii="Times New Roman" w:hAnsi="Times New Roman"/>
      <w:sz w:val="24"/>
      <w:szCs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line="278" w:lineRule="auto"/>
      <w:jc w:val="center"/>
    </w:pPr>
    <w:rPr>
      <w:rFonts w:asciiTheme="minorHAnsi" w:hAnsiTheme="minorHAnsi" w:eastAsiaTheme="minorEastAsia" w:cstheme="minorBidi"/>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szCs w:val="24"/>
      <w14:ligatures w14:val="standardContextual"/>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834</Words>
  <Characters>848</Characters>
  <Lines>5</Lines>
  <Paragraphs>1</Paragraphs>
  <TotalTime>18</TotalTime>
  <ScaleCrop>false</ScaleCrop>
  <LinksUpToDate>false</LinksUpToDate>
  <CharactersWithSpaces>848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2024-03-11T01:37:00Z</dcterms:created>
  <dc:creator>echo zhang</dc:creator>
  <cp:lastModifiedBy>微信用户</cp:lastModifiedBy>
  <dcterms:modified xsi:type="dcterms:W3CDTF">2025-10-21T03:10:43Z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eyJoZGlkIjoiZTY1MTE2YjE1OWI4MWUzMTBkZTBmYjMwODJkYmI1NTQiLCJ1c2VySWQiOiIxMzUwMTA2OTk0In0=</vt:lpwstr>
  </property>
  <property fmtid="{D5CDD505-2E9C-101B-9397-08002B2CF9AE}" pid="3" name="KSOProductBuildVer">
    <vt:lpwstr>2052-12.1.0.23125</vt:lpwstr>
  </property>
  <property fmtid="{D5CDD505-2E9C-101B-9397-08002B2CF9AE}" pid="4" name="ICV">
    <vt:lpwstr>E3701AFAB62C49FCABE018CBC9A1564B_12</vt:lpwstr>
  </property>
</Properties>
</file>