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1"/>
        <w:keepNext/>
        <w:keepLines/>
        <w:spacing w:before="0" w:after="0"/>
        <w:jc w:val="distribute"/>
        <w:rPr>
          <w:rFonts w:ascii="方正小标宋简体" w:eastAsia="方正小标宋简体" w:hAnsiTheme="majorEastAsia"/>
          <w:spacing w:val="12"/>
          <w:sz w:val="70"/>
          <w:szCs w:val="70"/>
          <w:lang w:eastAsia="zh-CN"/>
        </w:rPr>
      </w:pPr>
      <w:bookmarkStart w:id="0" w:name="bookmark0"/>
      <w:bookmarkStart w:id="1" w:name="bookmark2"/>
      <w:bookmarkStart w:id="2" w:name="bookmark1"/>
      <w:r>
        <w:rPr>
          <w:rFonts w:ascii="方正小标宋简体" w:eastAsia="方正小标宋简体" w:hAnsiTheme="majorEastAsia" w:hint="eastAsia"/>
          <w:spacing w:val="12"/>
          <w:sz w:val="70"/>
          <w:szCs w:val="70"/>
        </w:rPr>
        <w:t>海安</w:t>
      </w:r>
      <w:r>
        <w:rPr>
          <w:rFonts w:ascii="方正小标宋简体" w:eastAsia="方正小标宋简体" w:hAnsiTheme="majorEastAsia" w:hint="eastAsia"/>
          <w:spacing w:val="12"/>
          <w:sz w:val="70"/>
          <w:szCs w:val="70"/>
          <w:lang w:eastAsia="zh-CN"/>
        </w:rPr>
        <w:t>市</w:t>
      </w:r>
      <w:r>
        <w:rPr>
          <w:rFonts w:ascii="方正小标宋简体" w:eastAsia="方正小标宋简体" w:hAnsiTheme="majorEastAsia" w:hint="eastAsia"/>
          <w:spacing w:val="12"/>
          <w:sz w:val="70"/>
          <w:szCs w:val="70"/>
        </w:rPr>
        <w:t>财政局</w:t>
      </w:r>
      <w:bookmarkEnd w:id="0"/>
      <w:bookmarkEnd w:id="1"/>
      <w:bookmarkEnd w:id="2"/>
    </w:p>
    <w:p>
      <w:pPr>
        <w:pStyle w:val="Heading11"/>
        <w:keepNext/>
        <w:keepLines/>
        <w:spacing w:before="0" w:after="0"/>
        <w:jc w:val="distribute"/>
        <w:rPr>
          <w:rFonts w:ascii="方正小标宋简体" w:eastAsia="方正小标宋简体" w:hAnsiTheme="majorEastAsia"/>
          <w:spacing w:val="20"/>
          <w:sz w:val="70"/>
          <w:szCs w:val="70"/>
          <w:lang w:eastAsia="zh-CN"/>
        </w:rPr>
      </w:pPr>
      <w:r>
        <w:rPr>
          <w:rFonts w:ascii="方正小标宋简体" w:eastAsia="方正小标宋简体" w:hAnsiTheme="majorEastAsia" w:hint="eastAsia"/>
          <w:spacing w:val="20"/>
          <w:sz w:val="70"/>
          <w:szCs w:val="70"/>
          <w:lang w:eastAsia="zh-CN"/>
        </w:rPr>
        <w:t>海安市粮食和物资储备局</w:t>
      </w:r>
    </w:p>
    <w:p>
      <w:pPr>
        <w:pStyle w:val="Bodytext1"/>
        <w:spacing w:after="1180" w:line="240" w:lineRule="auto"/>
        <w:ind w:firstLine="0"/>
        <w:jc w:val="center"/>
        <w:rPr>
          <w:rFonts w:ascii="仿宋_GB2312" w:eastAsia="仿宋_GB2312" w:hAnsi="Times New Roman" w:cs="Times New Roman" w:hint="eastAsia"/>
          <w:snapToGrid w:val="0"/>
          <w:color w:val="auto"/>
          <w:sz w:val="32"/>
          <w:szCs w:val="20"/>
          <w:lang w:val="en-US" w:eastAsia="zh-CN" w:bidi="ar-SA"/>
        </w:rPr>
      </w:pPr>
      <w:r>
        <w:rPr>
          <w:rFonts w:ascii="仿宋_GB2312" w:eastAsia="仿宋_GB2312" w:hAnsi="Times New Roman" w:cs="Times New Roman" w:hint="eastAsia"/>
          <w:snapToGrid w:val="0"/>
          <w:color w:val="auto"/>
          <w:sz w:val="32"/>
          <w:szCs w:val="20"/>
          <w:lang w:val="en-US" w:eastAsia="zh-CN" w:bidi="ar-SA"/>
        </w:rPr>
        <w:pict>
          <v:line id="_x0000_s1026" style="position:absolute;left:0;text-align:left;z-index:251660288" from="1.45pt,43.4pt" to="422pt,43.4pt" o:gfxdata="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YRBitcAAAAHAQAADwAAAAAA&#10;AAABACAAAAAiAAAAZHJzL2Rvd25yZXYueG1sUEsBAhQAFAAAAAgAh07iQDrJnBPbAQAAcAMAAA4A&#10;AAAAAAAAAQAgAAAAJgEAAGRycy9lMm9Eb2MueG1sUEsFBgAAAAAGAAYAWQEAAHMFAAAAAA==&#10;" strokecolor="red" strokeweight="2.25pt">
            <v:stroke joinstyle="miter"/>
          </v:line>
        </w:pict>
      </w:r>
      <w:r>
        <w:rPr>
          <w:rFonts w:ascii="仿宋_GB2312" w:eastAsia="仿宋_GB2312" w:hAnsi="Times New Roman" w:cs="Times New Roman" w:hint="eastAsia"/>
          <w:snapToGrid w:val="0"/>
          <w:color w:val="auto"/>
          <w:sz w:val="32"/>
          <w:szCs w:val="20"/>
          <w:lang w:val="en-US" w:eastAsia="zh-CN" w:bidi="ar-SA"/>
        </w:rPr>
        <w:t>海财企〔2022〕5号</w:t>
      </w:r>
    </w:p>
    <w:p>
      <w:pPr>
        <w:spacing w:line="640" w:lineRule="exact"/>
        <w:jc w:val="center"/>
        <w:rPr>
          <w:rFonts w:ascii="方正小标宋_GBK" w:eastAsia="方正小标宋_GBK" w:hAnsi="Times New Roman" w:cs="Times New Roman"/>
          <w:sz w:val="44"/>
          <w:szCs w:val="44"/>
        </w:rPr>
      </w:pPr>
      <w:bookmarkStart w:id="3" w:name="bookmark4"/>
      <w:bookmarkStart w:id="4" w:name="bookmark5"/>
      <w:bookmarkStart w:id="5" w:name="bookmark3"/>
      <w:r>
        <w:rPr>
          <w:rFonts w:ascii="方正小标宋_GBK" w:eastAsia="方正小标宋_GBK" w:hAnsi="Times New Roman" w:cs="Times New Roman" w:hint="eastAsia"/>
          <w:sz w:val="44"/>
          <w:szCs w:val="44"/>
        </w:rPr>
        <w:t>关于印发海安市地方储备粮专项资金      管理办法的通知</w:t>
      </w:r>
      <w:bookmarkEnd w:id="3"/>
      <w:bookmarkEnd w:id="4"/>
      <w:bookmarkEnd w:id="5"/>
    </w:p>
    <w:p>
      <w:pPr>
        <w:spacing w:line="640" w:lineRule="exact"/>
        <w:jc w:val="center"/>
        <w:rPr>
          <w:rFonts w:ascii="方正小标宋_GBK" w:eastAsia="方正小标宋_GBK" w:hAnsi="Times New Roman" w:cs="Times New Roman"/>
          <w:sz w:val="44"/>
          <w:szCs w:val="44"/>
        </w:rPr>
      </w:pPr>
    </w:p>
    <w:p>
      <w:pPr>
        <w:pStyle w:val="Bodytext1"/>
        <w:spacing w:line="559" w:lineRule="exact"/>
        <w:ind w:firstLine="0"/>
        <w:rPr>
          <w:rFonts w:ascii="仿宋_GB2312" w:eastAsia="仿宋_GB2312" w:hAnsi="方正仿宋_GBK" w:cs="Times New Roman"/>
          <w:color w:val="auto"/>
          <w:kern w:val="2"/>
          <w:sz w:val="32"/>
          <w:szCs w:val="32"/>
          <w:lang w:val="en-US" w:eastAsia="zh-CN" w:bidi="ar-SA"/>
        </w:rPr>
      </w:pPr>
      <w:r>
        <w:rPr>
          <w:rFonts w:ascii="仿宋_GB2312" w:eastAsia="仿宋_GB2312" w:hAnsi="方正仿宋_GBK" w:cs="Times New Roman" w:hint="eastAsia"/>
          <w:color w:val="auto"/>
          <w:kern w:val="2"/>
          <w:sz w:val="32"/>
          <w:szCs w:val="32"/>
          <w:lang w:val="en-US" w:eastAsia="zh-CN" w:bidi="ar-SA"/>
        </w:rPr>
        <w:t>各有关单位：</w:t>
      </w:r>
    </w:p>
    <w:p>
      <w:pPr>
        <w:pStyle w:val="Bodytext1"/>
        <w:spacing w:line="559" w:lineRule="exact"/>
        <w:ind w:firstLine="640"/>
        <w:jc w:val="both"/>
        <w:rPr>
          <w:rFonts w:ascii="仿宋_GB2312" w:eastAsia="仿宋_GB2312" w:hAnsi="方正仿宋_GBK" w:cs="Times New Roman"/>
          <w:color w:val="auto"/>
          <w:kern w:val="2"/>
          <w:sz w:val="32"/>
          <w:szCs w:val="32"/>
          <w:lang w:val="en-US" w:eastAsia="zh-CN" w:bidi="ar-SA"/>
        </w:rPr>
      </w:pPr>
      <w:r>
        <w:rPr>
          <w:rFonts w:ascii="仿宋_GB2312" w:eastAsia="仿宋_GB2312" w:hAnsi="方正仿宋_GBK" w:cs="Times New Roman" w:hint="eastAsia"/>
          <w:color w:val="auto"/>
          <w:kern w:val="2"/>
          <w:sz w:val="32"/>
          <w:szCs w:val="32"/>
          <w:lang w:val="en-US" w:eastAsia="zh-CN" w:bidi="ar-SA"/>
        </w:rPr>
        <w:t>为加强地方储备粮专项资金的管理，根据《市政府关于印发海安市市级财政专项资金管理办法的通知》（海政办发 〔2021〕114号）、《海安市地方储备粮体制机制改革实施方案》（海发改〔2021〕117号）等文件规定，我们研究制定了《海安市地方储备粮专项资金管理办法》，现印发给你们，请遵照执行。</w:t>
      </w:r>
    </w:p>
    <w:p>
      <w:pPr>
        <w:pStyle w:val="Bodytext1"/>
        <w:spacing w:line="559" w:lineRule="exact"/>
        <w:ind w:firstLine="640"/>
        <w:jc w:val="both"/>
        <w:rPr>
          <w:rFonts w:ascii="仿宋_GB2312" w:eastAsia="仿宋_GB2312" w:hAnsi="方正仿宋_GBK" w:cs="Times New Roman"/>
          <w:color w:val="auto"/>
          <w:kern w:val="2"/>
          <w:sz w:val="32"/>
          <w:szCs w:val="32"/>
          <w:lang w:val="en-US" w:eastAsia="zh-CN" w:bidi="ar-SA"/>
        </w:rPr>
      </w:pPr>
      <w:r>
        <w:rPr>
          <w:rFonts w:ascii="仿宋_GB2312" w:eastAsia="仿宋_GB2312" w:hAnsi="方正仿宋_GBK" w:cs="Times New Roman" w:hint="eastAsia"/>
          <w:color w:val="auto"/>
          <w:kern w:val="2"/>
          <w:sz w:val="32"/>
          <w:szCs w:val="32"/>
          <w:lang w:val="en-US" w:eastAsia="zh-CN" w:bidi="ar-SA"/>
        </w:rPr>
        <w:t>附件：海安市地方储备粮专项资金管理办法</w:t>
      </w:r>
    </w:p>
    <w:p>
      <w:pPr>
        <w:pStyle w:val="Bodytext1"/>
        <w:spacing w:line="559" w:lineRule="exact"/>
        <w:ind w:firstLine="640"/>
        <w:jc w:val="both"/>
        <w:rPr>
          <w:rFonts w:ascii="仿宋_GB2312" w:eastAsia="仿宋_GB2312" w:hAnsi="方正仿宋_GBK" w:cs="Times New Roman"/>
          <w:color w:val="auto"/>
          <w:kern w:val="2"/>
          <w:sz w:val="32"/>
          <w:szCs w:val="32"/>
          <w:lang w:val="en-US" w:eastAsia="zh-CN" w:bidi="ar-SA"/>
        </w:rPr>
      </w:pPr>
    </w:p>
    <w:p>
      <w:pPr>
        <w:pStyle w:val="Bodytext1"/>
        <w:spacing w:line="559" w:lineRule="exact"/>
        <w:ind w:firstLine="0"/>
        <w:jc w:val="both"/>
        <w:rPr>
          <w:rFonts w:ascii="仿宋_GB2312" w:eastAsia="仿宋_GB2312" w:hAnsi="方正仿宋_GBK" w:cs="Times New Roman"/>
          <w:color w:val="auto"/>
          <w:kern w:val="2"/>
          <w:sz w:val="32"/>
          <w:szCs w:val="32"/>
          <w:lang w:val="en-US" w:eastAsia="zh-CN" w:bidi="ar-SA"/>
        </w:rPr>
      </w:pPr>
    </w:p>
    <w:p>
      <w:pPr>
        <w:pStyle w:val="Bodytext1"/>
        <w:spacing w:line="559" w:lineRule="exact"/>
        <w:ind w:firstLineChars="200" w:firstLine="640"/>
        <w:jc w:val="both"/>
        <w:rPr>
          <w:rFonts w:ascii="仿宋_GB2312" w:eastAsia="仿宋_GB2312" w:hAnsi="方正仿宋_GBK" w:cs="Times New Roman"/>
          <w:color w:val="auto"/>
          <w:kern w:val="2"/>
          <w:sz w:val="32"/>
          <w:szCs w:val="32"/>
          <w:lang w:val="en-US" w:eastAsia="zh-CN" w:bidi="ar-SA"/>
        </w:rPr>
      </w:pPr>
      <w:r>
        <w:rPr>
          <w:rFonts w:ascii="仿宋_GB2312" w:eastAsia="仿宋_GB2312" w:hAnsi="方正仿宋_GBK" w:cs="Times New Roman" w:hint="eastAsia"/>
          <w:color w:val="auto"/>
          <w:kern w:val="2"/>
          <w:sz w:val="32"/>
          <w:szCs w:val="32"/>
          <w:lang w:val="en-US" w:eastAsia="zh-CN" w:bidi="ar-SA"/>
        </w:rPr>
        <w:t xml:space="preserve">海安市财政局            海安市粮食和物资储备局 </w:t>
      </w:r>
    </w:p>
    <w:p>
      <w:pPr>
        <w:pStyle w:val="Bodytext1"/>
        <w:spacing w:line="559" w:lineRule="exact"/>
        <w:ind w:firstLine="0"/>
        <w:jc w:val="both"/>
        <w:rPr>
          <w:rFonts w:ascii="仿宋_GB2312" w:eastAsia="仿宋_GB2312" w:hAnsi="方正仿宋_GBK" w:cs="Times New Roman"/>
          <w:color w:val="auto"/>
          <w:kern w:val="2"/>
          <w:sz w:val="32"/>
          <w:szCs w:val="32"/>
          <w:lang w:val="en-US" w:eastAsia="zh-CN" w:bidi="ar-SA"/>
        </w:rPr>
      </w:pPr>
    </w:p>
    <w:p>
      <w:pPr>
        <w:pStyle w:val="Bodytext1"/>
        <w:spacing w:line="559" w:lineRule="exact"/>
        <w:ind w:firstLine="0"/>
        <w:jc w:val="both"/>
        <w:rPr>
          <w:rFonts w:ascii="仿宋_GB2312" w:eastAsia="仿宋_GB2312" w:hAnsi="方正仿宋_GBK" w:cs="Times New Roman"/>
          <w:color w:val="auto"/>
          <w:kern w:val="2"/>
          <w:sz w:val="32"/>
          <w:szCs w:val="32"/>
          <w:lang w:val="en-US" w:eastAsia="zh-CN" w:bidi="ar-SA"/>
        </w:rPr>
      </w:pPr>
      <w:r>
        <w:rPr>
          <w:rFonts w:ascii="仿宋_GB2312" w:eastAsia="仿宋_GB2312" w:hAnsi="方正仿宋_GBK" w:cs="Times New Roman" w:hint="eastAsia"/>
          <w:color w:val="auto"/>
          <w:kern w:val="2"/>
          <w:sz w:val="32"/>
          <w:szCs w:val="32"/>
          <w:lang w:val="en-US" w:eastAsia="zh-CN" w:bidi="ar-SA"/>
        </w:rPr>
        <w:t xml:space="preserve">                                 2022年8月29日 </w:t>
      </w:r>
    </w:p>
    <w:p>
      <w:pPr>
        <w:pStyle w:val="Bodytext1"/>
        <w:spacing w:after="100" w:line="563" w:lineRule="exact"/>
        <w:ind w:firstLine="0"/>
        <w:jc w:val="both"/>
        <w:rPr>
          <w:rFonts w:ascii="仿宋_GB2312" w:eastAsia="仿宋_GB2312" w:hAnsi="方正仿宋_GBK" w:cs="Times New Roman"/>
          <w:color w:val="auto"/>
          <w:kern w:val="2"/>
          <w:sz w:val="32"/>
          <w:szCs w:val="32"/>
          <w:lang w:val="en-US" w:eastAsia="zh-CN" w:bidi="ar-SA"/>
        </w:rPr>
      </w:pPr>
    </w:p>
    <w:p>
      <w:pPr>
        <w:pStyle w:val="Bodytext1"/>
        <w:spacing w:after="100" w:line="563" w:lineRule="exact"/>
        <w:ind w:firstLine="0"/>
        <w:jc w:val="both"/>
        <w:rPr>
          <w:rFonts w:ascii="仿宋_GB2312" w:eastAsia="仿宋_GB2312" w:hAnsi="方正仿宋_GBK" w:cs="Times New Roman"/>
          <w:color w:val="auto"/>
          <w:kern w:val="2"/>
          <w:sz w:val="32"/>
          <w:szCs w:val="32"/>
          <w:lang w:val="en-US" w:eastAsia="zh-CN" w:bidi="ar-SA"/>
        </w:rPr>
      </w:pPr>
      <w:r>
        <w:rPr>
          <w:rFonts w:ascii="仿宋_GB2312" w:eastAsia="仿宋_GB2312" w:hAnsi="方正仿宋_GBK" w:cs="Times New Roman" w:hint="eastAsia"/>
          <w:color w:val="auto"/>
          <w:kern w:val="2"/>
          <w:sz w:val="32"/>
          <w:szCs w:val="32"/>
          <w:lang w:val="en-US" w:eastAsia="zh-CN" w:bidi="ar-SA"/>
        </w:rPr>
        <w:t>附件</w:t>
      </w:r>
    </w:p>
    <w:p>
      <w:pPr>
        <w:spacing w:line="560" w:lineRule="exact"/>
        <w:jc w:val="center"/>
        <w:rPr>
          <w:rFonts w:ascii="方正小标宋_GBK" w:eastAsia="方正小标宋_GBK" w:hAnsi="Times New Roman" w:cs="Times New Roman"/>
          <w:sz w:val="44"/>
          <w:szCs w:val="44"/>
        </w:rPr>
      </w:pPr>
      <w:bookmarkStart w:id="6" w:name="bookmark6"/>
      <w:bookmarkStart w:id="7" w:name="bookmark7"/>
      <w:bookmarkStart w:id="8" w:name="bookmark8"/>
      <w:r>
        <w:rPr>
          <w:rFonts w:ascii="方正小标宋_GBK" w:eastAsia="方正小标宋_GBK" w:hAnsi="Times New Roman" w:cs="Times New Roman" w:hint="eastAsia"/>
          <w:sz w:val="44"/>
          <w:szCs w:val="44"/>
        </w:rPr>
        <w:t>海安市地方储备粮专项资金管理办法</w:t>
      </w:r>
      <w:bookmarkEnd w:id="6"/>
      <w:bookmarkEnd w:id="7"/>
      <w:bookmarkEnd w:id="8"/>
    </w:p>
    <w:p>
      <w:pPr>
        <w:spacing w:line="560" w:lineRule="exact"/>
        <w:jc w:val="center"/>
        <w:rPr>
          <w:rFonts w:ascii="方正小标宋_GBK" w:eastAsia="方正小标宋_GBK" w:hAnsi="Times New Roman" w:cs="Times New Roman"/>
          <w:sz w:val="44"/>
          <w:szCs w:val="44"/>
        </w:rPr>
      </w:pPr>
    </w:p>
    <w:p>
      <w:pPr>
        <w:pStyle w:val="Bodytext1"/>
        <w:snapToGrid w:val="0"/>
        <w:spacing w:line="550" w:lineRule="exact"/>
        <w:ind w:firstLine="0"/>
        <w:jc w:val="center"/>
        <w:rPr>
          <w:rFonts w:ascii="黑体" w:eastAsia="黑体" w:hAnsi="黑体" w:cs="黑体"/>
          <w:color w:val="auto"/>
          <w:sz w:val="32"/>
          <w:szCs w:val="32"/>
        </w:rPr>
      </w:pPr>
      <w:r>
        <w:rPr>
          <w:rFonts w:ascii="黑体" w:eastAsia="黑体" w:hAnsi="黑体" w:cs="黑体" w:hint="eastAsia"/>
          <w:color w:val="auto"/>
          <w:sz w:val="32"/>
          <w:szCs w:val="32"/>
        </w:rPr>
        <w:t>第一章</w:t>
      </w:r>
      <w:r>
        <w:rPr>
          <w:rFonts w:ascii="黑体" w:eastAsia="黑体" w:hAnsi="黑体" w:cs="黑体" w:hint="eastAsia"/>
          <w:color w:val="auto"/>
          <w:sz w:val="32"/>
          <w:szCs w:val="32"/>
          <w:lang w:eastAsia="zh-CN"/>
        </w:rPr>
        <w:t xml:space="preserve"> </w:t>
      </w:r>
      <w:r>
        <w:rPr>
          <w:rFonts w:ascii="黑体" w:eastAsia="黑体" w:hAnsi="黑体" w:cs="黑体" w:hint="eastAsia"/>
          <w:color w:val="auto"/>
          <w:sz w:val="32"/>
          <w:szCs w:val="32"/>
        </w:rPr>
        <w:t>总</w:t>
      </w:r>
      <w:r>
        <w:rPr>
          <w:rFonts w:ascii="黑体" w:eastAsia="黑体" w:hAnsi="黑体" w:cs="黑体" w:hint="eastAsia"/>
          <w:color w:val="auto"/>
          <w:sz w:val="32"/>
          <w:szCs w:val="32"/>
          <w:lang w:val="en-US" w:eastAsia="zh-CN"/>
        </w:rPr>
        <w:t xml:space="preserve"> </w:t>
      </w:r>
      <w:r>
        <w:rPr>
          <w:rFonts w:ascii="黑体" w:eastAsia="黑体" w:hAnsi="黑体" w:cs="黑体" w:hint="eastAsia"/>
          <w:color w:val="auto"/>
          <w:sz w:val="32"/>
          <w:szCs w:val="32"/>
        </w:rPr>
        <w:t>则</w:t>
      </w:r>
    </w:p>
    <w:p>
      <w:pPr>
        <w:pStyle w:val="Bodytext1"/>
        <w:snapToGrid w:val="0"/>
        <w:spacing w:line="550" w:lineRule="exact"/>
        <w:ind w:firstLine="660"/>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第一条</w:t>
      </w:r>
      <w:r>
        <w:rPr>
          <w:rFonts w:ascii="仿宋_GB2312" w:eastAsia="仿宋_GB2312" w:hAnsi="仿宋_GB2312" w:cs="仿宋_GB2312" w:hint="eastAsia"/>
          <w:color w:val="auto"/>
          <w:sz w:val="32"/>
          <w:szCs w:val="32"/>
        </w:rPr>
        <w:t xml:space="preserve"> 为加强地方储备</w:t>
      </w:r>
      <w:r>
        <w:rPr>
          <w:rFonts w:ascii="仿宋_GB2312" w:eastAsia="仿宋_GB2312" w:hAnsi="仿宋_GB2312" w:cs="仿宋_GB2312" w:hint="eastAsia"/>
          <w:color w:val="auto"/>
          <w:sz w:val="32"/>
          <w:szCs w:val="32"/>
          <w:lang w:eastAsia="zh-CN"/>
        </w:rPr>
        <w:t>粮</w:t>
      </w:r>
      <w:r>
        <w:rPr>
          <w:rFonts w:ascii="仿宋_GB2312" w:eastAsia="仿宋_GB2312" w:hAnsi="仿宋_GB2312" w:cs="仿宋_GB2312" w:hint="eastAsia"/>
          <w:color w:val="auto"/>
          <w:sz w:val="32"/>
          <w:szCs w:val="32"/>
        </w:rPr>
        <w:t>专项</w:t>
      </w:r>
      <w:r>
        <w:rPr>
          <w:rFonts w:ascii="仿宋_GB2312" w:eastAsia="仿宋_GB2312" w:hAnsi="仿宋_GB2312" w:cs="仿宋_GB2312" w:hint="eastAsia"/>
          <w:color w:val="auto"/>
          <w:sz w:val="32"/>
          <w:szCs w:val="32"/>
          <w:lang w:eastAsia="zh-CN"/>
        </w:rPr>
        <w:t>资金</w:t>
      </w:r>
      <w:r>
        <w:rPr>
          <w:rFonts w:ascii="仿宋_GB2312" w:eastAsia="仿宋_GB2312" w:hAnsi="仿宋_GB2312" w:cs="仿宋_GB2312" w:hint="eastAsia"/>
          <w:color w:val="auto"/>
          <w:sz w:val="32"/>
          <w:szCs w:val="32"/>
        </w:rPr>
        <w:t>的管理，</w:t>
      </w:r>
      <w:r>
        <w:rPr>
          <w:rFonts w:ascii="仿宋_GB2312" w:eastAsia="仿宋_GB2312" w:hAnsi="仿宋_GB2312" w:cs="仿宋_GB2312" w:hint="eastAsia"/>
          <w:color w:val="auto"/>
          <w:sz w:val="32"/>
          <w:szCs w:val="32"/>
          <w:lang w:eastAsia="zh-CN"/>
        </w:rPr>
        <w:t>提高财政资金使用绩效，</w:t>
      </w:r>
      <w:r>
        <w:rPr>
          <w:rFonts w:ascii="仿宋_GB2312" w:eastAsia="仿宋_GB2312" w:hAnsi="仿宋_GB2312" w:cs="仿宋_GB2312" w:hint="eastAsia"/>
          <w:color w:val="auto"/>
          <w:sz w:val="32"/>
          <w:szCs w:val="32"/>
        </w:rPr>
        <w:t>根据《</w:t>
      </w:r>
      <w:r>
        <w:rPr>
          <w:rFonts w:ascii="仿宋_GB2312" w:eastAsia="仿宋_GB2312" w:hAnsi="仿宋_GB2312" w:cs="仿宋_GB2312" w:hint="eastAsia"/>
          <w:color w:val="auto"/>
          <w:sz w:val="32"/>
          <w:szCs w:val="32"/>
          <w:lang w:eastAsia="zh-CN"/>
        </w:rPr>
        <w:t>市</w:t>
      </w:r>
      <w:r>
        <w:rPr>
          <w:rFonts w:ascii="仿宋_GB2312" w:eastAsia="仿宋_GB2312" w:hAnsi="仿宋_GB2312" w:cs="仿宋_GB2312" w:hint="eastAsia"/>
          <w:color w:val="auto"/>
          <w:sz w:val="32"/>
          <w:szCs w:val="32"/>
        </w:rPr>
        <w:t>政府</w:t>
      </w:r>
      <w:r>
        <w:rPr>
          <w:rFonts w:ascii="仿宋_GB2312" w:eastAsia="仿宋_GB2312" w:hAnsi="仿宋_GB2312" w:cs="仿宋_GB2312" w:hint="eastAsia"/>
          <w:color w:val="auto"/>
          <w:sz w:val="32"/>
          <w:szCs w:val="32"/>
          <w:lang w:eastAsia="zh-CN"/>
        </w:rPr>
        <w:t>关于</w:t>
      </w:r>
      <w:r>
        <w:rPr>
          <w:rFonts w:ascii="仿宋_GB2312" w:eastAsia="仿宋_GB2312" w:hAnsi="仿宋_GB2312" w:cs="仿宋_GB2312" w:hint="eastAsia"/>
          <w:color w:val="auto"/>
          <w:sz w:val="32"/>
          <w:szCs w:val="32"/>
        </w:rPr>
        <w:t>印发海安</w:t>
      </w:r>
      <w:r>
        <w:rPr>
          <w:rFonts w:ascii="仿宋_GB2312" w:eastAsia="仿宋_GB2312" w:hAnsi="仿宋_GB2312" w:cs="仿宋_GB2312" w:hint="eastAsia"/>
          <w:color w:val="auto"/>
          <w:sz w:val="32"/>
          <w:szCs w:val="32"/>
          <w:lang w:eastAsia="zh-CN"/>
        </w:rPr>
        <w:t>市市</w:t>
      </w:r>
      <w:r>
        <w:rPr>
          <w:rFonts w:ascii="仿宋_GB2312" w:eastAsia="仿宋_GB2312" w:hAnsi="仿宋_GB2312" w:cs="仿宋_GB2312" w:hint="eastAsia"/>
          <w:color w:val="auto"/>
          <w:sz w:val="32"/>
          <w:szCs w:val="32"/>
        </w:rPr>
        <w:t>级财政专项资金管理办法的通知》（海政办发〔20</w:t>
      </w:r>
      <w:r>
        <w:rPr>
          <w:rFonts w:ascii="仿宋_GB2312" w:eastAsia="仿宋_GB2312" w:hAnsi="仿宋_GB2312" w:cs="仿宋_GB2312" w:hint="eastAsia"/>
          <w:color w:val="auto"/>
          <w:sz w:val="32"/>
          <w:szCs w:val="32"/>
          <w:lang w:val="en-US" w:eastAsia="zh-CN"/>
        </w:rPr>
        <w:t>2</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eastAsia="zh-CN"/>
        </w:rPr>
        <w:t>114</w:t>
      </w:r>
      <w:r>
        <w:rPr>
          <w:rFonts w:ascii="仿宋_GB2312" w:eastAsia="仿宋_GB2312" w:hAnsi="仿宋_GB2312" w:cs="仿宋_GB2312" w:hint="eastAsia"/>
          <w:color w:val="auto"/>
          <w:sz w:val="32"/>
          <w:szCs w:val="32"/>
        </w:rPr>
        <w:t>号）、《</w:t>
      </w:r>
      <w:r>
        <w:rPr>
          <w:rFonts w:ascii="仿宋_GB2312" w:eastAsia="仿宋_GB2312" w:hAnsi="仿宋_GB2312" w:cs="仿宋_GB2312" w:hint="eastAsia"/>
          <w:color w:val="auto"/>
          <w:sz w:val="32"/>
          <w:szCs w:val="32"/>
          <w:lang w:eastAsia="zh-CN"/>
        </w:rPr>
        <w:t>海安市地方储备粮体制机制改革实施方案</w:t>
      </w:r>
      <w:r>
        <w:rPr>
          <w:rFonts w:ascii="仿宋_GB2312" w:eastAsia="仿宋_GB2312" w:hAnsi="仿宋_GB2312" w:cs="仿宋_GB2312" w:hint="eastAsia"/>
          <w:color w:val="auto"/>
          <w:sz w:val="32"/>
          <w:szCs w:val="32"/>
        </w:rPr>
        <w:t>》（海发改〔</w:t>
      </w:r>
      <w:r>
        <w:rPr>
          <w:rFonts w:ascii="仿宋_GB2312" w:eastAsia="仿宋_GB2312" w:hAnsi="仿宋_GB2312" w:cs="仿宋_GB2312" w:hint="eastAsia"/>
          <w:color w:val="auto"/>
          <w:sz w:val="32"/>
          <w:szCs w:val="32"/>
          <w:lang w:val="en-US" w:eastAsia="zh-CN"/>
        </w:rPr>
        <w:t>2021</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lang w:val="en-US" w:eastAsia="zh-CN"/>
        </w:rPr>
        <w:t>117</w:t>
      </w:r>
      <w:r>
        <w:rPr>
          <w:rFonts w:ascii="仿宋_GB2312" w:eastAsia="仿宋_GB2312" w:hAnsi="仿宋_GB2312" w:cs="仿宋_GB2312" w:hint="eastAsia"/>
          <w:color w:val="auto"/>
          <w:sz w:val="32"/>
          <w:szCs w:val="32"/>
        </w:rPr>
        <w:t>号）等</w:t>
      </w:r>
      <w:r>
        <w:rPr>
          <w:rFonts w:ascii="仿宋_GB2312" w:eastAsia="仿宋_GB2312" w:hAnsi="仿宋_GB2312" w:cs="仿宋_GB2312" w:hint="eastAsia"/>
          <w:color w:val="auto"/>
          <w:sz w:val="32"/>
          <w:szCs w:val="32"/>
          <w:lang w:eastAsia="zh-CN"/>
        </w:rPr>
        <w:t>文件规定，制</w:t>
      </w:r>
      <w:r>
        <w:rPr>
          <w:rFonts w:ascii="仿宋_GB2312" w:eastAsia="仿宋_GB2312" w:hAnsi="仿宋_GB2312" w:cs="仿宋_GB2312" w:hint="eastAsia"/>
          <w:color w:val="auto"/>
          <w:sz w:val="32"/>
          <w:szCs w:val="32"/>
        </w:rPr>
        <w:t>定本办法。</w:t>
      </w:r>
    </w:p>
    <w:p>
      <w:pPr>
        <w:pStyle w:val="Bodytext1"/>
        <w:snapToGrid w:val="0"/>
        <w:spacing w:line="550" w:lineRule="exact"/>
        <w:ind w:firstLine="658"/>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第二条</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rPr>
        <w:t>地方储备</w:t>
      </w:r>
      <w:r>
        <w:rPr>
          <w:rFonts w:ascii="仿宋_GB2312" w:eastAsia="仿宋_GB2312" w:hAnsi="仿宋_GB2312" w:cs="仿宋_GB2312" w:hint="eastAsia"/>
          <w:color w:val="auto"/>
          <w:sz w:val="32"/>
          <w:szCs w:val="32"/>
          <w:lang w:eastAsia="zh-CN"/>
        </w:rPr>
        <w:t>粮</w:t>
      </w:r>
      <w:r>
        <w:rPr>
          <w:rFonts w:ascii="仿宋_GB2312" w:eastAsia="仿宋_GB2312" w:hAnsi="仿宋_GB2312" w:cs="仿宋_GB2312" w:hint="eastAsia"/>
          <w:color w:val="auto"/>
          <w:sz w:val="32"/>
          <w:szCs w:val="32"/>
        </w:rPr>
        <w:t>专项</w:t>
      </w:r>
      <w:r>
        <w:rPr>
          <w:rFonts w:ascii="仿宋_GB2312" w:eastAsia="仿宋_GB2312" w:hAnsi="仿宋_GB2312" w:cs="仿宋_GB2312" w:hint="eastAsia"/>
          <w:color w:val="auto"/>
          <w:sz w:val="32"/>
          <w:szCs w:val="32"/>
          <w:lang w:eastAsia="zh-CN"/>
        </w:rPr>
        <w:t>资金是指从市级粮食风险基金中安排，对本级政府储备的原粮（小麦、稻谷等，以下简称“储备粮”）、成品粮（以下称“成品粮储备”）和食用植物油（以下简称“储备食用油”）给予补贴的资金</w:t>
      </w:r>
      <w:r>
        <w:rPr>
          <w:rFonts w:ascii="仿宋_GB2312" w:eastAsia="仿宋_GB2312" w:hAnsi="仿宋_GB2312" w:cs="仿宋_GB2312" w:hint="eastAsia"/>
          <w:color w:val="auto"/>
          <w:sz w:val="32"/>
          <w:szCs w:val="32"/>
        </w:rPr>
        <w:t>，地方储备</w:t>
      </w:r>
      <w:r>
        <w:rPr>
          <w:rFonts w:ascii="仿宋_GB2312" w:eastAsia="仿宋_GB2312" w:hAnsi="仿宋_GB2312" w:cs="仿宋_GB2312" w:hint="eastAsia"/>
          <w:color w:val="auto"/>
          <w:sz w:val="32"/>
          <w:szCs w:val="32"/>
          <w:lang w:eastAsia="zh-CN"/>
        </w:rPr>
        <w:t>粮</w:t>
      </w:r>
      <w:r>
        <w:rPr>
          <w:rFonts w:ascii="仿宋_GB2312" w:eastAsia="仿宋_GB2312" w:hAnsi="仿宋_GB2312" w:cs="仿宋_GB2312" w:hint="eastAsia"/>
          <w:color w:val="auto"/>
          <w:sz w:val="32"/>
          <w:szCs w:val="32"/>
        </w:rPr>
        <w:t>专项</w:t>
      </w:r>
      <w:r>
        <w:rPr>
          <w:rFonts w:ascii="仿宋_GB2312" w:eastAsia="仿宋_GB2312" w:hAnsi="仿宋_GB2312" w:cs="仿宋_GB2312" w:hint="eastAsia"/>
          <w:color w:val="auto"/>
          <w:sz w:val="32"/>
          <w:szCs w:val="32"/>
          <w:lang w:eastAsia="zh-CN"/>
        </w:rPr>
        <w:t>资金来源包括市</w:t>
      </w:r>
      <w:r>
        <w:rPr>
          <w:rFonts w:ascii="仿宋_GB2312" w:eastAsia="仿宋_GB2312" w:hAnsi="仿宋_GB2312" w:cs="仿宋_GB2312" w:hint="eastAsia"/>
          <w:color w:val="auto"/>
          <w:sz w:val="32"/>
          <w:szCs w:val="32"/>
        </w:rPr>
        <w:t>财政预算内安排</w:t>
      </w:r>
      <w:r>
        <w:rPr>
          <w:rFonts w:ascii="仿宋_GB2312" w:eastAsia="仿宋_GB2312" w:hAnsi="仿宋_GB2312" w:cs="仿宋_GB2312" w:hint="eastAsia"/>
          <w:color w:val="auto"/>
          <w:sz w:val="32"/>
          <w:szCs w:val="32"/>
          <w:lang w:eastAsia="zh-CN"/>
        </w:rPr>
        <w:t>、上级财政补助资金</w:t>
      </w:r>
      <w:r>
        <w:rPr>
          <w:rFonts w:ascii="仿宋_GB2312" w:eastAsia="仿宋_GB2312" w:hAnsi="仿宋_GB2312" w:cs="仿宋_GB2312" w:hint="eastAsia"/>
          <w:color w:val="auto"/>
          <w:sz w:val="32"/>
          <w:szCs w:val="32"/>
        </w:rPr>
        <w:t>。</w:t>
      </w:r>
    </w:p>
    <w:p>
      <w:pPr>
        <w:pStyle w:val="Bodytext1"/>
        <w:snapToGrid w:val="0"/>
        <w:spacing w:line="550" w:lineRule="exact"/>
        <w:ind w:firstLine="658"/>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第三条</w:t>
      </w:r>
      <w:r>
        <w:rPr>
          <w:rFonts w:ascii="仿宋_GB2312" w:eastAsia="仿宋_GB2312" w:hAnsi="仿宋_GB2312" w:cs="仿宋_GB2312" w:hint="eastAsia"/>
          <w:color w:val="auto"/>
          <w:sz w:val="32"/>
          <w:szCs w:val="32"/>
        </w:rPr>
        <w:t xml:space="preserve"> 地方储备</w:t>
      </w:r>
      <w:r>
        <w:rPr>
          <w:rFonts w:ascii="仿宋_GB2312" w:eastAsia="仿宋_GB2312" w:hAnsi="仿宋_GB2312" w:cs="仿宋_GB2312" w:hint="eastAsia"/>
          <w:color w:val="auto"/>
          <w:sz w:val="32"/>
          <w:szCs w:val="32"/>
          <w:lang w:eastAsia="zh-CN"/>
        </w:rPr>
        <w:t>粮</w:t>
      </w:r>
      <w:r>
        <w:rPr>
          <w:rFonts w:ascii="仿宋_GB2312" w:eastAsia="仿宋_GB2312" w:hAnsi="仿宋_GB2312" w:cs="仿宋_GB2312" w:hint="eastAsia"/>
          <w:color w:val="auto"/>
          <w:sz w:val="32"/>
          <w:szCs w:val="32"/>
        </w:rPr>
        <w:t>专项</w:t>
      </w:r>
      <w:r>
        <w:rPr>
          <w:rFonts w:ascii="仿宋_GB2312" w:eastAsia="仿宋_GB2312" w:hAnsi="仿宋_GB2312" w:cs="仿宋_GB2312" w:hint="eastAsia"/>
          <w:color w:val="auto"/>
          <w:sz w:val="32"/>
          <w:szCs w:val="32"/>
          <w:lang w:eastAsia="zh-CN"/>
        </w:rPr>
        <w:t>资金</w:t>
      </w:r>
      <w:r>
        <w:rPr>
          <w:rFonts w:ascii="仿宋_GB2312" w:eastAsia="仿宋_GB2312" w:hAnsi="仿宋_GB2312" w:cs="仿宋_GB2312" w:hint="eastAsia"/>
          <w:color w:val="auto"/>
          <w:sz w:val="32"/>
          <w:szCs w:val="32"/>
        </w:rPr>
        <w:t>使用安排坚持公开、公平、公正的原则，根据上级</w:t>
      </w:r>
      <w:r>
        <w:rPr>
          <w:rFonts w:ascii="仿宋_GB2312" w:eastAsia="仿宋_GB2312" w:hAnsi="仿宋_GB2312" w:cs="仿宋_GB2312" w:hint="eastAsia"/>
          <w:color w:val="auto"/>
          <w:sz w:val="32"/>
          <w:szCs w:val="32"/>
          <w:lang w:eastAsia="zh-CN"/>
        </w:rPr>
        <w:t>部门</w:t>
      </w:r>
      <w:r>
        <w:rPr>
          <w:rFonts w:ascii="仿宋_GB2312" w:eastAsia="仿宋_GB2312" w:hAnsi="仿宋_GB2312" w:cs="仿宋_GB2312" w:hint="eastAsia"/>
          <w:color w:val="auto"/>
          <w:sz w:val="32"/>
          <w:szCs w:val="32"/>
        </w:rPr>
        <w:t>核定的地方储备粮的规模和补贴标准</w:t>
      </w:r>
      <w:r>
        <w:rPr>
          <w:rFonts w:ascii="仿宋_GB2312" w:eastAsia="仿宋_GB2312" w:hAnsi="仿宋_GB2312" w:cs="仿宋_GB2312" w:hint="eastAsia"/>
          <w:color w:val="auto"/>
          <w:sz w:val="32"/>
          <w:szCs w:val="32"/>
          <w:lang w:eastAsia="zh-CN"/>
        </w:rPr>
        <w:t>，严格</w:t>
      </w:r>
      <w:r>
        <w:rPr>
          <w:rFonts w:ascii="仿宋_GB2312" w:eastAsia="仿宋_GB2312" w:hAnsi="仿宋_GB2312" w:cs="仿宋_GB2312" w:hint="eastAsia"/>
          <w:color w:val="auto"/>
          <w:sz w:val="32"/>
          <w:szCs w:val="32"/>
        </w:rPr>
        <w:t>程序、规范操作</w:t>
      </w:r>
      <w:r>
        <w:rPr>
          <w:rFonts w:ascii="仿宋_GB2312" w:eastAsia="仿宋_GB2312" w:hAnsi="仿宋_GB2312" w:cs="仿宋_GB2312" w:hint="eastAsia"/>
          <w:color w:val="auto"/>
          <w:sz w:val="32"/>
          <w:szCs w:val="32"/>
          <w:lang w:eastAsia="zh-CN"/>
        </w:rPr>
        <w:t>、讲究绩效</w:t>
      </w:r>
      <w:r>
        <w:rPr>
          <w:rFonts w:ascii="仿宋_GB2312" w:eastAsia="仿宋_GB2312" w:hAnsi="仿宋_GB2312" w:cs="仿宋_GB2312" w:hint="eastAsia"/>
          <w:color w:val="auto"/>
          <w:sz w:val="32"/>
          <w:szCs w:val="32"/>
        </w:rPr>
        <w:t>，确保地方储备粮专项</w:t>
      </w:r>
      <w:r>
        <w:rPr>
          <w:rFonts w:ascii="仿宋_GB2312" w:eastAsia="仿宋_GB2312" w:hAnsi="仿宋_GB2312" w:cs="仿宋_GB2312" w:hint="eastAsia"/>
          <w:color w:val="auto"/>
          <w:sz w:val="32"/>
          <w:szCs w:val="32"/>
          <w:lang w:eastAsia="zh-CN"/>
        </w:rPr>
        <w:t>资金</w:t>
      </w:r>
      <w:r>
        <w:rPr>
          <w:rFonts w:ascii="仿宋_GB2312" w:eastAsia="仿宋_GB2312" w:hAnsi="仿宋_GB2312" w:cs="仿宋_GB2312" w:hint="eastAsia"/>
          <w:color w:val="auto"/>
          <w:sz w:val="32"/>
          <w:szCs w:val="32"/>
        </w:rPr>
        <w:t>的规范、安全和高效使用。</w:t>
      </w:r>
    </w:p>
    <w:p>
      <w:pPr>
        <w:pStyle w:val="Bodytext1"/>
        <w:snapToGrid w:val="0"/>
        <w:spacing w:line="550" w:lineRule="exact"/>
        <w:ind w:firstLine="658"/>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四</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rPr>
        <w:t xml:space="preserve"> 地方储备</w:t>
      </w:r>
      <w:r>
        <w:rPr>
          <w:rFonts w:ascii="仿宋_GB2312" w:eastAsia="仿宋_GB2312" w:hAnsi="仿宋_GB2312" w:cs="仿宋_GB2312" w:hint="eastAsia"/>
          <w:color w:val="auto"/>
          <w:sz w:val="32"/>
          <w:szCs w:val="32"/>
          <w:lang w:eastAsia="zh-CN"/>
        </w:rPr>
        <w:t>粮</w:t>
      </w:r>
      <w:r>
        <w:rPr>
          <w:rFonts w:ascii="仿宋_GB2312" w:eastAsia="仿宋_GB2312" w:hAnsi="仿宋_GB2312" w:cs="仿宋_GB2312" w:hint="eastAsia"/>
          <w:color w:val="auto"/>
          <w:sz w:val="32"/>
          <w:szCs w:val="32"/>
        </w:rPr>
        <w:t>专项</w:t>
      </w:r>
      <w:r>
        <w:rPr>
          <w:rFonts w:ascii="仿宋_GB2312" w:eastAsia="仿宋_GB2312" w:hAnsi="仿宋_GB2312" w:cs="仿宋_GB2312" w:hint="eastAsia"/>
          <w:color w:val="auto"/>
          <w:sz w:val="32"/>
          <w:szCs w:val="32"/>
          <w:lang w:eastAsia="zh-CN"/>
        </w:rPr>
        <w:t>资金由市财政局、市粮食和物资储备局共同管理</w:t>
      </w:r>
      <w:r>
        <w:rPr>
          <w:rFonts w:ascii="仿宋_GB2312" w:eastAsia="仿宋_GB2312" w:hAnsi="仿宋_GB2312" w:cs="仿宋_GB2312" w:hint="eastAsia"/>
          <w:color w:val="auto"/>
          <w:sz w:val="32"/>
          <w:szCs w:val="32"/>
        </w:rPr>
        <w:t>。</w:t>
      </w:r>
    </w:p>
    <w:p>
      <w:pPr>
        <w:pStyle w:val="Bodytext1"/>
        <w:snapToGrid w:val="0"/>
        <w:spacing w:line="550" w:lineRule="exact"/>
        <w:ind w:firstLine="658"/>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市财政局主要负责：制定地方储备粮专项资金管理办法；足额安排专项资金预算，及时审核拨付各项补贴资金；</w:t>
      </w:r>
      <w:r>
        <w:rPr>
          <w:rFonts w:ascii="仿宋_GB2312" w:eastAsia="仿宋_GB2312" w:hAnsi="仿宋_GB2312" w:cs="仿宋_GB2312" w:hint="eastAsia"/>
          <w:color w:val="auto"/>
          <w:sz w:val="32"/>
          <w:szCs w:val="32"/>
          <w:lang w:eastAsia="zh-CN"/>
        </w:rPr>
        <w:lastRenderedPageBreak/>
        <w:t>组织开展专项资金绩效重点评价工作。</w:t>
      </w:r>
    </w:p>
    <w:p>
      <w:pPr>
        <w:pStyle w:val="Bodytext1"/>
        <w:snapToGrid w:val="0"/>
        <w:spacing w:line="550" w:lineRule="exact"/>
        <w:ind w:firstLine="658"/>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市粮食和物资储备局主要负责：严格按照政府核定的规模和结构落实粮油储备任务；配合制定地方储备粮专项资金管理办法；审核确认地方政府粮油储备情况，提出各项补贴资金拨付建议；组织开展补贴资金绩效自评价工作。</w:t>
      </w:r>
    </w:p>
    <w:p>
      <w:pPr>
        <w:pStyle w:val="Bodytext1"/>
        <w:snapToGrid w:val="0"/>
        <w:spacing w:line="550" w:lineRule="exact"/>
        <w:ind w:firstLine="0"/>
        <w:jc w:val="center"/>
        <w:rPr>
          <w:rFonts w:ascii="黑体" w:eastAsia="黑体" w:hAnsi="黑体" w:cs="黑体"/>
          <w:color w:val="auto"/>
          <w:sz w:val="32"/>
          <w:szCs w:val="32"/>
        </w:rPr>
      </w:pPr>
    </w:p>
    <w:p>
      <w:pPr>
        <w:pStyle w:val="Bodytext1"/>
        <w:snapToGrid w:val="0"/>
        <w:spacing w:line="550" w:lineRule="exact"/>
        <w:ind w:firstLine="0"/>
        <w:jc w:val="center"/>
        <w:rPr>
          <w:rFonts w:ascii="黑体" w:eastAsia="黑体" w:hAnsi="黑体" w:cs="黑体"/>
          <w:color w:val="auto"/>
          <w:sz w:val="32"/>
          <w:szCs w:val="32"/>
        </w:rPr>
      </w:pPr>
      <w:r>
        <w:rPr>
          <w:rFonts w:ascii="黑体" w:eastAsia="黑体" w:hAnsi="黑体" w:cs="黑体" w:hint="eastAsia"/>
          <w:color w:val="auto"/>
          <w:sz w:val="32"/>
          <w:szCs w:val="32"/>
        </w:rPr>
        <w:t xml:space="preserve">第二章 </w:t>
      </w:r>
      <w:r>
        <w:rPr>
          <w:rFonts w:ascii="黑体" w:eastAsia="黑体" w:hAnsi="黑体" w:cs="黑体" w:hint="eastAsia"/>
          <w:color w:val="auto"/>
          <w:sz w:val="32"/>
          <w:szCs w:val="32"/>
          <w:lang w:eastAsia="zh-CN"/>
        </w:rPr>
        <w:t>补贴</w:t>
      </w:r>
      <w:r>
        <w:rPr>
          <w:rFonts w:ascii="黑体" w:eastAsia="黑体" w:hAnsi="黑体" w:cs="黑体" w:hint="eastAsia"/>
          <w:color w:val="auto"/>
          <w:sz w:val="32"/>
          <w:szCs w:val="32"/>
        </w:rPr>
        <w:t>范围和条件</w:t>
      </w:r>
    </w:p>
    <w:p>
      <w:pPr>
        <w:pStyle w:val="Bodytext1"/>
        <w:snapToGrid w:val="0"/>
        <w:spacing w:line="550" w:lineRule="exact"/>
        <w:ind w:firstLine="620"/>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五</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lang w:eastAsia="zh-CN"/>
        </w:rPr>
        <w:t xml:space="preserve"> 地方储备粮按照承储企业已落实的储备规模总量，给予保管费用、轮换费用、贷款利息补贴。补贴标准为</w:t>
      </w:r>
      <w:r>
        <w:rPr>
          <w:rFonts w:ascii="仿宋_GB2312" w:eastAsia="仿宋_GB2312" w:hAnsi="仿宋_GB2312" w:cs="仿宋_GB2312" w:hint="eastAsia"/>
          <w:color w:val="auto"/>
          <w:sz w:val="32"/>
          <w:szCs w:val="32"/>
        </w:rPr>
        <w:t>：</w:t>
      </w:r>
    </w:p>
    <w:p>
      <w:pPr>
        <w:pStyle w:val="Bodytext1"/>
        <w:tabs>
          <w:tab w:val="left" w:pos="1310"/>
        </w:tabs>
        <w:snapToGrid w:val="0"/>
        <w:spacing w:line="550" w:lineRule="exact"/>
        <w:ind w:firstLine="620"/>
        <w:jc w:val="both"/>
        <w:rPr>
          <w:rFonts w:ascii="仿宋_GB2312" w:eastAsia="仿宋_GB2312" w:hAnsi="仿宋_GB2312" w:cs="仿宋_GB2312"/>
          <w:color w:val="auto"/>
          <w:sz w:val="32"/>
          <w:szCs w:val="32"/>
          <w:lang w:eastAsia="zh-CN"/>
        </w:rPr>
      </w:pPr>
      <w:bookmarkStart w:id="9" w:name="bookmark9"/>
      <w:r>
        <w:rPr>
          <w:rFonts w:ascii="仿宋_GB2312" w:eastAsia="仿宋_GB2312" w:hAnsi="仿宋_GB2312" w:cs="仿宋_GB2312" w:hint="eastAsia"/>
          <w:color w:val="auto"/>
          <w:sz w:val="32"/>
          <w:szCs w:val="32"/>
        </w:rPr>
        <w:t>（</w:t>
      </w:r>
      <w:bookmarkEnd w:id="9"/>
      <w:r>
        <w:rPr>
          <w:rFonts w:ascii="仿宋_GB2312" w:eastAsia="仿宋_GB2312" w:hAnsi="仿宋_GB2312" w:cs="仿宋_GB2312" w:hint="eastAsia"/>
          <w:color w:val="auto"/>
          <w:sz w:val="32"/>
          <w:szCs w:val="32"/>
        </w:rPr>
        <w:t>一）</w:t>
      </w:r>
      <w:r>
        <w:rPr>
          <w:rFonts w:ascii="仿宋_GB2312" w:eastAsia="仿宋_GB2312" w:hAnsi="仿宋_GB2312" w:cs="仿宋_GB2312" w:hint="eastAsia"/>
          <w:color w:val="auto"/>
          <w:sz w:val="32"/>
          <w:szCs w:val="32"/>
        </w:rPr>
        <w:tab/>
      </w:r>
      <w:r>
        <w:rPr>
          <w:rFonts w:ascii="仿宋_GB2312" w:eastAsia="仿宋_GB2312" w:hAnsi="仿宋_GB2312" w:cs="仿宋_GB2312" w:hint="eastAsia"/>
          <w:color w:val="auto"/>
          <w:sz w:val="32"/>
          <w:szCs w:val="32"/>
          <w:lang w:eastAsia="zh-CN"/>
        </w:rPr>
        <w:t>保管费用：</w:t>
      </w:r>
      <w:r>
        <w:rPr>
          <w:rFonts w:ascii="仿宋_GB2312" w:eastAsia="仿宋_GB2312" w:hAnsi="仿宋_GB2312" w:cs="仿宋_GB2312" w:hint="eastAsia"/>
          <w:color w:val="auto"/>
          <w:sz w:val="32"/>
          <w:szCs w:val="32"/>
          <w:lang w:val="en-US" w:eastAsia="zh-CN"/>
        </w:rPr>
        <w:t>110元</w:t>
      </w:r>
      <w:r>
        <w:rPr>
          <w:rFonts w:ascii="仿宋_GB2312" w:eastAsia="仿宋_GB2312" w:hAnsi="仿宋_GB2312" w:cs="仿宋_GB2312"/>
          <w:color w:val="auto"/>
          <w:sz w:val="32"/>
          <w:szCs w:val="32"/>
          <w:lang w:val="en-US" w:eastAsia="zh-CN"/>
        </w:rPr>
        <w:t>/</w:t>
      </w:r>
      <w:r>
        <w:rPr>
          <w:rFonts w:ascii="仿宋_GB2312" w:eastAsia="仿宋_GB2312" w:hAnsi="仿宋_GB2312" w:cs="仿宋_GB2312" w:hint="eastAsia"/>
          <w:color w:val="auto"/>
          <w:sz w:val="32"/>
          <w:szCs w:val="32"/>
          <w:lang w:val="en-US" w:eastAsia="zh-CN"/>
        </w:rPr>
        <w:t>吨</w:t>
      </w:r>
      <w:r>
        <w:rPr>
          <w:rFonts w:ascii="仿宋_GB2312" w:eastAsia="仿宋_GB2312" w:hAnsi="仿宋_GB2312" w:cs="仿宋_GB2312"/>
          <w:color w:val="auto"/>
          <w:sz w:val="32"/>
          <w:szCs w:val="32"/>
          <w:lang w:val="en-US" w:eastAsia="zh-CN"/>
        </w:rPr>
        <w:t>∙</w:t>
      </w:r>
      <w:r>
        <w:rPr>
          <w:rFonts w:ascii="仿宋_GB2312" w:eastAsia="仿宋_GB2312" w:hAnsi="仿宋_GB2312" w:cs="仿宋_GB2312" w:hint="eastAsia"/>
          <w:color w:val="auto"/>
          <w:sz w:val="32"/>
          <w:szCs w:val="32"/>
          <w:lang w:val="en-US" w:eastAsia="zh-CN"/>
        </w:rPr>
        <w:t>年</w:t>
      </w:r>
      <w:r>
        <w:rPr>
          <w:rFonts w:ascii="仿宋_GB2312" w:eastAsia="仿宋_GB2312" w:hAnsi="仿宋_GB2312" w:cs="仿宋_GB2312" w:hint="eastAsia"/>
          <w:color w:val="auto"/>
          <w:sz w:val="32"/>
          <w:szCs w:val="32"/>
          <w:lang w:eastAsia="zh-CN"/>
        </w:rPr>
        <w:t>；</w:t>
      </w:r>
    </w:p>
    <w:p>
      <w:pPr>
        <w:widowControl/>
        <w:ind w:firstLineChars="200" w:firstLine="640"/>
        <w:jc w:val="left"/>
        <w:rPr>
          <w:rFonts w:ascii="仿宋_GB2312" w:eastAsia="仿宋_GB2312" w:hAnsi="仿宋_GB2312" w:cs="仿宋_GB2312"/>
          <w:kern w:val="0"/>
          <w:sz w:val="32"/>
          <w:szCs w:val="32"/>
          <w:lang w:val="zh-TW" w:bidi="zh-TW"/>
        </w:rPr>
      </w:pPr>
      <w:bookmarkStart w:id="10" w:name="bookmark10"/>
      <w:r>
        <w:rPr>
          <w:rFonts w:ascii="仿宋_GB2312" w:eastAsia="仿宋_GB2312" w:hAnsi="仿宋_GB2312" w:cs="仿宋_GB2312" w:hint="eastAsia"/>
          <w:sz w:val="32"/>
          <w:szCs w:val="32"/>
        </w:rPr>
        <w:t>（</w:t>
      </w:r>
      <w:bookmarkEnd w:id="10"/>
      <w:r>
        <w:rPr>
          <w:rFonts w:ascii="仿宋_GB2312" w:eastAsia="仿宋_GB2312" w:hAnsi="仿宋_GB2312" w:cs="仿宋_GB2312" w:hint="eastAsia"/>
          <w:sz w:val="32"/>
          <w:szCs w:val="32"/>
        </w:rPr>
        <w:t>二） 轮换费用：</w:t>
      </w:r>
      <w:r>
        <w:rPr>
          <w:rFonts w:ascii="仿宋_GB2312" w:eastAsia="仿宋_GB2312" w:hAnsi="仿宋_GB2312" w:cs="仿宋_GB2312" w:hint="eastAsia"/>
          <w:kern w:val="0"/>
          <w:sz w:val="32"/>
          <w:szCs w:val="32"/>
          <w:lang w:bidi="zh-TW"/>
        </w:rPr>
        <w:t>小麦40元</w:t>
      </w:r>
      <w:r>
        <w:rPr>
          <w:rFonts w:ascii="仿宋_GB2312" w:eastAsia="仿宋_GB2312" w:hAnsi="仿宋_GB2312" w:cs="仿宋_GB2312"/>
          <w:kern w:val="0"/>
          <w:sz w:val="32"/>
          <w:szCs w:val="32"/>
          <w:lang w:bidi="zh-TW"/>
        </w:rPr>
        <w:t>/</w:t>
      </w:r>
      <w:r>
        <w:rPr>
          <w:rFonts w:ascii="仿宋_GB2312" w:eastAsia="仿宋_GB2312" w:hAnsi="仿宋_GB2312" w:cs="仿宋_GB2312" w:hint="eastAsia"/>
          <w:kern w:val="0"/>
          <w:sz w:val="32"/>
          <w:szCs w:val="32"/>
          <w:lang w:bidi="zh-TW"/>
        </w:rPr>
        <w:t>吨</w:t>
      </w:r>
      <w:r>
        <w:rPr>
          <w:rFonts w:ascii="仿宋_GB2312" w:eastAsia="仿宋_GB2312" w:hAnsi="仿宋_GB2312" w:cs="仿宋_GB2312"/>
          <w:kern w:val="0"/>
          <w:sz w:val="32"/>
          <w:szCs w:val="32"/>
          <w:lang w:bidi="zh-TW"/>
        </w:rPr>
        <w:t>∙</w:t>
      </w:r>
      <w:r>
        <w:rPr>
          <w:rFonts w:ascii="仿宋_GB2312" w:eastAsia="仿宋_GB2312" w:hAnsi="仿宋_GB2312" w:cs="仿宋_GB2312" w:hint="eastAsia"/>
          <w:kern w:val="0"/>
          <w:sz w:val="32"/>
          <w:szCs w:val="32"/>
          <w:lang w:bidi="zh-TW"/>
        </w:rPr>
        <w:t>年、籼稻</w:t>
      </w:r>
      <w:r>
        <w:rPr>
          <w:rFonts w:ascii="仿宋_GB2312" w:eastAsia="仿宋_GB2312" w:hAnsi="仿宋_GB2312" w:cs="仿宋_GB2312"/>
          <w:kern w:val="0"/>
          <w:sz w:val="32"/>
          <w:szCs w:val="32"/>
          <w:lang w:bidi="zh-TW"/>
        </w:rPr>
        <w:t>60</w:t>
      </w:r>
      <w:r>
        <w:rPr>
          <w:rFonts w:ascii="仿宋_GB2312" w:eastAsia="仿宋_GB2312" w:hAnsi="仿宋_GB2312" w:cs="仿宋_GB2312" w:hint="eastAsia"/>
          <w:kern w:val="0"/>
          <w:sz w:val="32"/>
          <w:szCs w:val="32"/>
          <w:lang w:bidi="zh-TW"/>
        </w:rPr>
        <w:t>元</w:t>
      </w:r>
      <w:r>
        <w:rPr>
          <w:rFonts w:ascii="仿宋_GB2312" w:eastAsia="仿宋_GB2312" w:hAnsi="仿宋_GB2312" w:cs="仿宋_GB2312"/>
          <w:kern w:val="0"/>
          <w:sz w:val="32"/>
          <w:szCs w:val="32"/>
          <w:lang w:bidi="zh-TW"/>
        </w:rPr>
        <w:t>/</w:t>
      </w:r>
      <w:r>
        <w:rPr>
          <w:rFonts w:ascii="仿宋_GB2312" w:eastAsia="仿宋_GB2312" w:hAnsi="仿宋_GB2312" w:cs="仿宋_GB2312" w:hint="eastAsia"/>
          <w:kern w:val="0"/>
          <w:sz w:val="32"/>
          <w:szCs w:val="32"/>
          <w:lang w:bidi="zh-TW"/>
        </w:rPr>
        <w:t>吨</w:t>
      </w:r>
      <w:r>
        <w:rPr>
          <w:rFonts w:ascii="仿宋_GB2312" w:eastAsia="仿宋_GB2312" w:hAnsi="仿宋_GB2312" w:cs="仿宋_GB2312"/>
          <w:kern w:val="0"/>
          <w:sz w:val="32"/>
          <w:szCs w:val="32"/>
          <w:lang w:bidi="zh-TW"/>
        </w:rPr>
        <w:t>∙</w:t>
      </w:r>
      <w:r>
        <w:rPr>
          <w:rFonts w:ascii="仿宋_GB2312" w:eastAsia="仿宋_GB2312" w:hAnsi="仿宋_GB2312" w:cs="仿宋_GB2312" w:hint="eastAsia"/>
          <w:kern w:val="0"/>
          <w:sz w:val="32"/>
          <w:szCs w:val="32"/>
          <w:lang w:bidi="zh-TW"/>
        </w:rPr>
        <w:t>年、粳稻</w:t>
      </w:r>
      <w:r>
        <w:rPr>
          <w:rFonts w:ascii="仿宋_GB2312" w:eastAsia="仿宋_GB2312" w:hAnsi="仿宋_GB2312" w:cs="仿宋_GB2312"/>
          <w:kern w:val="0"/>
          <w:sz w:val="32"/>
          <w:szCs w:val="32"/>
          <w:lang w:bidi="zh-TW"/>
        </w:rPr>
        <w:t>80</w:t>
      </w:r>
      <w:r>
        <w:rPr>
          <w:rFonts w:ascii="仿宋_GB2312" w:eastAsia="仿宋_GB2312" w:hAnsi="仿宋_GB2312" w:cs="仿宋_GB2312" w:hint="eastAsia"/>
          <w:kern w:val="0"/>
          <w:sz w:val="32"/>
          <w:szCs w:val="32"/>
          <w:lang w:bidi="zh-TW"/>
        </w:rPr>
        <w:t>元/吨</w:t>
      </w:r>
      <w:r>
        <w:rPr>
          <w:rFonts w:ascii="仿宋_GB2312" w:eastAsia="仿宋_GB2312" w:hAnsi="仿宋_GB2312" w:cs="仿宋_GB2312"/>
          <w:kern w:val="0"/>
          <w:sz w:val="32"/>
          <w:szCs w:val="32"/>
          <w:lang w:bidi="zh-TW"/>
        </w:rPr>
        <w:t>∙</w:t>
      </w:r>
      <w:r>
        <w:rPr>
          <w:rFonts w:ascii="仿宋_GB2312" w:eastAsia="仿宋_GB2312" w:hAnsi="仿宋_GB2312" w:cs="仿宋_GB2312" w:hint="eastAsia"/>
          <w:kern w:val="0"/>
          <w:sz w:val="32"/>
          <w:szCs w:val="32"/>
          <w:lang w:bidi="zh-TW"/>
        </w:rPr>
        <w:t>年</w:t>
      </w:r>
      <w:r>
        <w:rPr>
          <w:rFonts w:ascii="仿宋_GB2312" w:eastAsia="仿宋_GB2312" w:hAnsi="仿宋_GB2312" w:cs="仿宋_GB2312" w:hint="eastAsia"/>
          <w:kern w:val="0"/>
          <w:sz w:val="32"/>
          <w:szCs w:val="32"/>
          <w:lang w:val="zh-TW" w:bidi="zh-TW"/>
        </w:rPr>
        <w:t>；</w:t>
      </w:r>
    </w:p>
    <w:p>
      <w:pPr>
        <w:pStyle w:val="Bodytext1"/>
        <w:tabs>
          <w:tab w:val="left" w:pos="1310"/>
        </w:tabs>
        <w:snapToGrid w:val="0"/>
        <w:spacing w:line="550" w:lineRule="exact"/>
        <w:ind w:firstLine="620"/>
        <w:jc w:val="both"/>
        <w:rPr>
          <w:rFonts w:ascii="仿宋_GB2312" w:eastAsia="仿宋_GB2312" w:hAnsi="仿宋_GB2312" w:cs="仿宋_GB2312"/>
          <w:color w:val="auto"/>
          <w:sz w:val="32"/>
          <w:szCs w:val="32"/>
          <w:lang w:eastAsia="zh-CN"/>
        </w:rPr>
      </w:pPr>
      <w:bookmarkStart w:id="11" w:name="bookmark11"/>
      <w:r>
        <w:rPr>
          <w:rFonts w:ascii="仿宋_GB2312" w:eastAsia="仿宋_GB2312" w:hAnsi="仿宋_GB2312" w:cs="仿宋_GB2312" w:hint="eastAsia"/>
          <w:color w:val="auto"/>
          <w:sz w:val="32"/>
          <w:szCs w:val="32"/>
        </w:rPr>
        <w:t>（</w:t>
      </w:r>
      <w:bookmarkEnd w:id="11"/>
      <w:r>
        <w:rPr>
          <w:rFonts w:ascii="仿宋_GB2312" w:eastAsia="仿宋_GB2312" w:hAnsi="仿宋_GB2312" w:cs="仿宋_GB2312" w:hint="eastAsia"/>
          <w:color w:val="auto"/>
          <w:sz w:val="32"/>
          <w:szCs w:val="32"/>
        </w:rPr>
        <w:t>三）</w:t>
      </w:r>
      <w:r>
        <w:rPr>
          <w:rFonts w:ascii="仿宋_GB2312" w:eastAsia="仿宋_GB2312" w:hAnsi="仿宋_GB2312" w:cs="仿宋_GB2312" w:hint="eastAsia"/>
          <w:color w:val="auto"/>
          <w:sz w:val="32"/>
          <w:szCs w:val="32"/>
        </w:rPr>
        <w:tab/>
      </w:r>
      <w:r>
        <w:rPr>
          <w:rFonts w:ascii="仿宋_GB2312" w:eastAsia="仿宋_GB2312" w:hAnsi="仿宋_GB2312" w:cs="仿宋_GB2312" w:hint="eastAsia"/>
          <w:color w:val="auto"/>
          <w:sz w:val="32"/>
          <w:szCs w:val="32"/>
          <w:lang w:eastAsia="zh-CN"/>
        </w:rPr>
        <w:t>贷款利息：按照实际发生的贷款利息给予全额补贴。</w:t>
      </w:r>
    </w:p>
    <w:p>
      <w:pPr>
        <w:pStyle w:val="Bodytext1"/>
        <w:snapToGrid w:val="0"/>
        <w:spacing w:line="550" w:lineRule="exact"/>
        <w:ind w:firstLine="620"/>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六</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lang w:eastAsia="zh-CN"/>
        </w:rPr>
        <w:t>地方储备食用油按照承储企业已落实的储备规模总量，给予保管与轮换费用、贷款利息补贴。补贴标准为</w:t>
      </w:r>
      <w:r>
        <w:rPr>
          <w:rFonts w:ascii="仿宋_GB2312" w:eastAsia="仿宋_GB2312" w:hAnsi="仿宋_GB2312" w:cs="仿宋_GB2312" w:hint="eastAsia"/>
          <w:color w:val="auto"/>
          <w:sz w:val="32"/>
          <w:szCs w:val="32"/>
        </w:rPr>
        <w:t>：</w:t>
      </w:r>
    </w:p>
    <w:p>
      <w:pPr>
        <w:pStyle w:val="Bodytext1"/>
        <w:tabs>
          <w:tab w:val="left" w:pos="1350"/>
        </w:tabs>
        <w:snapToGrid w:val="0"/>
        <w:spacing w:line="550" w:lineRule="exact"/>
        <w:ind w:firstLine="660"/>
        <w:jc w:val="both"/>
        <w:rPr>
          <w:rFonts w:ascii="仿宋_GB2312" w:eastAsia="仿宋_GB2312" w:hAnsi="仿宋_GB2312" w:cs="仿宋_GB2312"/>
          <w:color w:val="auto"/>
          <w:sz w:val="32"/>
          <w:szCs w:val="32"/>
        </w:rPr>
      </w:pPr>
      <w:bookmarkStart w:id="12" w:name="bookmark14"/>
      <w:r>
        <w:rPr>
          <w:rFonts w:ascii="仿宋_GB2312" w:eastAsia="仿宋_GB2312" w:hAnsi="仿宋_GB2312" w:cs="仿宋_GB2312" w:hint="eastAsia"/>
          <w:color w:val="auto"/>
          <w:sz w:val="32"/>
          <w:szCs w:val="32"/>
        </w:rPr>
        <w:t>（</w:t>
      </w:r>
      <w:bookmarkEnd w:id="12"/>
      <w:r>
        <w:rPr>
          <w:rFonts w:ascii="仿宋_GB2312" w:eastAsia="仿宋_GB2312" w:hAnsi="仿宋_GB2312" w:cs="仿宋_GB2312" w:hint="eastAsia"/>
          <w:color w:val="auto"/>
          <w:sz w:val="32"/>
          <w:szCs w:val="32"/>
        </w:rPr>
        <w:t>一）</w:t>
      </w:r>
      <w:r>
        <w:rPr>
          <w:rFonts w:ascii="仿宋_GB2312" w:eastAsia="仿宋_GB2312" w:hAnsi="仿宋_GB2312" w:cs="仿宋_GB2312" w:hint="eastAsia"/>
          <w:color w:val="auto"/>
          <w:sz w:val="32"/>
          <w:szCs w:val="32"/>
        </w:rPr>
        <w:tab/>
      </w:r>
      <w:r>
        <w:rPr>
          <w:rFonts w:ascii="仿宋_GB2312" w:eastAsia="仿宋_GB2312" w:hAnsi="仿宋_GB2312" w:cs="仿宋_GB2312" w:hint="eastAsia"/>
          <w:color w:val="auto"/>
          <w:sz w:val="32"/>
          <w:szCs w:val="32"/>
          <w:lang w:eastAsia="zh-CN"/>
        </w:rPr>
        <w:t>保管与轮换费用：</w:t>
      </w:r>
      <w:r>
        <w:rPr>
          <w:rFonts w:ascii="仿宋_GB2312" w:eastAsia="仿宋_GB2312" w:hAnsi="仿宋_GB2312" w:cs="仿宋_GB2312" w:hint="eastAsia"/>
          <w:color w:val="auto"/>
          <w:sz w:val="32"/>
          <w:szCs w:val="32"/>
          <w:lang w:val="en-US" w:eastAsia="zh-CN"/>
        </w:rPr>
        <w:t>400元</w:t>
      </w:r>
      <w:r>
        <w:rPr>
          <w:rFonts w:ascii="仿宋_GB2312" w:eastAsia="仿宋_GB2312" w:hAnsi="仿宋_GB2312" w:cs="仿宋_GB2312"/>
          <w:color w:val="auto"/>
          <w:sz w:val="32"/>
          <w:szCs w:val="32"/>
          <w:lang w:val="en-US" w:eastAsia="zh-CN"/>
        </w:rPr>
        <w:t>/</w:t>
      </w:r>
      <w:r>
        <w:rPr>
          <w:rFonts w:ascii="仿宋_GB2312" w:eastAsia="仿宋_GB2312" w:hAnsi="仿宋_GB2312" w:cs="仿宋_GB2312" w:hint="eastAsia"/>
          <w:color w:val="auto"/>
          <w:sz w:val="32"/>
          <w:szCs w:val="32"/>
          <w:lang w:val="en-US" w:eastAsia="zh-CN"/>
        </w:rPr>
        <w:t>吨</w:t>
      </w:r>
      <w:r>
        <w:rPr>
          <w:rFonts w:ascii="仿宋_GB2312" w:eastAsia="仿宋_GB2312" w:hAnsi="仿宋_GB2312" w:cs="仿宋_GB2312"/>
          <w:color w:val="auto"/>
          <w:sz w:val="32"/>
          <w:szCs w:val="32"/>
          <w:lang w:val="en-US" w:eastAsia="zh-CN"/>
        </w:rPr>
        <w:t>∙</w:t>
      </w:r>
      <w:r>
        <w:rPr>
          <w:rFonts w:ascii="仿宋_GB2312" w:eastAsia="仿宋_GB2312" w:hAnsi="仿宋_GB2312" w:cs="仿宋_GB2312" w:hint="eastAsia"/>
          <w:color w:val="auto"/>
          <w:sz w:val="32"/>
          <w:szCs w:val="32"/>
          <w:lang w:val="en-US" w:eastAsia="zh-CN"/>
        </w:rPr>
        <w:t>年</w:t>
      </w:r>
      <w:r>
        <w:rPr>
          <w:rFonts w:ascii="仿宋_GB2312" w:eastAsia="仿宋_GB2312" w:hAnsi="仿宋_GB2312" w:cs="仿宋_GB2312" w:hint="eastAsia"/>
          <w:color w:val="auto"/>
          <w:sz w:val="32"/>
          <w:szCs w:val="32"/>
        </w:rPr>
        <w:t>；</w:t>
      </w:r>
    </w:p>
    <w:p>
      <w:pPr>
        <w:pStyle w:val="Bodytext1"/>
        <w:tabs>
          <w:tab w:val="left" w:pos="1371"/>
        </w:tabs>
        <w:snapToGrid w:val="0"/>
        <w:spacing w:line="550" w:lineRule="exact"/>
        <w:ind w:firstLine="660"/>
        <w:jc w:val="both"/>
        <w:rPr>
          <w:rFonts w:ascii="仿宋_GB2312" w:eastAsia="仿宋_GB2312" w:hAnsi="仿宋_GB2312" w:cs="仿宋_GB2312"/>
          <w:color w:val="auto"/>
          <w:sz w:val="32"/>
          <w:szCs w:val="32"/>
        </w:rPr>
      </w:pPr>
      <w:bookmarkStart w:id="13" w:name="bookmark15"/>
      <w:r>
        <w:rPr>
          <w:rFonts w:ascii="仿宋_GB2312" w:eastAsia="仿宋_GB2312" w:hAnsi="仿宋_GB2312" w:cs="仿宋_GB2312" w:hint="eastAsia"/>
          <w:color w:val="auto"/>
          <w:sz w:val="32"/>
          <w:szCs w:val="32"/>
        </w:rPr>
        <w:t>（</w:t>
      </w:r>
      <w:bookmarkEnd w:id="13"/>
      <w:r>
        <w:rPr>
          <w:rFonts w:ascii="仿宋_GB2312" w:eastAsia="仿宋_GB2312" w:hAnsi="仿宋_GB2312" w:cs="仿宋_GB2312" w:hint="eastAsia"/>
          <w:color w:val="auto"/>
          <w:sz w:val="32"/>
          <w:szCs w:val="32"/>
        </w:rPr>
        <w:t>二）</w:t>
      </w:r>
      <w:r>
        <w:rPr>
          <w:rFonts w:ascii="仿宋_GB2312" w:eastAsia="仿宋_GB2312" w:hAnsi="仿宋_GB2312" w:cs="仿宋_GB2312" w:hint="eastAsia"/>
          <w:color w:val="auto"/>
          <w:sz w:val="32"/>
          <w:szCs w:val="32"/>
          <w:lang w:eastAsia="zh-CN"/>
        </w:rPr>
        <w:t>贷款利息：按照实际发生的贷款利息给予全额补贴。</w:t>
      </w:r>
    </w:p>
    <w:p>
      <w:pPr>
        <w:pStyle w:val="Bodytext1"/>
        <w:tabs>
          <w:tab w:val="left" w:pos="1310"/>
        </w:tabs>
        <w:snapToGrid w:val="0"/>
        <w:spacing w:line="550" w:lineRule="exact"/>
        <w:ind w:firstLineChars="200" w:firstLine="643"/>
        <w:jc w:val="both"/>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七</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lang w:eastAsia="zh-CN"/>
        </w:rPr>
        <w:t>成品粮储备按照承储企业已落实的储备规模总量给予</w:t>
      </w:r>
      <w:r>
        <w:rPr>
          <w:rFonts w:ascii="仿宋_GB2312" w:eastAsia="仿宋_GB2312" w:hAnsi="仿宋_GB2312" w:cs="仿宋_GB2312" w:hint="eastAsia"/>
          <w:color w:val="auto"/>
          <w:sz w:val="32"/>
          <w:szCs w:val="32"/>
          <w:lang w:val="en-US" w:eastAsia="zh-CN"/>
        </w:rPr>
        <w:t>300元</w:t>
      </w:r>
      <w:r>
        <w:rPr>
          <w:rFonts w:ascii="仿宋_GB2312" w:eastAsia="仿宋_GB2312" w:hAnsi="仿宋_GB2312" w:cs="仿宋_GB2312"/>
          <w:color w:val="auto"/>
          <w:sz w:val="32"/>
          <w:szCs w:val="32"/>
          <w:lang w:val="en-US" w:eastAsia="zh-CN"/>
        </w:rPr>
        <w:t>/</w:t>
      </w:r>
      <w:r>
        <w:rPr>
          <w:rFonts w:ascii="仿宋_GB2312" w:eastAsia="仿宋_GB2312" w:hAnsi="仿宋_GB2312" w:cs="仿宋_GB2312" w:hint="eastAsia"/>
          <w:color w:val="auto"/>
          <w:sz w:val="32"/>
          <w:szCs w:val="32"/>
          <w:lang w:val="en-US" w:eastAsia="zh-CN"/>
        </w:rPr>
        <w:t>吨</w:t>
      </w:r>
      <w:r>
        <w:rPr>
          <w:rFonts w:ascii="仿宋_GB2312" w:eastAsia="仿宋_GB2312" w:hAnsi="仿宋_GB2312" w:cs="仿宋_GB2312"/>
          <w:color w:val="auto"/>
          <w:sz w:val="32"/>
          <w:szCs w:val="32"/>
          <w:lang w:val="en-US" w:eastAsia="zh-CN"/>
        </w:rPr>
        <w:t>∙</w:t>
      </w:r>
      <w:r>
        <w:rPr>
          <w:rFonts w:ascii="仿宋_GB2312" w:eastAsia="仿宋_GB2312" w:hAnsi="仿宋_GB2312" w:cs="仿宋_GB2312" w:hint="eastAsia"/>
          <w:color w:val="auto"/>
          <w:sz w:val="32"/>
          <w:szCs w:val="32"/>
          <w:lang w:val="en-US" w:eastAsia="zh-CN"/>
        </w:rPr>
        <w:t>年补贴</w:t>
      </w:r>
      <w:r>
        <w:rPr>
          <w:rFonts w:ascii="仿宋_GB2312" w:eastAsia="仿宋_GB2312" w:hAnsi="仿宋_GB2312" w:cs="仿宋_GB2312" w:hint="eastAsia"/>
          <w:color w:val="auto"/>
          <w:sz w:val="32"/>
          <w:szCs w:val="32"/>
          <w:lang w:eastAsia="zh-CN"/>
        </w:rPr>
        <w:t>。</w:t>
      </w:r>
    </w:p>
    <w:p>
      <w:pPr>
        <w:pStyle w:val="Bodytext1"/>
        <w:tabs>
          <w:tab w:val="left" w:pos="1310"/>
        </w:tabs>
        <w:snapToGrid w:val="0"/>
        <w:spacing w:line="550" w:lineRule="exact"/>
        <w:ind w:firstLineChars="200" w:firstLine="643"/>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八</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lang w:eastAsia="zh-CN"/>
        </w:rPr>
        <w:t>储备粮、储备食用油保管、轮换费用补贴和成品粮储备费用补贴资金实行“定额包干、超支不补、结余留用”的办法</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lang w:eastAsia="zh-CN"/>
        </w:rPr>
        <w:t>对承储企业因特殊情况，经相关部门同意延长架空期的，扣除该部分延长期保管、轮换费用补贴资金；对</w:t>
      </w:r>
      <w:r>
        <w:rPr>
          <w:rFonts w:ascii="仿宋_GB2312" w:eastAsia="仿宋_GB2312" w:hAnsi="仿宋_GB2312" w:cs="仿宋_GB2312" w:hint="eastAsia"/>
          <w:color w:val="auto"/>
          <w:sz w:val="32"/>
          <w:szCs w:val="32"/>
          <w:lang w:eastAsia="zh-CN"/>
        </w:rPr>
        <w:lastRenderedPageBreak/>
        <w:t>承储企业未按规定架空期轮换部分，扣除该部分全年保管、轮换费用补贴资金。</w:t>
      </w:r>
    </w:p>
    <w:p>
      <w:pPr>
        <w:pStyle w:val="Bodytext1"/>
        <w:tabs>
          <w:tab w:val="left" w:pos="1310"/>
        </w:tabs>
        <w:snapToGrid w:val="0"/>
        <w:spacing w:line="550" w:lineRule="exact"/>
        <w:ind w:firstLineChars="200" w:firstLine="640"/>
        <w:jc w:val="both"/>
        <w:rPr>
          <w:rFonts w:ascii="仿宋_GB2312" w:eastAsia="仿宋_GB2312" w:hAnsi="仿宋_GB2312" w:cs="仿宋_GB2312"/>
          <w:color w:val="auto"/>
          <w:sz w:val="32"/>
          <w:szCs w:val="32"/>
          <w:lang w:eastAsia="zh-CN"/>
        </w:rPr>
      </w:pPr>
    </w:p>
    <w:p>
      <w:pPr>
        <w:pStyle w:val="Bodytext1"/>
        <w:snapToGrid w:val="0"/>
        <w:spacing w:line="550" w:lineRule="exact"/>
        <w:ind w:firstLine="0"/>
        <w:jc w:val="center"/>
        <w:rPr>
          <w:rFonts w:ascii="黑体" w:eastAsia="黑体" w:hAnsi="黑体" w:cs="黑体"/>
          <w:color w:val="auto"/>
          <w:sz w:val="32"/>
          <w:szCs w:val="32"/>
          <w:lang w:eastAsia="zh-CN"/>
        </w:rPr>
      </w:pPr>
      <w:r>
        <w:rPr>
          <w:rFonts w:ascii="黑体" w:eastAsia="黑体" w:hAnsi="黑体" w:cs="黑体" w:hint="eastAsia"/>
          <w:color w:val="auto"/>
          <w:sz w:val="32"/>
          <w:szCs w:val="32"/>
        </w:rPr>
        <w:t>第三章</w:t>
      </w:r>
      <w:r>
        <w:rPr>
          <w:rFonts w:ascii="黑体" w:eastAsia="黑体" w:hAnsi="黑体" w:cs="黑体" w:hint="eastAsia"/>
          <w:color w:val="auto"/>
          <w:sz w:val="32"/>
          <w:szCs w:val="32"/>
          <w:lang w:eastAsia="zh-CN"/>
        </w:rPr>
        <w:t xml:space="preserve"> 资金拨付</w:t>
      </w:r>
    </w:p>
    <w:p>
      <w:pPr>
        <w:pStyle w:val="Bodytext1"/>
        <w:snapToGrid w:val="0"/>
        <w:spacing w:line="550" w:lineRule="exact"/>
        <w:ind w:firstLine="658"/>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八</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lang w:eastAsia="zh-CN"/>
        </w:rPr>
        <w:t>地方储备粮保管费用、贷款利息补贴和储备食用油补贴资金按季度拨付。每季度首月，市粮食和物资储备局对各承储企业上一季度储备任务完成情况审核确认后，根据储备任务完成情况和中国农业发展银行海安市支行提供的贷款利息实际发生额，向市财政局提出资金拨付建议，市财政局审核后将补贴资金拨付至承储企业。</w:t>
      </w:r>
    </w:p>
    <w:p>
      <w:pPr>
        <w:pStyle w:val="Bodytext1"/>
        <w:snapToGrid w:val="0"/>
        <w:spacing w:line="550" w:lineRule="exact"/>
        <w:ind w:firstLine="658"/>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九</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lang w:eastAsia="zh-CN"/>
        </w:rPr>
        <w:t xml:space="preserve">  地方储备粮轮换费用补贴资金按年度拨付。每年</w:t>
      </w:r>
      <w:r>
        <w:rPr>
          <w:rFonts w:ascii="仿宋_GB2312" w:eastAsia="仿宋_GB2312" w:hAnsi="仿宋_GB2312" w:cs="仿宋_GB2312" w:hint="eastAsia"/>
          <w:color w:val="auto"/>
          <w:sz w:val="32"/>
          <w:szCs w:val="32"/>
          <w:lang w:val="en-US" w:eastAsia="zh-CN"/>
        </w:rPr>
        <w:t>1月，市粮食和物资储备局对各承储企业上一年度储备粮轮换任务完成情况审核确认后，向市财政局提出资金拨付建议，市财政局审核后将</w:t>
      </w:r>
      <w:r>
        <w:rPr>
          <w:rFonts w:ascii="仿宋_GB2312" w:eastAsia="仿宋_GB2312" w:hAnsi="仿宋_GB2312" w:cs="仿宋_GB2312" w:hint="eastAsia"/>
          <w:color w:val="auto"/>
          <w:sz w:val="32"/>
          <w:szCs w:val="32"/>
          <w:lang w:eastAsia="zh-CN"/>
        </w:rPr>
        <w:t>补贴资金拨付至承储企业。</w:t>
      </w:r>
    </w:p>
    <w:p>
      <w:pPr>
        <w:pStyle w:val="Bodytext1"/>
        <w:snapToGrid w:val="0"/>
        <w:spacing w:line="550" w:lineRule="exact"/>
        <w:ind w:firstLine="658"/>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九</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lang w:eastAsia="zh-CN"/>
        </w:rPr>
        <w:t xml:space="preserve">  成品粮储备费用补贴资金按年度拨付。每年</w:t>
      </w:r>
      <w:r>
        <w:rPr>
          <w:rFonts w:ascii="仿宋_GB2312" w:eastAsia="仿宋_GB2312" w:hAnsi="仿宋_GB2312" w:cs="仿宋_GB2312" w:hint="eastAsia"/>
          <w:color w:val="auto"/>
          <w:sz w:val="32"/>
          <w:szCs w:val="32"/>
          <w:lang w:val="en-US" w:eastAsia="zh-CN"/>
        </w:rPr>
        <w:t>1月，市粮食和物资储备局对上一年度储备任务完成情况审核确认后，向市财政局提出资金拨付建议，市财政局审核后将补贴资金拨付至</w:t>
      </w:r>
      <w:r>
        <w:rPr>
          <w:rFonts w:ascii="仿宋_GB2312" w:eastAsia="仿宋_GB2312" w:hAnsi="仿宋_GB2312" w:cs="仿宋_GB2312" w:hint="eastAsia"/>
          <w:color w:val="auto"/>
          <w:sz w:val="32"/>
          <w:szCs w:val="32"/>
          <w:lang w:eastAsia="zh-CN"/>
        </w:rPr>
        <w:t>承储企业</w:t>
      </w:r>
      <w:r>
        <w:rPr>
          <w:rFonts w:ascii="仿宋_GB2312" w:eastAsia="仿宋_GB2312" w:hAnsi="仿宋_GB2312" w:cs="仿宋_GB2312" w:hint="eastAsia"/>
          <w:color w:val="auto"/>
          <w:sz w:val="32"/>
          <w:szCs w:val="32"/>
          <w:lang w:val="en-US" w:eastAsia="zh-CN"/>
        </w:rPr>
        <w:t>。</w:t>
      </w:r>
    </w:p>
    <w:p>
      <w:pPr>
        <w:pStyle w:val="Bodytext1"/>
        <w:snapToGrid w:val="0"/>
        <w:spacing w:line="550" w:lineRule="exact"/>
        <w:ind w:firstLine="0"/>
        <w:jc w:val="center"/>
        <w:rPr>
          <w:rFonts w:ascii="黑体" w:eastAsia="黑体" w:hAnsi="黑体" w:cs="黑体"/>
          <w:color w:val="auto"/>
          <w:sz w:val="32"/>
          <w:szCs w:val="32"/>
        </w:rPr>
      </w:pPr>
    </w:p>
    <w:p>
      <w:pPr>
        <w:pStyle w:val="Bodytext1"/>
        <w:snapToGrid w:val="0"/>
        <w:spacing w:line="550" w:lineRule="exact"/>
        <w:ind w:firstLine="0"/>
        <w:jc w:val="center"/>
        <w:rPr>
          <w:rFonts w:ascii="黑体" w:eastAsia="黑体" w:hAnsi="黑体" w:cs="黑体"/>
          <w:color w:val="auto"/>
          <w:sz w:val="32"/>
          <w:szCs w:val="32"/>
          <w:lang w:eastAsia="zh-CN"/>
        </w:rPr>
      </w:pPr>
      <w:r>
        <w:rPr>
          <w:rFonts w:ascii="黑体" w:eastAsia="黑体" w:hAnsi="黑体" w:cs="黑体" w:hint="eastAsia"/>
          <w:color w:val="auto"/>
          <w:sz w:val="32"/>
          <w:szCs w:val="32"/>
        </w:rPr>
        <w:t>第四章</w:t>
      </w:r>
      <w:r>
        <w:rPr>
          <w:rFonts w:ascii="黑体" w:eastAsia="黑体" w:hAnsi="黑体" w:cs="黑体" w:hint="eastAsia"/>
          <w:color w:val="auto"/>
          <w:sz w:val="32"/>
          <w:szCs w:val="32"/>
          <w:lang w:eastAsia="zh-CN"/>
        </w:rPr>
        <w:t xml:space="preserve"> </w:t>
      </w:r>
      <w:r>
        <w:rPr>
          <w:rFonts w:ascii="黑体" w:eastAsia="黑体" w:hAnsi="黑体" w:cs="黑体" w:hint="eastAsia"/>
          <w:color w:val="auto"/>
          <w:sz w:val="32"/>
          <w:szCs w:val="32"/>
        </w:rPr>
        <w:t>绩效</w:t>
      </w:r>
      <w:r>
        <w:rPr>
          <w:rFonts w:ascii="黑体" w:eastAsia="黑体" w:hAnsi="黑体" w:cs="黑体" w:hint="eastAsia"/>
          <w:color w:val="auto"/>
          <w:sz w:val="32"/>
          <w:szCs w:val="32"/>
          <w:lang w:eastAsia="zh-CN"/>
        </w:rPr>
        <w:t>评价与监督检查</w:t>
      </w:r>
    </w:p>
    <w:p>
      <w:pPr>
        <w:pStyle w:val="Bodytext1"/>
        <w:snapToGrid w:val="0"/>
        <w:spacing w:line="550" w:lineRule="exact"/>
        <w:ind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b/>
          <w:bCs/>
          <w:color w:val="auto"/>
          <w:sz w:val="32"/>
          <w:szCs w:val="32"/>
        </w:rPr>
        <w:t>第十</w:t>
      </w:r>
      <w:r>
        <w:rPr>
          <w:rFonts w:ascii="仿宋_GB2312" w:eastAsia="仿宋_GB2312" w:hAnsi="仿宋_GB2312" w:cs="仿宋_GB2312" w:hint="eastAsia"/>
          <w:b/>
          <w:bCs/>
          <w:color w:val="auto"/>
          <w:sz w:val="32"/>
          <w:szCs w:val="32"/>
          <w:lang w:eastAsia="zh-CN"/>
        </w:rPr>
        <w:t>一</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lang w:eastAsia="zh-CN"/>
        </w:rPr>
        <w:t>市粮食和物资储备局加强补贴资金绩效管理，按要求开展绩效自评价工作。市财政局会同市粮食和物资储备局应对补贴资金使用情况进一步开展绩效重点评价。评价结果将作为地方储备粮专项资金政策调整和预算的重要依据</w:t>
      </w:r>
      <w:r>
        <w:rPr>
          <w:rFonts w:ascii="仿宋_GB2312" w:eastAsia="仿宋_GB2312" w:hAnsi="仿宋_GB2312" w:cs="仿宋_GB2312" w:hint="eastAsia"/>
          <w:color w:val="auto"/>
          <w:sz w:val="32"/>
          <w:szCs w:val="32"/>
        </w:rPr>
        <w:t>。</w:t>
      </w:r>
    </w:p>
    <w:p>
      <w:pPr>
        <w:pStyle w:val="Bodytext1"/>
        <w:snapToGrid w:val="0"/>
        <w:spacing w:line="550" w:lineRule="exact"/>
        <w:ind w:firstLineChars="200" w:firstLine="643"/>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b/>
          <w:bCs/>
          <w:color w:val="auto"/>
          <w:sz w:val="32"/>
          <w:szCs w:val="32"/>
        </w:rPr>
        <w:lastRenderedPageBreak/>
        <w:t>第十</w:t>
      </w:r>
      <w:r>
        <w:rPr>
          <w:rFonts w:ascii="仿宋_GB2312" w:eastAsia="仿宋_GB2312" w:hAnsi="仿宋_GB2312" w:cs="仿宋_GB2312" w:hint="eastAsia"/>
          <w:b/>
          <w:bCs/>
          <w:color w:val="auto"/>
          <w:sz w:val="32"/>
          <w:szCs w:val="32"/>
          <w:lang w:eastAsia="zh-CN"/>
        </w:rPr>
        <w:t>二</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lang w:eastAsia="zh-CN"/>
        </w:rPr>
        <w:t xml:space="preserve"> 市财政、</w:t>
      </w:r>
      <w:bookmarkStart w:id="14" w:name="_GoBack"/>
      <w:bookmarkEnd w:id="14"/>
      <w:r>
        <w:rPr>
          <w:rFonts w:ascii="仿宋_GB2312" w:eastAsia="仿宋_GB2312" w:hAnsi="仿宋_GB2312" w:cs="仿宋_GB2312" w:hint="eastAsia"/>
          <w:color w:val="auto"/>
          <w:sz w:val="32"/>
          <w:szCs w:val="32"/>
          <w:lang w:eastAsia="zh-CN"/>
        </w:rPr>
        <w:t>粮食部门和承储企业要自觉接受审计等部门对补贴资金的监督检查，并自觉接受社会监督。</w:t>
      </w:r>
      <w:r>
        <w:rPr>
          <w:rFonts w:ascii="仿宋_GB2312" w:eastAsia="仿宋_GB2312" w:hAnsi="仿宋_GB2312" w:cs="仿宋_GB2312" w:hint="eastAsia"/>
          <w:color w:val="auto"/>
          <w:sz w:val="32"/>
          <w:szCs w:val="32"/>
        </w:rPr>
        <w:t>任何单位和个人不得以任何方式骗取财政补贴资金，</w:t>
      </w:r>
      <w:r>
        <w:rPr>
          <w:rFonts w:ascii="仿宋_GB2312" w:eastAsia="仿宋_GB2312" w:hAnsi="仿宋_GB2312" w:cs="仿宋_GB2312" w:hint="eastAsia"/>
          <w:color w:val="auto"/>
          <w:sz w:val="32"/>
          <w:szCs w:val="32"/>
          <w:lang w:eastAsia="zh-CN"/>
        </w:rPr>
        <w:t>对骗取财政补贴资金的单位和个人，市</w:t>
      </w:r>
      <w:r>
        <w:rPr>
          <w:rFonts w:ascii="仿宋_GB2312" w:eastAsia="仿宋_GB2312" w:hAnsi="仿宋_GB2312" w:cs="仿宋_GB2312" w:hint="eastAsia"/>
          <w:color w:val="auto"/>
          <w:sz w:val="32"/>
          <w:szCs w:val="32"/>
        </w:rPr>
        <w:t>财政</w:t>
      </w:r>
      <w:r>
        <w:rPr>
          <w:rFonts w:ascii="仿宋_GB2312" w:eastAsia="仿宋_GB2312" w:hAnsi="仿宋_GB2312" w:cs="仿宋_GB2312" w:hint="eastAsia"/>
          <w:color w:val="auto"/>
          <w:sz w:val="32"/>
          <w:szCs w:val="32"/>
          <w:lang w:eastAsia="zh-CN"/>
        </w:rPr>
        <w:t>、粮食部门</w:t>
      </w:r>
      <w:r>
        <w:rPr>
          <w:rFonts w:ascii="仿宋_GB2312" w:eastAsia="仿宋_GB2312" w:hAnsi="仿宋_GB2312" w:cs="仿宋_GB2312" w:hint="eastAsia"/>
          <w:color w:val="auto"/>
          <w:sz w:val="32"/>
          <w:szCs w:val="32"/>
        </w:rPr>
        <w:t>依据《财政违法行为处罚处分条例》</w:t>
      </w:r>
      <w:r>
        <w:rPr>
          <w:rFonts w:ascii="仿宋_GB2312" w:eastAsia="仿宋_GB2312" w:hAnsi="仿宋_GB2312" w:cs="仿宋_GB2312" w:hint="eastAsia"/>
          <w:color w:val="auto"/>
          <w:sz w:val="32"/>
          <w:szCs w:val="32"/>
          <w:lang w:eastAsia="zh-CN"/>
        </w:rPr>
        <w:t>、《江苏省财政监督条例》</w:t>
      </w:r>
      <w:r>
        <w:rPr>
          <w:rFonts w:ascii="仿宋_GB2312" w:eastAsia="仿宋_GB2312" w:hAnsi="仿宋_GB2312" w:cs="仿宋_GB2312" w:hint="eastAsia"/>
          <w:color w:val="auto"/>
          <w:sz w:val="32"/>
          <w:szCs w:val="32"/>
        </w:rPr>
        <w:t>等有关规定进行处理、处罚</w:t>
      </w:r>
      <w:r>
        <w:rPr>
          <w:rFonts w:ascii="仿宋_GB2312" w:eastAsia="仿宋_GB2312" w:hAnsi="仿宋_GB2312" w:cs="仿宋_GB2312" w:hint="eastAsia"/>
          <w:color w:val="auto"/>
          <w:sz w:val="32"/>
          <w:szCs w:val="32"/>
          <w:lang w:eastAsia="zh-CN"/>
        </w:rPr>
        <w:t>。</w:t>
      </w:r>
    </w:p>
    <w:p>
      <w:pPr>
        <w:pStyle w:val="Bodytext1"/>
        <w:snapToGrid w:val="0"/>
        <w:spacing w:line="550" w:lineRule="exact"/>
        <w:ind w:firstLineChars="200" w:firstLine="640"/>
        <w:jc w:val="both"/>
        <w:rPr>
          <w:rFonts w:ascii="仿宋_GB2312" w:eastAsia="仿宋_GB2312" w:hAnsi="仿宋_GB2312" w:cs="仿宋_GB2312"/>
          <w:color w:val="auto"/>
          <w:sz w:val="32"/>
          <w:szCs w:val="32"/>
          <w:lang w:eastAsia="zh-CN"/>
        </w:rPr>
      </w:pPr>
    </w:p>
    <w:p>
      <w:pPr>
        <w:pStyle w:val="Bodytext1"/>
        <w:snapToGrid w:val="0"/>
        <w:spacing w:line="550" w:lineRule="exact"/>
        <w:ind w:firstLine="0"/>
        <w:jc w:val="center"/>
        <w:rPr>
          <w:rFonts w:ascii="黑体" w:eastAsia="黑体" w:hAnsi="黑体" w:cs="黑体"/>
          <w:color w:val="auto"/>
          <w:sz w:val="32"/>
          <w:szCs w:val="32"/>
        </w:rPr>
      </w:pPr>
      <w:r>
        <w:rPr>
          <w:rFonts w:ascii="黑体" w:eastAsia="黑体" w:hAnsi="黑体" w:cs="黑体" w:hint="eastAsia"/>
          <w:color w:val="auto"/>
          <w:sz w:val="32"/>
          <w:szCs w:val="32"/>
        </w:rPr>
        <w:t>第</w:t>
      </w:r>
      <w:r>
        <w:rPr>
          <w:rFonts w:ascii="黑体" w:eastAsia="黑体" w:hAnsi="黑体" w:cs="黑体" w:hint="eastAsia"/>
          <w:color w:val="auto"/>
          <w:sz w:val="32"/>
          <w:szCs w:val="32"/>
          <w:lang w:eastAsia="zh-CN"/>
        </w:rPr>
        <w:t>五</w:t>
      </w:r>
      <w:r>
        <w:rPr>
          <w:rFonts w:ascii="黑体" w:eastAsia="黑体" w:hAnsi="黑体" w:cs="黑体" w:hint="eastAsia"/>
          <w:color w:val="auto"/>
          <w:sz w:val="32"/>
          <w:szCs w:val="32"/>
        </w:rPr>
        <w:t>章 附</w:t>
      </w:r>
      <w:r>
        <w:rPr>
          <w:rFonts w:ascii="黑体" w:eastAsia="黑体" w:hAnsi="黑体" w:cs="黑体" w:hint="eastAsia"/>
          <w:color w:val="auto"/>
          <w:sz w:val="32"/>
          <w:szCs w:val="32"/>
          <w:lang w:val="en-US" w:eastAsia="zh-CN"/>
        </w:rPr>
        <w:t xml:space="preserve"> </w:t>
      </w:r>
      <w:r>
        <w:rPr>
          <w:rFonts w:ascii="黑体" w:eastAsia="黑体" w:hAnsi="黑体" w:cs="黑体" w:hint="eastAsia"/>
          <w:color w:val="auto"/>
          <w:sz w:val="32"/>
          <w:szCs w:val="32"/>
        </w:rPr>
        <w:t>则</w:t>
      </w:r>
    </w:p>
    <w:p>
      <w:pPr>
        <w:pStyle w:val="Bodytext1"/>
        <w:snapToGrid w:val="0"/>
        <w:spacing w:line="550" w:lineRule="exact"/>
        <w:ind w:firstLine="62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b/>
          <w:bCs/>
          <w:color w:val="auto"/>
          <w:sz w:val="32"/>
          <w:szCs w:val="32"/>
        </w:rPr>
        <w:t>第</w:t>
      </w:r>
      <w:r>
        <w:rPr>
          <w:rFonts w:ascii="仿宋_GB2312" w:eastAsia="仿宋_GB2312" w:hAnsi="仿宋_GB2312" w:cs="仿宋_GB2312" w:hint="eastAsia"/>
          <w:b/>
          <w:bCs/>
          <w:color w:val="auto"/>
          <w:sz w:val="32"/>
          <w:szCs w:val="32"/>
          <w:lang w:eastAsia="zh-CN"/>
        </w:rPr>
        <w:t>十三</w:t>
      </w:r>
      <w:r>
        <w:rPr>
          <w:rFonts w:ascii="仿宋_GB2312" w:eastAsia="仿宋_GB2312" w:hAnsi="仿宋_GB2312" w:cs="仿宋_GB2312" w:hint="eastAsia"/>
          <w:b/>
          <w:bCs/>
          <w:color w:val="auto"/>
          <w:sz w:val="32"/>
          <w:szCs w:val="32"/>
        </w:rPr>
        <w:t>条</w:t>
      </w:r>
      <w:r>
        <w:rPr>
          <w:rFonts w:ascii="仿宋_GB2312" w:eastAsia="仿宋_GB2312" w:hAnsi="仿宋_GB2312" w:cs="仿宋_GB2312" w:hint="eastAsia"/>
          <w:color w:val="auto"/>
          <w:sz w:val="32"/>
          <w:szCs w:val="32"/>
          <w:lang w:eastAsia="zh-CN"/>
        </w:rPr>
        <w:t xml:space="preserve"> </w:t>
      </w:r>
      <w:r>
        <w:rPr>
          <w:rFonts w:ascii="仿宋_GB2312" w:eastAsia="仿宋_GB2312" w:hAnsi="仿宋_GB2312" w:cs="仿宋_GB2312" w:hint="eastAsia"/>
          <w:color w:val="auto"/>
          <w:sz w:val="32"/>
          <w:szCs w:val="32"/>
        </w:rPr>
        <w:t>本办法</w:t>
      </w:r>
      <w:r>
        <w:rPr>
          <w:rFonts w:ascii="仿宋_GB2312" w:eastAsia="仿宋_GB2312" w:hAnsi="仿宋_GB2312" w:cs="仿宋_GB2312" w:hint="eastAsia"/>
          <w:color w:val="auto"/>
          <w:sz w:val="32"/>
          <w:szCs w:val="32"/>
          <w:lang w:eastAsia="zh-CN"/>
        </w:rPr>
        <w:t>由市财政局、市粮食和物资储备局负责解释。</w:t>
      </w:r>
    </w:p>
    <w:p>
      <w:pPr>
        <w:snapToGrid w:val="0"/>
        <w:spacing w:line="550" w:lineRule="exact"/>
        <w:ind w:firstLineChars="200" w:firstLine="643"/>
        <w:rPr>
          <w:rFonts w:ascii="仿宋_GB2312" w:eastAsia="仿宋_GB2312" w:hAnsi="仿宋_GB2312" w:cs="仿宋_GB2312"/>
          <w:kern w:val="0"/>
          <w:sz w:val="32"/>
          <w:szCs w:val="32"/>
          <w:lang w:val="zh-TW" w:eastAsia="zh-TW" w:bidi="zh-TW"/>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本办法自2022年9月1日起施行.由市财政局、市粮食和物资储备局负责解释，《海安市地方储备粮专项资金管理办法》（海财规〔2021〕1号）同时废止。</w:t>
      </w:r>
    </w:p>
    <w:sectPr>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Heading11">
    <w:name w:val="Heading #1|1"/>
    <w:basedOn w:val="a"/>
    <w:qFormat/>
    <w:pPr>
      <w:spacing w:before="560" w:after="320"/>
      <w:jc w:val="center"/>
      <w:outlineLvl w:val="0"/>
    </w:pPr>
    <w:rPr>
      <w:rFonts w:ascii="宋体" w:eastAsia="宋体" w:hAnsi="宋体" w:cs="宋体"/>
      <w:color w:val="EF3F30"/>
      <w:kern w:val="0"/>
      <w:sz w:val="126"/>
      <w:szCs w:val="126"/>
      <w:lang w:val="zh-TW" w:eastAsia="zh-TW" w:bidi="zh-TW"/>
    </w:rPr>
  </w:style>
  <w:style w:type="paragraph" w:customStyle="1" w:styleId="Bodytext1">
    <w:name w:val="Body text|1"/>
    <w:basedOn w:val="a"/>
    <w:qFormat/>
    <w:pPr>
      <w:spacing w:line="394" w:lineRule="auto"/>
      <w:ind w:firstLine="400"/>
      <w:jc w:val="left"/>
    </w:pPr>
    <w:rPr>
      <w:rFonts w:ascii="宋体" w:eastAsia="宋体" w:hAnsi="宋体" w:cs="宋体"/>
      <w:color w:val="000000"/>
      <w:kern w:val="0"/>
      <w:sz w:val="30"/>
      <w:szCs w:val="30"/>
      <w:lang w:val="zh-TW" w:eastAsia="zh-TW" w:bidi="zh-TW"/>
    </w:rPr>
  </w:style>
  <w:style w:type="paragraph" w:customStyle="1" w:styleId="Heading21">
    <w:name w:val="Heading #2|1"/>
    <w:basedOn w:val="a"/>
    <w:qFormat/>
    <w:pPr>
      <w:spacing w:after="520" w:line="557" w:lineRule="exact"/>
      <w:jc w:val="center"/>
      <w:outlineLvl w:val="1"/>
    </w:pPr>
    <w:rPr>
      <w:rFonts w:ascii="宋体" w:eastAsia="宋体" w:hAnsi="宋体" w:cs="宋体"/>
      <w:color w:val="000000"/>
      <w:kern w:val="0"/>
      <w:sz w:val="42"/>
      <w:szCs w:val="42"/>
      <w:lang w:val="zh-TW" w:eastAsia="zh-TW" w:bidi="zh-TW"/>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305</Words>
  <Characters>1740</Characters>
  <Application>Microsoft Office Word</Application>
  <DocSecurity>0</DocSecurity>
  <Lines>14</Lines>
  <Paragraphs>4</Paragraphs>
  <ScaleCrop>false</ScaleCrop>
  <Company>微软中国</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夏振波</dc:creator>
  <cp:lastModifiedBy>xbany</cp:lastModifiedBy>
  <cp:revision>30</cp:revision>
  <cp:lastPrinted>2022-08-30T01:56:00Z</cp:lastPrinted>
  <dcterms:created xsi:type="dcterms:W3CDTF">2020-08-15T06:33:00Z</dcterms:created>
  <dcterms:modified xsi:type="dcterms:W3CDTF">2022-08-30T01:56:00Z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