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80" w:rsidRDefault="00063880" w:rsidP="00063880">
      <w:pPr>
        <w:spacing w:line="520" w:lineRule="exact"/>
        <w:rPr>
          <w:rFonts w:ascii="黑体" w:eastAsia="黑体" w:hAnsi="黑体" w:hint="eastAsia"/>
          <w:sz w:val="28"/>
          <w:szCs w:val="28"/>
        </w:rPr>
      </w:pPr>
      <w:r>
        <w:rPr>
          <w:rFonts w:ascii="黑体" w:eastAsia="黑体" w:hAnsi="黑体" w:hint="eastAsia"/>
          <w:sz w:val="28"/>
          <w:szCs w:val="28"/>
        </w:rPr>
        <w:t>附件1</w:t>
      </w:r>
    </w:p>
    <w:p w:rsidR="00063880" w:rsidRDefault="00063880" w:rsidP="00063880">
      <w:pPr>
        <w:spacing w:line="540" w:lineRule="exact"/>
        <w:jc w:val="center"/>
        <w:rPr>
          <w:rFonts w:ascii="方正小标宋简体" w:eastAsia="方正小标宋简体" w:hAnsi="等线" w:hint="eastAsia"/>
          <w:sz w:val="38"/>
          <w:szCs w:val="38"/>
        </w:rPr>
      </w:pPr>
      <w:r>
        <w:rPr>
          <w:rFonts w:ascii="方正小标宋简体" w:eastAsia="方正小标宋简体" w:hAnsi="等线" w:hint="eastAsia"/>
          <w:sz w:val="38"/>
          <w:szCs w:val="38"/>
        </w:rPr>
        <w:t>海安市工贸行业重点领域安全生产专项执法重点内容检查表（金属铸造）</w:t>
      </w:r>
    </w:p>
    <w:p w:rsidR="00063880" w:rsidRDefault="00063880" w:rsidP="00063880">
      <w:pPr>
        <w:spacing w:line="560" w:lineRule="exact"/>
        <w:rPr>
          <w:rFonts w:ascii="仿宋_GB2312" w:eastAsia="仿宋_GB2312" w:hAnsi="等线" w:hint="eastAsia"/>
          <w:sz w:val="44"/>
          <w:szCs w:val="44"/>
        </w:rPr>
      </w:pPr>
      <w:r>
        <w:rPr>
          <w:rFonts w:ascii="仿宋_GB2312" w:eastAsia="仿宋_GB2312" w:hint="eastAsia"/>
          <w:sz w:val="28"/>
          <w:szCs w:val="28"/>
        </w:rPr>
        <w:t>填报单位（盖章）：                   法定代表人（签字）：                 检查日期：    年  月  日</w:t>
      </w:r>
    </w:p>
    <w:tbl>
      <w:tblPr>
        <w:tblW w:w="13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82"/>
        <w:gridCol w:w="2564"/>
        <w:gridCol w:w="5167"/>
        <w:gridCol w:w="3119"/>
        <w:gridCol w:w="2122"/>
      </w:tblGrid>
      <w:tr w:rsidR="00063880" w:rsidTr="003259C8">
        <w:trPr>
          <w:trHeight w:val="132"/>
          <w:tblHeader/>
          <w:jc w:val="center"/>
        </w:trPr>
        <w:tc>
          <w:tcPr>
            <w:tcW w:w="782"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序号</w:t>
            </w:r>
          </w:p>
        </w:tc>
        <w:tc>
          <w:tcPr>
            <w:tcW w:w="2564"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检查内容</w:t>
            </w:r>
          </w:p>
        </w:tc>
        <w:tc>
          <w:tcPr>
            <w:tcW w:w="5167"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法律及相关规定</w:t>
            </w:r>
          </w:p>
        </w:tc>
        <w:tc>
          <w:tcPr>
            <w:tcW w:w="3119"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处罚依据</w:t>
            </w:r>
          </w:p>
        </w:tc>
        <w:tc>
          <w:tcPr>
            <w:tcW w:w="2122" w:type="dxa"/>
          </w:tcPr>
          <w:p w:rsidR="00063880" w:rsidRDefault="00063880" w:rsidP="003259C8">
            <w:pPr>
              <w:adjustRightInd w:val="0"/>
              <w:snapToGrid w:val="0"/>
              <w:spacing w:line="280" w:lineRule="exact"/>
              <w:jc w:val="center"/>
              <w:rPr>
                <w:rFonts w:ascii="黑体" w:eastAsia="黑体" w:hAnsi="黑体" w:hint="eastAsia"/>
                <w:sz w:val="28"/>
                <w:szCs w:val="28"/>
              </w:rPr>
            </w:pPr>
            <w:r>
              <w:rPr>
                <w:rFonts w:ascii="黑体" w:eastAsia="黑体" w:hAnsi="黑体" w:hint="eastAsia"/>
                <w:sz w:val="28"/>
                <w:szCs w:val="28"/>
              </w:rPr>
              <w:t>具体问题</w:t>
            </w:r>
          </w:p>
        </w:tc>
      </w:tr>
      <w:tr w:rsidR="00063880" w:rsidTr="003259C8">
        <w:trPr>
          <w:trHeight w:val="90"/>
          <w:jc w:val="center"/>
        </w:trPr>
        <w:tc>
          <w:tcPr>
            <w:tcW w:w="782" w:type="dxa"/>
            <w:vAlign w:val="center"/>
          </w:tcPr>
          <w:p w:rsidR="00063880" w:rsidRDefault="00063880" w:rsidP="003259C8">
            <w:pPr>
              <w:adjustRightInd w:val="0"/>
              <w:snapToGrid w:val="0"/>
              <w:spacing w:line="240" w:lineRule="exact"/>
              <w:jc w:val="center"/>
              <w:rPr>
                <w:rFonts w:ascii="宋体" w:hAnsi="宋体" w:hint="eastAsia"/>
                <w:sz w:val="20"/>
                <w:szCs w:val="21"/>
              </w:rPr>
            </w:pPr>
            <w:r>
              <w:rPr>
                <w:rFonts w:ascii="宋体" w:hAnsi="宋体" w:hint="eastAsia"/>
                <w:sz w:val="20"/>
                <w:szCs w:val="21"/>
              </w:rPr>
              <w:t>1</w:t>
            </w:r>
          </w:p>
        </w:tc>
        <w:tc>
          <w:tcPr>
            <w:tcW w:w="2564"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金属冶炼企业主要负责人和安全生产管理人员未依法经考核合格。</w:t>
            </w:r>
          </w:p>
        </w:tc>
        <w:tc>
          <w:tcPr>
            <w:tcW w:w="5167"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《安全生产法》第二十四条生产经营单位的主要负责人和安全生产管理人员必须具备与本单位所从事的生产经营活动相应的安全生产知识和管理能力。</w:t>
            </w:r>
          </w:p>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危险物品的生产、经营、储存单位以及矿山、金属冶炼、建筑施工、道路运输单位的主要负责人和安全生产管理人员，应当由主管的负有安全生产监督管理职责的部门对其安全生产知识和管理能力考核合格。</w:t>
            </w:r>
          </w:p>
        </w:tc>
        <w:tc>
          <w:tcPr>
            <w:tcW w:w="3119"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《安全生产法》、《江苏省安全生产行政处罚自由裁量适用细则（2018版）》等</w:t>
            </w:r>
          </w:p>
        </w:tc>
        <w:tc>
          <w:tcPr>
            <w:tcW w:w="2122" w:type="dxa"/>
          </w:tcPr>
          <w:p w:rsidR="00063880" w:rsidRDefault="00063880" w:rsidP="003259C8">
            <w:pPr>
              <w:adjustRightInd w:val="0"/>
              <w:snapToGrid w:val="0"/>
              <w:spacing w:line="240" w:lineRule="exact"/>
              <w:rPr>
                <w:rFonts w:ascii="方正仿宋_GBK" w:eastAsia="方正仿宋_GBK" w:hAnsi="等线" w:hint="eastAsia"/>
                <w:sz w:val="20"/>
                <w:szCs w:val="21"/>
              </w:rPr>
            </w:pPr>
          </w:p>
        </w:tc>
      </w:tr>
      <w:tr w:rsidR="00063880" w:rsidTr="003259C8">
        <w:trPr>
          <w:trHeight w:val="1459"/>
          <w:jc w:val="center"/>
        </w:trPr>
        <w:tc>
          <w:tcPr>
            <w:tcW w:w="782" w:type="dxa"/>
            <w:vAlign w:val="center"/>
          </w:tcPr>
          <w:p w:rsidR="00063880" w:rsidRDefault="00063880" w:rsidP="003259C8">
            <w:pPr>
              <w:adjustRightInd w:val="0"/>
              <w:snapToGrid w:val="0"/>
              <w:spacing w:line="240" w:lineRule="exact"/>
              <w:jc w:val="center"/>
              <w:rPr>
                <w:rFonts w:ascii="宋体" w:hAnsi="宋体" w:hint="eastAsia"/>
                <w:sz w:val="20"/>
                <w:szCs w:val="21"/>
              </w:rPr>
            </w:pPr>
            <w:r>
              <w:rPr>
                <w:rFonts w:ascii="宋体" w:hAnsi="宋体" w:hint="eastAsia"/>
                <w:sz w:val="20"/>
                <w:szCs w:val="21"/>
              </w:rPr>
              <w:t>2</w:t>
            </w:r>
          </w:p>
        </w:tc>
        <w:tc>
          <w:tcPr>
            <w:tcW w:w="2564"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未严格执行高危作业审批制度，未制定严谨的检维修工作方案，未落实交叉作业的现场安全管理职责。</w:t>
            </w:r>
          </w:p>
        </w:tc>
        <w:tc>
          <w:tcPr>
            <w:tcW w:w="5167"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《冶金企业和有色金属企业安全生产规定》(国家安全生产监督管理总局令第91号) 第三十八条“企业应当建立有限空间、动火、高处作业、能源介质停送等较大危险作业和检修、维修作业审批制度，实施工作票（作业票）和操作票管理，严格履行内部审批手续，并安排专门人员进行现场安全管理，确保作业安全。”</w:t>
            </w:r>
          </w:p>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3119"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《安全生产法》、《特种作业人员安全技术培训考核管理规定》、《江苏省安全生产行政处罚自由裁量适用细则（2018版）》等</w:t>
            </w:r>
          </w:p>
        </w:tc>
        <w:tc>
          <w:tcPr>
            <w:tcW w:w="2122" w:type="dxa"/>
          </w:tcPr>
          <w:p w:rsidR="00063880" w:rsidRDefault="00063880" w:rsidP="003259C8">
            <w:pPr>
              <w:adjustRightInd w:val="0"/>
              <w:snapToGrid w:val="0"/>
              <w:spacing w:line="240" w:lineRule="exact"/>
              <w:rPr>
                <w:rFonts w:ascii="方正仿宋_GBK" w:eastAsia="方正仿宋_GBK" w:hAnsi="等线" w:hint="eastAsia"/>
                <w:sz w:val="20"/>
                <w:szCs w:val="21"/>
              </w:rPr>
            </w:pPr>
          </w:p>
        </w:tc>
      </w:tr>
      <w:tr w:rsidR="00063880" w:rsidTr="003259C8">
        <w:trPr>
          <w:trHeight w:val="1338"/>
          <w:jc w:val="center"/>
        </w:trPr>
        <w:tc>
          <w:tcPr>
            <w:tcW w:w="782" w:type="dxa"/>
            <w:vAlign w:val="center"/>
          </w:tcPr>
          <w:p w:rsidR="00063880" w:rsidRDefault="00063880" w:rsidP="003259C8">
            <w:pPr>
              <w:adjustRightInd w:val="0"/>
              <w:snapToGrid w:val="0"/>
              <w:spacing w:line="240" w:lineRule="exact"/>
              <w:jc w:val="center"/>
              <w:rPr>
                <w:rFonts w:ascii="宋体" w:hAnsi="宋体" w:hint="eastAsia"/>
                <w:sz w:val="20"/>
                <w:szCs w:val="21"/>
              </w:rPr>
            </w:pPr>
            <w:r>
              <w:rPr>
                <w:rFonts w:ascii="宋体" w:hAnsi="宋体" w:hint="eastAsia"/>
                <w:sz w:val="20"/>
                <w:szCs w:val="21"/>
              </w:rPr>
              <w:t>3</w:t>
            </w:r>
          </w:p>
        </w:tc>
        <w:tc>
          <w:tcPr>
            <w:tcW w:w="2564"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会议室、活动室、休息室、更衣室等场所设置在熔炼炉、熔融金属吊运和浇注影响范围内。</w:t>
            </w:r>
          </w:p>
        </w:tc>
        <w:tc>
          <w:tcPr>
            <w:tcW w:w="5167"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《工贸行业重大生产安全事故隐患判定标准（2017版）》机械行业类重大事故隐患第1项。</w:t>
            </w:r>
          </w:p>
        </w:tc>
        <w:tc>
          <w:tcPr>
            <w:tcW w:w="3119" w:type="dxa"/>
            <w:vAlign w:val="center"/>
          </w:tcPr>
          <w:p w:rsidR="00063880" w:rsidRDefault="00063880" w:rsidP="003259C8">
            <w:pPr>
              <w:spacing w:line="240" w:lineRule="exact"/>
              <w:rPr>
                <w:rFonts w:ascii="宋体" w:hAnsi="宋体" w:hint="eastAsia"/>
                <w:sz w:val="20"/>
                <w:szCs w:val="21"/>
              </w:rPr>
            </w:pPr>
            <w:r>
              <w:rPr>
                <w:rFonts w:ascii="宋体" w:hAnsi="宋体" w:hint="eastAsia"/>
                <w:sz w:val="20"/>
                <w:szCs w:val="21"/>
              </w:rPr>
              <w:t>《安全生产法》、《冶金企业和有色金属企业安全生产规定》、《安全生产事故隐患排查治理暂行规定》（国家安全监管总局令第16号）、《江苏省安全生产行政处罚自由裁量适用细则（2018版）》等</w:t>
            </w:r>
          </w:p>
        </w:tc>
        <w:tc>
          <w:tcPr>
            <w:tcW w:w="2122" w:type="dxa"/>
          </w:tcPr>
          <w:p w:rsidR="00063880" w:rsidRDefault="00063880" w:rsidP="003259C8">
            <w:pPr>
              <w:spacing w:line="240" w:lineRule="exact"/>
              <w:rPr>
                <w:rFonts w:ascii="方正仿宋_GBK" w:eastAsia="方正仿宋_GBK" w:hAnsi="等线" w:hint="eastAsia"/>
                <w:sz w:val="20"/>
                <w:szCs w:val="21"/>
              </w:rPr>
            </w:pPr>
          </w:p>
        </w:tc>
      </w:tr>
      <w:tr w:rsidR="00063880" w:rsidTr="003259C8">
        <w:trPr>
          <w:trHeight w:val="1374"/>
          <w:jc w:val="center"/>
        </w:trPr>
        <w:tc>
          <w:tcPr>
            <w:tcW w:w="782" w:type="dxa"/>
            <w:vAlign w:val="center"/>
          </w:tcPr>
          <w:p w:rsidR="00063880" w:rsidRDefault="00063880" w:rsidP="003259C8">
            <w:pPr>
              <w:adjustRightInd w:val="0"/>
              <w:snapToGrid w:val="0"/>
              <w:spacing w:line="240" w:lineRule="exact"/>
              <w:jc w:val="center"/>
              <w:rPr>
                <w:rFonts w:ascii="宋体" w:hAnsi="宋体"/>
                <w:sz w:val="20"/>
                <w:szCs w:val="21"/>
              </w:rPr>
            </w:pPr>
            <w:r>
              <w:rPr>
                <w:rFonts w:ascii="宋体" w:hAnsi="宋体" w:hint="eastAsia"/>
                <w:sz w:val="20"/>
                <w:szCs w:val="21"/>
              </w:rPr>
              <w:lastRenderedPageBreak/>
              <w:t>4</w:t>
            </w:r>
          </w:p>
        </w:tc>
        <w:tc>
          <w:tcPr>
            <w:tcW w:w="2564"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吊运熔融金属的起重机不符合冶金铸造起重机技术条件,或驱动装置中未设置两套制动器。吊运浇注包的龙门钩横梁、耳轴销和吊钩等零件，未进行定期探伤检查。</w:t>
            </w:r>
          </w:p>
        </w:tc>
        <w:tc>
          <w:tcPr>
            <w:tcW w:w="5167"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《工贸行业重大生产安全事故隐患判定标准（2017版）》机械行业类重大事故隐患第2项。</w:t>
            </w:r>
          </w:p>
        </w:tc>
        <w:tc>
          <w:tcPr>
            <w:tcW w:w="3119" w:type="dxa"/>
            <w:vAlign w:val="center"/>
          </w:tcPr>
          <w:p w:rsidR="00063880" w:rsidRDefault="00063880" w:rsidP="003259C8">
            <w:pPr>
              <w:spacing w:line="240" w:lineRule="exact"/>
              <w:jc w:val="center"/>
              <w:rPr>
                <w:rFonts w:ascii="宋体" w:hAnsi="宋体"/>
                <w:sz w:val="20"/>
                <w:szCs w:val="21"/>
              </w:rPr>
            </w:pPr>
            <w:r>
              <w:rPr>
                <w:rFonts w:ascii="宋体" w:hAnsi="宋体" w:hint="eastAsia"/>
                <w:sz w:val="20"/>
                <w:szCs w:val="21"/>
              </w:rPr>
              <w:t>同上</w:t>
            </w:r>
          </w:p>
        </w:tc>
        <w:tc>
          <w:tcPr>
            <w:tcW w:w="2122" w:type="dxa"/>
          </w:tcPr>
          <w:p w:rsidR="00063880" w:rsidRDefault="00063880" w:rsidP="003259C8">
            <w:pPr>
              <w:spacing w:line="240" w:lineRule="exact"/>
              <w:jc w:val="center"/>
              <w:rPr>
                <w:rFonts w:ascii="方正仿宋_GBK" w:eastAsia="方正仿宋_GBK" w:hAnsi="等线" w:hint="eastAsia"/>
                <w:sz w:val="20"/>
                <w:szCs w:val="21"/>
              </w:rPr>
            </w:pPr>
          </w:p>
        </w:tc>
      </w:tr>
      <w:tr w:rsidR="00063880" w:rsidTr="003259C8">
        <w:trPr>
          <w:trHeight w:val="761"/>
          <w:jc w:val="center"/>
        </w:trPr>
        <w:tc>
          <w:tcPr>
            <w:tcW w:w="782" w:type="dxa"/>
            <w:vAlign w:val="center"/>
          </w:tcPr>
          <w:p w:rsidR="00063880" w:rsidRDefault="00063880" w:rsidP="003259C8">
            <w:pPr>
              <w:adjustRightInd w:val="0"/>
              <w:snapToGrid w:val="0"/>
              <w:spacing w:line="240" w:lineRule="exact"/>
              <w:jc w:val="center"/>
              <w:rPr>
                <w:rFonts w:ascii="宋体" w:hAnsi="宋体"/>
                <w:sz w:val="20"/>
                <w:szCs w:val="21"/>
              </w:rPr>
            </w:pPr>
            <w:r>
              <w:rPr>
                <w:rFonts w:ascii="宋体" w:hAnsi="宋体" w:hint="eastAsia"/>
                <w:sz w:val="20"/>
                <w:szCs w:val="21"/>
              </w:rPr>
              <w:t>5</w:t>
            </w:r>
          </w:p>
        </w:tc>
        <w:tc>
          <w:tcPr>
            <w:tcW w:w="2564"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铸造熔炼炉炉底、炉坑及浇注坑等作业坑存在潮湿、积水状况，或存放易燃易爆物品。</w:t>
            </w:r>
          </w:p>
        </w:tc>
        <w:tc>
          <w:tcPr>
            <w:tcW w:w="5167"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《工贸行业重大生产安全事故隐患判定标准（2017版）》机械行业类重大事故隐患第3项。</w:t>
            </w:r>
          </w:p>
        </w:tc>
        <w:tc>
          <w:tcPr>
            <w:tcW w:w="3119" w:type="dxa"/>
            <w:vAlign w:val="center"/>
          </w:tcPr>
          <w:p w:rsidR="00063880" w:rsidRDefault="00063880" w:rsidP="003259C8">
            <w:pPr>
              <w:spacing w:line="240" w:lineRule="exact"/>
              <w:jc w:val="center"/>
              <w:rPr>
                <w:rFonts w:ascii="宋体" w:hAnsi="宋体"/>
                <w:sz w:val="20"/>
                <w:szCs w:val="21"/>
              </w:rPr>
            </w:pPr>
            <w:r>
              <w:rPr>
                <w:rFonts w:ascii="宋体" w:hAnsi="宋体" w:hint="eastAsia"/>
                <w:sz w:val="20"/>
                <w:szCs w:val="21"/>
              </w:rPr>
              <w:t>同上</w:t>
            </w:r>
          </w:p>
        </w:tc>
        <w:tc>
          <w:tcPr>
            <w:tcW w:w="2122" w:type="dxa"/>
          </w:tcPr>
          <w:p w:rsidR="00063880" w:rsidRDefault="00063880" w:rsidP="003259C8">
            <w:pPr>
              <w:spacing w:line="240" w:lineRule="exact"/>
              <w:jc w:val="center"/>
              <w:rPr>
                <w:rFonts w:ascii="方正仿宋_GBK" w:eastAsia="方正仿宋_GBK" w:hAnsi="等线" w:hint="eastAsia"/>
                <w:sz w:val="20"/>
                <w:szCs w:val="21"/>
              </w:rPr>
            </w:pPr>
          </w:p>
        </w:tc>
      </w:tr>
      <w:tr w:rsidR="00063880" w:rsidTr="003259C8">
        <w:trPr>
          <w:trHeight w:val="858"/>
          <w:jc w:val="center"/>
        </w:trPr>
        <w:tc>
          <w:tcPr>
            <w:tcW w:w="782" w:type="dxa"/>
            <w:vAlign w:val="center"/>
          </w:tcPr>
          <w:p w:rsidR="00063880" w:rsidRDefault="00063880" w:rsidP="003259C8">
            <w:pPr>
              <w:adjustRightInd w:val="0"/>
              <w:snapToGrid w:val="0"/>
              <w:spacing w:line="240" w:lineRule="exact"/>
              <w:jc w:val="center"/>
              <w:rPr>
                <w:rFonts w:ascii="宋体" w:hAnsi="宋体"/>
                <w:sz w:val="20"/>
                <w:szCs w:val="21"/>
              </w:rPr>
            </w:pPr>
            <w:r>
              <w:rPr>
                <w:rFonts w:ascii="宋体" w:hAnsi="宋体" w:hint="eastAsia"/>
                <w:sz w:val="20"/>
                <w:szCs w:val="21"/>
              </w:rPr>
              <w:t>6</w:t>
            </w:r>
          </w:p>
        </w:tc>
        <w:tc>
          <w:tcPr>
            <w:tcW w:w="2564"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铸造熔炼炉冷却水系统未配置温度、进出水流量检测报警装置，没有设置防止冷却水进入炉内的安全设施。</w:t>
            </w:r>
          </w:p>
        </w:tc>
        <w:tc>
          <w:tcPr>
            <w:tcW w:w="5167"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《工贸行业重大生产安全事故隐患判定标准（2017版）》机械行业类重大事故隐患第4项。</w:t>
            </w:r>
          </w:p>
        </w:tc>
        <w:tc>
          <w:tcPr>
            <w:tcW w:w="3119" w:type="dxa"/>
            <w:vAlign w:val="center"/>
          </w:tcPr>
          <w:p w:rsidR="00063880" w:rsidRDefault="00063880" w:rsidP="003259C8">
            <w:pPr>
              <w:spacing w:line="240" w:lineRule="exact"/>
              <w:jc w:val="center"/>
              <w:rPr>
                <w:rFonts w:ascii="宋体" w:hAnsi="宋体"/>
                <w:sz w:val="20"/>
                <w:szCs w:val="21"/>
              </w:rPr>
            </w:pPr>
            <w:r>
              <w:rPr>
                <w:rFonts w:ascii="宋体" w:hAnsi="宋体" w:hint="eastAsia"/>
                <w:sz w:val="20"/>
                <w:szCs w:val="21"/>
              </w:rPr>
              <w:t>同上</w:t>
            </w:r>
          </w:p>
        </w:tc>
        <w:tc>
          <w:tcPr>
            <w:tcW w:w="2122" w:type="dxa"/>
          </w:tcPr>
          <w:p w:rsidR="00063880" w:rsidRDefault="00063880" w:rsidP="003259C8">
            <w:pPr>
              <w:spacing w:line="240" w:lineRule="exact"/>
              <w:jc w:val="center"/>
              <w:rPr>
                <w:rFonts w:ascii="方正仿宋_GBK" w:eastAsia="方正仿宋_GBK" w:hAnsi="等线" w:hint="eastAsia"/>
                <w:sz w:val="20"/>
                <w:szCs w:val="21"/>
              </w:rPr>
            </w:pPr>
          </w:p>
        </w:tc>
      </w:tr>
      <w:tr w:rsidR="00063880" w:rsidTr="003259C8">
        <w:trPr>
          <w:trHeight w:val="1007"/>
          <w:jc w:val="center"/>
        </w:trPr>
        <w:tc>
          <w:tcPr>
            <w:tcW w:w="782" w:type="dxa"/>
            <w:vAlign w:val="center"/>
          </w:tcPr>
          <w:p w:rsidR="00063880" w:rsidRDefault="00063880" w:rsidP="003259C8">
            <w:pPr>
              <w:adjustRightInd w:val="0"/>
              <w:snapToGrid w:val="0"/>
              <w:spacing w:line="240" w:lineRule="exact"/>
              <w:jc w:val="center"/>
              <w:rPr>
                <w:rFonts w:ascii="宋体" w:hAnsi="宋体"/>
                <w:sz w:val="20"/>
                <w:szCs w:val="21"/>
              </w:rPr>
            </w:pPr>
            <w:r>
              <w:rPr>
                <w:rFonts w:ascii="宋体" w:hAnsi="宋体" w:hint="eastAsia"/>
                <w:sz w:val="20"/>
                <w:szCs w:val="21"/>
              </w:rPr>
              <w:t>7</w:t>
            </w:r>
          </w:p>
        </w:tc>
        <w:tc>
          <w:tcPr>
            <w:tcW w:w="2564"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天然气（煤气）加热炉燃烧器操作部位未设置可燃气体泄漏报警装置，或燃烧系统未设置防突然熄火或点火失败的安全装置。</w:t>
            </w:r>
          </w:p>
        </w:tc>
        <w:tc>
          <w:tcPr>
            <w:tcW w:w="5167"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《工贸行业重大生产安全事故隐患判定标准（2017版）》机械行业类重大事故隐患第5项。</w:t>
            </w:r>
          </w:p>
        </w:tc>
        <w:tc>
          <w:tcPr>
            <w:tcW w:w="3119" w:type="dxa"/>
            <w:vAlign w:val="center"/>
          </w:tcPr>
          <w:p w:rsidR="00063880" w:rsidRDefault="00063880" w:rsidP="003259C8">
            <w:pPr>
              <w:spacing w:line="240" w:lineRule="exact"/>
              <w:jc w:val="center"/>
              <w:rPr>
                <w:rFonts w:ascii="宋体" w:hAnsi="宋体"/>
                <w:sz w:val="20"/>
                <w:szCs w:val="21"/>
              </w:rPr>
            </w:pPr>
            <w:r>
              <w:rPr>
                <w:rFonts w:ascii="宋体" w:hAnsi="宋体" w:hint="eastAsia"/>
                <w:sz w:val="20"/>
                <w:szCs w:val="21"/>
              </w:rPr>
              <w:t>同上</w:t>
            </w:r>
          </w:p>
        </w:tc>
        <w:tc>
          <w:tcPr>
            <w:tcW w:w="2122" w:type="dxa"/>
          </w:tcPr>
          <w:p w:rsidR="00063880" w:rsidRDefault="00063880" w:rsidP="003259C8">
            <w:pPr>
              <w:spacing w:line="240" w:lineRule="exact"/>
              <w:jc w:val="center"/>
              <w:rPr>
                <w:rFonts w:ascii="方正仿宋_GBK" w:eastAsia="方正仿宋_GBK" w:hAnsi="等线" w:hint="eastAsia"/>
                <w:sz w:val="20"/>
                <w:szCs w:val="21"/>
              </w:rPr>
            </w:pPr>
          </w:p>
        </w:tc>
      </w:tr>
      <w:tr w:rsidR="00063880" w:rsidTr="003259C8">
        <w:trPr>
          <w:trHeight w:val="918"/>
          <w:jc w:val="center"/>
        </w:trPr>
        <w:tc>
          <w:tcPr>
            <w:tcW w:w="782" w:type="dxa"/>
            <w:vAlign w:val="center"/>
          </w:tcPr>
          <w:p w:rsidR="00063880" w:rsidRDefault="00063880" w:rsidP="003259C8">
            <w:pPr>
              <w:adjustRightInd w:val="0"/>
              <w:snapToGrid w:val="0"/>
              <w:spacing w:line="240" w:lineRule="exact"/>
              <w:jc w:val="center"/>
              <w:rPr>
                <w:rFonts w:ascii="宋体" w:hAnsi="宋体"/>
                <w:sz w:val="20"/>
                <w:szCs w:val="21"/>
              </w:rPr>
            </w:pPr>
            <w:r>
              <w:rPr>
                <w:rFonts w:ascii="宋体" w:hAnsi="宋体" w:hint="eastAsia"/>
                <w:sz w:val="20"/>
                <w:szCs w:val="21"/>
              </w:rPr>
              <w:t>8</w:t>
            </w:r>
          </w:p>
        </w:tc>
        <w:tc>
          <w:tcPr>
            <w:tcW w:w="2564"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未按照要求淘汰《金属冶炼企业禁止使用的设备及工艺目录（第一批）》中涉及的设备及工艺。</w:t>
            </w:r>
          </w:p>
        </w:tc>
        <w:tc>
          <w:tcPr>
            <w:tcW w:w="5167"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《安全生产法》第三十五条“生产经营单位不得使用应当淘汰的危及生产安全的工艺、设备。”</w:t>
            </w:r>
          </w:p>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《国家安全监管总局关于印发淘汰落后安全技术装备目录（</w:t>
            </w:r>
            <w:r>
              <w:rPr>
                <w:rFonts w:ascii="宋体" w:hAnsi="宋体"/>
                <w:sz w:val="20"/>
                <w:szCs w:val="21"/>
              </w:rPr>
              <w:t>2015</w:t>
            </w:r>
            <w:r>
              <w:rPr>
                <w:rFonts w:ascii="宋体" w:hAnsi="宋体" w:hint="eastAsia"/>
                <w:sz w:val="20"/>
                <w:szCs w:val="21"/>
              </w:rPr>
              <w:t>年第一批）的通知》</w:t>
            </w:r>
          </w:p>
        </w:tc>
        <w:tc>
          <w:tcPr>
            <w:tcW w:w="3119" w:type="dxa"/>
            <w:vAlign w:val="center"/>
          </w:tcPr>
          <w:p w:rsidR="00063880" w:rsidRDefault="00063880" w:rsidP="003259C8">
            <w:pPr>
              <w:adjustRightInd w:val="0"/>
              <w:snapToGrid w:val="0"/>
              <w:spacing w:line="240" w:lineRule="exact"/>
              <w:rPr>
                <w:rFonts w:ascii="宋体" w:hAnsi="宋体"/>
                <w:sz w:val="20"/>
                <w:szCs w:val="21"/>
              </w:rPr>
            </w:pPr>
            <w:r>
              <w:rPr>
                <w:rFonts w:ascii="宋体" w:hAnsi="宋体" w:hint="eastAsia"/>
                <w:sz w:val="20"/>
                <w:szCs w:val="21"/>
              </w:rPr>
              <w:t>《安全生产法》、《江苏省安全生产行政处罚自由裁量适用细则（2018版）》等</w:t>
            </w:r>
          </w:p>
        </w:tc>
        <w:tc>
          <w:tcPr>
            <w:tcW w:w="2122" w:type="dxa"/>
          </w:tcPr>
          <w:p w:rsidR="00063880" w:rsidRDefault="00063880" w:rsidP="003259C8">
            <w:pPr>
              <w:adjustRightInd w:val="0"/>
              <w:snapToGrid w:val="0"/>
              <w:spacing w:line="240" w:lineRule="exact"/>
              <w:rPr>
                <w:rFonts w:ascii="方正仿宋_GBK" w:eastAsia="方正仿宋_GBK" w:hAnsi="等线" w:hint="eastAsia"/>
                <w:sz w:val="20"/>
                <w:szCs w:val="21"/>
              </w:rPr>
            </w:pPr>
          </w:p>
        </w:tc>
      </w:tr>
      <w:tr w:rsidR="00063880" w:rsidTr="003259C8">
        <w:trPr>
          <w:trHeight w:val="625"/>
          <w:jc w:val="center"/>
        </w:trPr>
        <w:tc>
          <w:tcPr>
            <w:tcW w:w="782" w:type="dxa"/>
            <w:vAlign w:val="center"/>
          </w:tcPr>
          <w:p w:rsidR="00063880" w:rsidRDefault="00063880" w:rsidP="003259C8">
            <w:pPr>
              <w:adjustRightInd w:val="0"/>
              <w:snapToGrid w:val="0"/>
              <w:spacing w:line="240" w:lineRule="exact"/>
              <w:jc w:val="center"/>
              <w:rPr>
                <w:rFonts w:ascii="宋体" w:hAnsi="宋体" w:hint="eastAsia"/>
                <w:sz w:val="20"/>
                <w:szCs w:val="21"/>
              </w:rPr>
            </w:pPr>
            <w:r>
              <w:rPr>
                <w:rFonts w:ascii="宋体" w:hAnsi="宋体" w:hint="eastAsia"/>
                <w:sz w:val="20"/>
                <w:szCs w:val="21"/>
              </w:rPr>
              <w:t>9</w:t>
            </w:r>
          </w:p>
        </w:tc>
        <w:tc>
          <w:tcPr>
            <w:tcW w:w="2564" w:type="dxa"/>
            <w:vAlign w:val="center"/>
          </w:tcPr>
          <w:p w:rsidR="00063880" w:rsidRDefault="00063880" w:rsidP="003259C8">
            <w:pPr>
              <w:adjustRightInd w:val="0"/>
              <w:snapToGrid w:val="0"/>
              <w:spacing w:line="240" w:lineRule="exact"/>
              <w:rPr>
                <w:rFonts w:ascii="宋体" w:hAnsi="宋体" w:hint="eastAsia"/>
                <w:sz w:val="20"/>
                <w:szCs w:val="21"/>
              </w:rPr>
            </w:pPr>
            <w:r>
              <w:rPr>
                <w:rFonts w:ascii="宋体" w:hAnsi="宋体" w:hint="eastAsia"/>
                <w:sz w:val="20"/>
                <w:szCs w:val="21"/>
              </w:rPr>
              <w:t>其他内容</w:t>
            </w:r>
          </w:p>
        </w:tc>
        <w:tc>
          <w:tcPr>
            <w:tcW w:w="5167" w:type="dxa"/>
            <w:vAlign w:val="center"/>
          </w:tcPr>
          <w:p w:rsidR="00063880" w:rsidRDefault="00063880" w:rsidP="003259C8">
            <w:pPr>
              <w:adjustRightInd w:val="0"/>
              <w:snapToGrid w:val="0"/>
              <w:spacing w:line="240" w:lineRule="exact"/>
              <w:rPr>
                <w:rFonts w:ascii="宋体" w:hAnsi="宋体" w:hint="eastAsia"/>
                <w:sz w:val="20"/>
                <w:szCs w:val="21"/>
              </w:rPr>
            </w:pPr>
          </w:p>
        </w:tc>
        <w:tc>
          <w:tcPr>
            <w:tcW w:w="3119" w:type="dxa"/>
            <w:vAlign w:val="center"/>
          </w:tcPr>
          <w:p w:rsidR="00063880" w:rsidRDefault="00063880" w:rsidP="003259C8">
            <w:pPr>
              <w:adjustRightInd w:val="0"/>
              <w:snapToGrid w:val="0"/>
              <w:spacing w:line="240" w:lineRule="exact"/>
              <w:rPr>
                <w:rFonts w:ascii="宋体" w:hAnsi="宋体" w:hint="eastAsia"/>
                <w:sz w:val="20"/>
                <w:szCs w:val="21"/>
              </w:rPr>
            </w:pPr>
          </w:p>
        </w:tc>
        <w:tc>
          <w:tcPr>
            <w:tcW w:w="2122" w:type="dxa"/>
          </w:tcPr>
          <w:p w:rsidR="00063880" w:rsidRDefault="00063880" w:rsidP="003259C8">
            <w:pPr>
              <w:adjustRightInd w:val="0"/>
              <w:snapToGrid w:val="0"/>
              <w:spacing w:line="240" w:lineRule="exact"/>
              <w:rPr>
                <w:rFonts w:ascii="方正仿宋_GBK" w:eastAsia="方正仿宋_GBK" w:hAnsi="等线" w:hint="eastAsia"/>
                <w:sz w:val="20"/>
                <w:szCs w:val="21"/>
              </w:rPr>
            </w:pPr>
          </w:p>
        </w:tc>
      </w:tr>
      <w:tr w:rsidR="00063880" w:rsidTr="003259C8">
        <w:trPr>
          <w:trHeight w:val="524"/>
          <w:jc w:val="center"/>
        </w:trPr>
        <w:tc>
          <w:tcPr>
            <w:tcW w:w="782" w:type="dxa"/>
            <w:vAlign w:val="center"/>
          </w:tcPr>
          <w:p w:rsidR="00063880" w:rsidRDefault="00063880" w:rsidP="003259C8">
            <w:pPr>
              <w:adjustRightInd w:val="0"/>
              <w:snapToGrid w:val="0"/>
              <w:spacing w:line="400" w:lineRule="exact"/>
              <w:jc w:val="center"/>
              <w:rPr>
                <w:rFonts w:ascii="仿宋_GB2312" w:eastAsia="仿宋_GB2312" w:hAnsi="等线" w:hint="eastAsia"/>
                <w:sz w:val="28"/>
                <w:szCs w:val="28"/>
              </w:rPr>
            </w:pPr>
            <w:r>
              <w:rPr>
                <w:rFonts w:ascii="仿宋_GB2312" w:eastAsia="仿宋_GB2312" w:hint="eastAsia"/>
                <w:sz w:val="28"/>
                <w:szCs w:val="28"/>
              </w:rPr>
              <w:t>复查  情况</w:t>
            </w:r>
          </w:p>
        </w:tc>
        <w:tc>
          <w:tcPr>
            <w:tcW w:w="7731" w:type="dxa"/>
            <w:gridSpan w:val="2"/>
            <w:vAlign w:val="center"/>
          </w:tcPr>
          <w:p w:rsidR="00063880" w:rsidRDefault="00063880" w:rsidP="003259C8">
            <w:pPr>
              <w:spacing w:line="400" w:lineRule="exact"/>
              <w:jc w:val="left"/>
              <w:rPr>
                <w:rFonts w:ascii="仿宋_GB2312" w:eastAsia="仿宋_GB2312" w:hAnsi="等线" w:hint="eastAsia"/>
                <w:sz w:val="28"/>
                <w:szCs w:val="28"/>
              </w:rPr>
            </w:pPr>
            <w:r>
              <w:rPr>
                <w:rFonts w:ascii="仿宋_GB2312" w:eastAsia="仿宋_GB2312" w:hint="eastAsia"/>
                <w:sz w:val="28"/>
                <w:szCs w:val="28"/>
              </w:rPr>
              <w:t>县（市、区）级复查人员：</w:t>
            </w:r>
          </w:p>
        </w:tc>
        <w:tc>
          <w:tcPr>
            <w:tcW w:w="5241" w:type="dxa"/>
            <w:gridSpan w:val="2"/>
            <w:vAlign w:val="center"/>
          </w:tcPr>
          <w:p w:rsidR="00063880" w:rsidRDefault="00063880" w:rsidP="003259C8">
            <w:pPr>
              <w:adjustRightInd w:val="0"/>
              <w:snapToGrid w:val="0"/>
              <w:spacing w:line="400" w:lineRule="exact"/>
              <w:rPr>
                <w:rFonts w:ascii="仿宋_GB2312" w:eastAsia="仿宋_GB2312" w:hAnsi="等线" w:hint="eastAsia"/>
                <w:sz w:val="28"/>
                <w:szCs w:val="28"/>
              </w:rPr>
            </w:pPr>
            <w:r>
              <w:rPr>
                <w:rFonts w:ascii="仿宋_GB2312" w:eastAsia="仿宋_GB2312" w:hAnsi="等线" w:hint="eastAsia"/>
                <w:sz w:val="28"/>
                <w:szCs w:val="28"/>
              </w:rPr>
              <w:t>复查日期：</w:t>
            </w:r>
          </w:p>
        </w:tc>
      </w:tr>
    </w:tbl>
    <w:p w:rsidR="00063880" w:rsidRDefault="00063880" w:rsidP="00063880">
      <w:pPr>
        <w:jc w:val="left"/>
        <w:sectPr w:rsidR="00063880">
          <w:pgSz w:w="16838" w:h="11906" w:orient="landscape"/>
          <w:pgMar w:top="1531" w:right="1985" w:bottom="1531" w:left="1701" w:header="964" w:footer="964" w:gutter="0"/>
          <w:cols w:space="720"/>
          <w:docGrid w:linePitch="312"/>
        </w:sectPr>
      </w:pPr>
    </w:p>
    <w:p w:rsidR="00063880" w:rsidRDefault="00063880" w:rsidP="00063880">
      <w:pPr>
        <w:spacing w:line="540" w:lineRule="exact"/>
        <w:jc w:val="center"/>
        <w:rPr>
          <w:rFonts w:ascii="方正小标宋简体" w:eastAsia="方正小标宋简体" w:hAnsi="等线" w:hint="eastAsia"/>
          <w:sz w:val="38"/>
          <w:szCs w:val="38"/>
        </w:rPr>
      </w:pPr>
      <w:r>
        <w:rPr>
          <w:rFonts w:ascii="方正小标宋简体" w:eastAsia="方正小标宋简体" w:hAnsi="等线" w:hint="eastAsia"/>
          <w:sz w:val="38"/>
          <w:szCs w:val="38"/>
        </w:rPr>
        <w:lastRenderedPageBreak/>
        <w:t>海安市工贸行业重点领域安全生产专项执法重点内容检查表（粉尘涉爆）</w:t>
      </w:r>
    </w:p>
    <w:p w:rsidR="00063880" w:rsidRDefault="00063880" w:rsidP="00063880">
      <w:pPr>
        <w:spacing w:line="300" w:lineRule="exact"/>
        <w:jc w:val="center"/>
        <w:rPr>
          <w:rFonts w:ascii="方正小标宋简体" w:eastAsia="方正小标宋简体" w:hAnsi="等线" w:hint="eastAsia"/>
          <w:sz w:val="44"/>
          <w:szCs w:val="44"/>
        </w:rPr>
      </w:pPr>
    </w:p>
    <w:p w:rsidR="00063880" w:rsidRDefault="00063880" w:rsidP="00063880">
      <w:pPr>
        <w:spacing w:line="540" w:lineRule="exact"/>
        <w:rPr>
          <w:rFonts w:ascii="仿宋_GB2312" w:eastAsia="仿宋_GB2312" w:hAnsi="等线" w:hint="eastAsia"/>
          <w:sz w:val="44"/>
          <w:szCs w:val="44"/>
        </w:rPr>
      </w:pPr>
      <w:r>
        <w:rPr>
          <w:rFonts w:ascii="仿宋_GB2312" w:eastAsia="仿宋_GB2312" w:hint="eastAsia"/>
          <w:sz w:val="28"/>
          <w:szCs w:val="28"/>
        </w:rPr>
        <w:t>填报单位（盖章）：                     法定代表人（签字）：                 检查日期：    年  月  日</w:t>
      </w:r>
    </w:p>
    <w:tbl>
      <w:tblPr>
        <w:tblW w:w="13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66"/>
        <w:gridCol w:w="2091"/>
        <w:gridCol w:w="5245"/>
        <w:gridCol w:w="2835"/>
        <w:gridCol w:w="2835"/>
      </w:tblGrid>
      <w:tr w:rsidR="00063880" w:rsidTr="003259C8">
        <w:trPr>
          <w:trHeight w:val="583"/>
          <w:tblHeader/>
        </w:trPr>
        <w:tc>
          <w:tcPr>
            <w:tcW w:w="766"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序号</w:t>
            </w:r>
          </w:p>
        </w:tc>
        <w:tc>
          <w:tcPr>
            <w:tcW w:w="2091"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检查内容</w:t>
            </w:r>
          </w:p>
        </w:tc>
        <w:tc>
          <w:tcPr>
            <w:tcW w:w="5245"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法律及相关规定</w:t>
            </w:r>
          </w:p>
        </w:tc>
        <w:tc>
          <w:tcPr>
            <w:tcW w:w="2835" w:type="dxa"/>
            <w:vAlign w:val="center"/>
          </w:tcPr>
          <w:p w:rsidR="00063880" w:rsidRDefault="00063880" w:rsidP="003259C8">
            <w:pPr>
              <w:adjustRightInd w:val="0"/>
              <w:snapToGrid w:val="0"/>
              <w:spacing w:line="280" w:lineRule="exact"/>
              <w:jc w:val="center"/>
              <w:rPr>
                <w:rFonts w:ascii="黑体" w:eastAsia="黑体" w:hAnsi="黑体"/>
                <w:sz w:val="28"/>
                <w:szCs w:val="28"/>
              </w:rPr>
            </w:pPr>
            <w:r>
              <w:rPr>
                <w:rFonts w:ascii="黑体" w:eastAsia="黑体" w:hAnsi="黑体" w:hint="eastAsia"/>
                <w:sz w:val="28"/>
                <w:szCs w:val="28"/>
              </w:rPr>
              <w:t>处罚依据</w:t>
            </w:r>
          </w:p>
        </w:tc>
        <w:tc>
          <w:tcPr>
            <w:tcW w:w="2835" w:type="dxa"/>
            <w:vAlign w:val="center"/>
          </w:tcPr>
          <w:p w:rsidR="00063880" w:rsidRDefault="00063880" w:rsidP="003259C8">
            <w:pPr>
              <w:adjustRightInd w:val="0"/>
              <w:snapToGrid w:val="0"/>
              <w:spacing w:line="280" w:lineRule="exact"/>
              <w:jc w:val="center"/>
              <w:rPr>
                <w:rFonts w:ascii="黑体" w:eastAsia="黑体" w:hAnsi="黑体" w:hint="eastAsia"/>
                <w:sz w:val="28"/>
                <w:szCs w:val="28"/>
              </w:rPr>
            </w:pPr>
            <w:r>
              <w:rPr>
                <w:rFonts w:ascii="黑体" w:eastAsia="黑体" w:hAnsi="黑体" w:hint="eastAsia"/>
                <w:sz w:val="28"/>
                <w:szCs w:val="28"/>
              </w:rPr>
              <w:t>具体问题</w:t>
            </w:r>
          </w:p>
        </w:tc>
      </w:tr>
      <w:tr w:rsidR="00063880" w:rsidTr="003259C8">
        <w:trPr>
          <w:trHeight w:val="1103"/>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1</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粉尘爆炸危险场所设置在非框架结构的多层建构筑物内或与居民区、员工宿舍、会议室等人员密集场所安全距离不足。</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《工贸行业重大生产安全事故隐患判定标准（2017版）》专项类重大事故隐患（一）存在粉尘爆炸危险的行业领域第1项；《建筑设计防火规范》（GB 50016-2014）（2018版）第3.6.1条和《粉尘防爆安全规程》（GB 15577-2018）第5.1，5.7条；《建筑设计防火规范》（GB 50016-2014）第3.3.5、3.4.1、3.4.2条、《铝镁制品机械加工粉尘防爆安全技术规范》（AQ 4272-2016）第6.4条。</w:t>
            </w:r>
          </w:p>
        </w:tc>
        <w:tc>
          <w:tcPr>
            <w:tcW w:w="2835"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《安全生产法》、《江苏省安全生产行政处罚自由裁量适用细则（2018版）》等</w:t>
            </w:r>
          </w:p>
        </w:tc>
        <w:tc>
          <w:tcPr>
            <w:tcW w:w="2835" w:type="dxa"/>
          </w:tcPr>
          <w:p w:rsidR="00063880" w:rsidRDefault="00063880" w:rsidP="003259C8">
            <w:pPr>
              <w:adjustRightInd w:val="0"/>
              <w:snapToGrid w:val="0"/>
              <w:spacing w:line="220" w:lineRule="exact"/>
              <w:jc w:val="left"/>
              <w:rPr>
                <w:rFonts w:ascii="方正仿宋_GBK" w:eastAsia="方正仿宋_GBK" w:hAnsi="等线" w:hint="eastAsia"/>
                <w:sz w:val="20"/>
                <w:szCs w:val="21"/>
              </w:rPr>
            </w:pPr>
          </w:p>
        </w:tc>
      </w:tr>
      <w:tr w:rsidR="00063880" w:rsidTr="003259C8">
        <w:trPr>
          <w:trHeight w:val="1287"/>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2</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可燃性粉尘与可燃气体等易加剧爆炸危险的介质共用一套除尘系统，不同防火分区的除尘系统互联互通。</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《工贸行业重大生产安全事故隐患判定标准（2017版）》专项类重大事故隐患（一）存在粉尘爆炸危险的行业领域第2项；《粉尘防爆安全规程》（GB 15577-2018）第8.1.1条，8.1.2条，8.1.3条，8.14条；《粉尘爆炸危险场所用除尘系统安全技术规范》（AQ 4273-2016）第4.6条；《建筑设计防火规范》（GB 50016-2014）（2018版）第3.3.1条。</w:t>
            </w:r>
          </w:p>
        </w:tc>
        <w:tc>
          <w:tcPr>
            <w:tcW w:w="2835"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adjustRightInd w:val="0"/>
              <w:snapToGrid w:val="0"/>
              <w:spacing w:line="220" w:lineRule="exact"/>
              <w:jc w:val="center"/>
              <w:rPr>
                <w:rFonts w:ascii="方正仿宋_GBK" w:eastAsia="方正仿宋_GBK" w:hAnsi="等线" w:hint="eastAsia"/>
                <w:sz w:val="20"/>
                <w:szCs w:val="21"/>
              </w:rPr>
            </w:pPr>
          </w:p>
        </w:tc>
      </w:tr>
      <w:tr w:rsidR="00063880" w:rsidTr="003259C8">
        <w:trPr>
          <w:trHeight w:val="804"/>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3</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干式除尘系统未规范采用泄爆、隔爆、惰化、抑爆等任一种控爆措施。</w:t>
            </w:r>
          </w:p>
        </w:tc>
        <w:tc>
          <w:tcPr>
            <w:tcW w:w="5245" w:type="dxa"/>
            <w:vAlign w:val="center"/>
          </w:tcPr>
          <w:p w:rsidR="00063880" w:rsidRDefault="00063880" w:rsidP="003259C8">
            <w:pPr>
              <w:spacing w:line="26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《工贸行业重大生产安全事故隐患判定标准（2017版）》专项类重大事故隐患（一）存在粉尘爆炸危险的行业领域第3项；《粉尘防爆安全规程》（GB15577-2018）第6.5条，7.3条，7.4条，7.5条。</w:t>
            </w:r>
          </w:p>
        </w:tc>
        <w:tc>
          <w:tcPr>
            <w:tcW w:w="2835" w:type="dxa"/>
            <w:vAlign w:val="center"/>
          </w:tcPr>
          <w:p w:rsidR="00063880" w:rsidRDefault="00063880" w:rsidP="003259C8">
            <w:pPr>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spacing w:line="220" w:lineRule="exact"/>
              <w:jc w:val="center"/>
              <w:rPr>
                <w:rFonts w:ascii="方正仿宋_GBK" w:eastAsia="方正仿宋_GBK" w:hAnsi="等线" w:hint="eastAsia"/>
                <w:sz w:val="20"/>
                <w:szCs w:val="21"/>
              </w:rPr>
            </w:pPr>
          </w:p>
        </w:tc>
      </w:tr>
      <w:tr w:rsidR="00063880" w:rsidTr="003259C8">
        <w:trPr>
          <w:trHeight w:val="1222"/>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4</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除尘系统采用正压吹送粉尘，且未采取可靠的防范点燃源的措施。</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《工贸行业重大生产安全事故隐患判定标准（2017版）》专项类重大事故隐患（一）存在粉尘爆炸危险的行业领域第4项；《粉尘爆炸危险场所用收尘器防爆导则》（GB/T 17919-2008）第4.1.9 条；《爆炸危险场所用除尘系统安全技术规范》（AQ 4273-2016）第4.5条；</w:t>
            </w:r>
          </w:p>
          <w:p w:rsidR="00063880" w:rsidRDefault="00063880" w:rsidP="003259C8">
            <w:pPr>
              <w:spacing w:line="250" w:lineRule="exact"/>
              <w:jc w:val="left"/>
              <w:rPr>
                <w:rFonts w:ascii="宋体" w:hAnsi="宋体"/>
                <w:sz w:val="20"/>
                <w:szCs w:val="21"/>
              </w:rPr>
            </w:pPr>
            <w:r>
              <w:rPr>
                <w:rFonts w:ascii="宋体" w:hAnsi="宋体" w:hint="eastAsia"/>
                <w:sz w:val="20"/>
                <w:szCs w:val="21"/>
              </w:rPr>
              <w:t>《建筑设计防火规范》（GB 50016-2014）（2018版）第9.3.5条规定。</w:t>
            </w:r>
          </w:p>
        </w:tc>
        <w:tc>
          <w:tcPr>
            <w:tcW w:w="2835" w:type="dxa"/>
            <w:vAlign w:val="center"/>
          </w:tcPr>
          <w:p w:rsidR="00063880" w:rsidRDefault="00063880" w:rsidP="003259C8">
            <w:pPr>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spacing w:line="220" w:lineRule="exact"/>
              <w:jc w:val="center"/>
              <w:rPr>
                <w:rFonts w:ascii="方正仿宋_GBK" w:eastAsia="方正仿宋_GBK" w:hAnsi="等线" w:hint="eastAsia"/>
                <w:sz w:val="20"/>
                <w:szCs w:val="21"/>
              </w:rPr>
            </w:pPr>
          </w:p>
        </w:tc>
      </w:tr>
      <w:tr w:rsidR="00063880" w:rsidTr="003259C8">
        <w:trPr>
          <w:trHeight w:val="991"/>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lastRenderedPageBreak/>
              <w:t>5</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除尘系统采用粉尘沉降室除尘，或者采用干式巷道式构筑物作为除尘风道。</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《工贸行业重大生产安全事故隐患判定标准（2017版）》专项类重大事故隐患（一）存在粉尘爆炸危险的行业领域第5项；《爆炸危险场所用除尘系统安全技术规范》（AQ 4273-2016）第4.1条。</w:t>
            </w:r>
          </w:p>
        </w:tc>
        <w:tc>
          <w:tcPr>
            <w:tcW w:w="2835" w:type="dxa"/>
            <w:vAlign w:val="center"/>
          </w:tcPr>
          <w:p w:rsidR="00063880" w:rsidRDefault="00063880" w:rsidP="003259C8">
            <w:pPr>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spacing w:line="220" w:lineRule="exact"/>
              <w:jc w:val="center"/>
              <w:rPr>
                <w:rFonts w:ascii="方正仿宋_GBK" w:eastAsia="方正仿宋_GBK" w:hAnsi="等线" w:hint="eastAsia"/>
                <w:sz w:val="20"/>
                <w:szCs w:val="21"/>
              </w:rPr>
            </w:pPr>
          </w:p>
        </w:tc>
      </w:tr>
      <w:tr w:rsidR="00063880" w:rsidTr="003259C8">
        <w:trPr>
          <w:trHeight w:val="90"/>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6</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铝镁等金属粉尘及木质粉尘的干式除尘系统未规范设置锁气卸灰装置。</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《工贸行业重大生产安全事故隐患判定标准（2017版）》专项类重大事故隐患（一）存在粉尘爆炸危险的行业领域第6项；《粉尘爆炸危险场所用收尘器防爆导则》（GB/T 17919-2008）第4.6.3条；《爆炸危险场所用除尘系统安全技术规范》（AQ 4273-2016）5.1.6。</w:t>
            </w:r>
          </w:p>
        </w:tc>
        <w:tc>
          <w:tcPr>
            <w:tcW w:w="2835" w:type="dxa"/>
            <w:vAlign w:val="center"/>
          </w:tcPr>
          <w:p w:rsidR="00063880" w:rsidRDefault="00063880" w:rsidP="003259C8">
            <w:pPr>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spacing w:line="220" w:lineRule="exact"/>
              <w:jc w:val="center"/>
              <w:rPr>
                <w:rFonts w:ascii="方正仿宋_GBK" w:eastAsia="方正仿宋_GBK" w:hAnsi="等线" w:hint="eastAsia"/>
                <w:sz w:val="20"/>
                <w:szCs w:val="21"/>
              </w:rPr>
            </w:pPr>
          </w:p>
        </w:tc>
      </w:tr>
      <w:tr w:rsidR="00063880" w:rsidTr="003259C8">
        <w:trPr>
          <w:trHeight w:val="1303"/>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7</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粉尘爆炸危险场所的20区未使用防爆电气设备设施。</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7项；《粉尘防爆安全规程》（GB15577-2018）第6.3.3条，6.3.4条；《可燃性粉尘环境用电气通用要求》（GB 12476.1-2013）相关要求；《爆炸和火灾危险环境电力装置设计规范》（GB50058-2014）相关要求。</w:t>
            </w:r>
          </w:p>
        </w:tc>
        <w:tc>
          <w:tcPr>
            <w:tcW w:w="2835" w:type="dxa"/>
            <w:vAlign w:val="center"/>
          </w:tcPr>
          <w:p w:rsidR="00063880" w:rsidRDefault="00063880" w:rsidP="003259C8">
            <w:pPr>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spacing w:line="220" w:lineRule="exact"/>
              <w:jc w:val="center"/>
              <w:rPr>
                <w:rFonts w:ascii="方正仿宋_GBK" w:eastAsia="方正仿宋_GBK" w:hAnsi="等线" w:hint="eastAsia"/>
                <w:sz w:val="20"/>
                <w:szCs w:val="21"/>
              </w:rPr>
            </w:pPr>
          </w:p>
        </w:tc>
      </w:tr>
      <w:tr w:rsidR="00063880" w:rsidTr="003259C8">
        <w:trPr>
          <w:trHeight w:val="1330"/>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8</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在粉碎、研磨、造粒等易于产生机械点火源的工艺设备前，未按规范设置去除铁、石等异物的装置。</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《工贸行业重大生产安全事故隐患判定标准（2017版）》专项类重大事故隐患（一）存在粉尘爆炸危险的行业领域第8项；《粉尘防爆安全规程》（GB15577-2018）第6.4条；</w:t>
            </w:r>
          </w:p>
          <w:p w:rsidR="00063880" w:rsidRDefault="00063880" w:rsidP="003259C8">
            <w:pPr>
              <w:spacing w:line="250" w:lineRule="exact"/>
              <w:jc w:val="left"/>
              <w:rPr>
                <w:rFonts w:ascii="宋体" w:hAnsi="宋体"/>
                <w:sz w:val="20"/>
                <w:szCs w:val="21"/>
              </w:rPr>
            </w:pPr>
            <w:r>
              <w:rPr>
                <w:rFonts w:ascii="宋体" w:hAnsi="宋体" w:hint="eastAsia"/>
                <w:sz w:val="20"/>
                <w:szCs w:val="21"/>
              </w:rPr>
              <w:t>《饲料加工系统粉尘防爆安全规程》（GB 19081-2008）第8.7条、第8.8条；《粮食加工、储运系统粉尘防爆安全规程》（GB 17440-2008）第5.2.6.1条。</w:t>
            </w:r>
          </w:p>
        </w:tc>
        <w:tc>
          <w:tcPr>
            <w:tcW w:w="2835" w:type="dxa"/>
            <w:vAlign w:val="center"/>
          </w:tcPr>
          <w:p w:rsidR="00063880" w:rsidRDefault="00063880" w:rsidP="003259C8">
            <w:pPr>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spacing w:line="220" w:lineRule="exact"/>
              <w:jc w:val="center"/>
              <w:rPr>
                <w:rFonts w:ascii="方正仿宋_GBK" w:eastAsia="方正仿宋_GBK" w:hAnsi="等线" w:hint="eastAsia"/>
                <w:sz w:val="20"/>
                <w:szCs w:val="21"/>
              </w:rPr>
            </w:pPr>
          </w:p>
        </w:tc>
      </w:tr>
      <w:tr w:rsidR="00063880" w:rsidTr="003259C8">
        <w:trPr>
          <w:trHeight w:val="1541"/>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9</w:t>
            </w:r>
          </w:p>
        </w:tc>
        <w:tc>
          <w:tcPr>
            <w:tcW w:w="2091" w:type="dxa"/>
            <w:vAlign w:val="center"/>
          </w:tcPr>
          <w:p w:rsidR="00063880" w:rsidRDefault="00063880" w:rsidP="003259C8">
            <w:pPr>
              <w:adjustRightInd w:val="0"/>
              <w:snapToGrid w:val="0"/>
              <w:spacing w:line="260" w:lineRule="exact"/>
              <w:jc w:val="left"/>
              <w:rPr>
                <w:rFonts w:ascii="宋体" w:hAnsi="宋体"/>
                <w:sz w:val="20"/>
                <w:szCs w:val="21"/>
              </w:rPr>
            </w:pPr>
            <w:r>
              <w:rPr>
                <w:rFonts w:ascii="宋体" w:hAnsi="宋体" w:hint="eastAsia"/>
                <w:sz w:val="20"/>
                <w:szCs w:val="21"/>
              </w:rPr>
              <w:t>木制品加工企业，与砂光机连接的风管未规范设置火花探测报警装置。</w:t>
            </w:r>
          </w:p>
        </w:tc>
        <w:tc>
          <w:tcPr>
            <w:tcW w:w="5245" w:type="dxa"/>
            <w:vAlign w:val="center"/>
          </w:tcPr>
          <w:p w:rsidR="00063880" w:rsidRDefault="00063880" w:rsidP="003259C8">
            <w:pPr>
              <w:spacing w:line="25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《工贸行业重大生产安全事故隐患判定标准（2017版）》专项类重大事故隐患（一）存在粉尘爆炸危险的行业领域第9项；《木材加工系统粉尘防爆安全规范》（AQ 4228-2012）第6.2.1.2条、第6.6.3条、第6.7.1条；《爆炸危险场所用除尘系统安全技术规范》（AQ 4273-2016）第11.2条C条、D条《爆炸危险场所用除尘系统安全技术规范》（AQ 4273-2016）第6.3条；《铝镁制品机械加工粉尘防爆安全技术规范》（ AQ 4272—2016 ）第9.4.2条。</w:t>
            </w:r>
          </w:p>
        </w:tc>
        <w:tc>
          <w:tcPr>
            <w:tcW w:w="2835" w:type="dxa"/>
            <w:vAlign w:val="center"/>
          </w:tcPr>
          <w:p w:rsidR="00063880" w:rsidRDefault="00063880" w:rsidP="003259C8">
            <w:pPr>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spacing w:line="220" w:lineRule="exact"/>
              <w:jc w:val="center"/>
              <w:rPr>
                <w:rFonts w:ascii="方正仿宋_GBK" w:eastAsia="方正仿宋_GBK" w:hAnsi="等线" w:hint="eastAsia"/>
                <w:sz w:val="20"/>
                <w:szCs w:val="21"/>
              </w:rPr>
            </w:pPr>
          </w:p>
        </w:tc>
      </w:tr>
      <w:tr w:rsidR="00063880" w:rsidTr="003259C8">
        <w:trPr>
          <w:trHeight w:val="918"/>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lastRenderedPageBreak/>
              <w:t>10</w:t>
            </w:r>
          </w:p>
        </w:tc>
        <w:tc>
          <w:tcPr>
            <w:tcW w:w="2091" w:type="dxa"/>
            <w:vAlign w:val="center"/>
          </w:tcPr>
          <w:p w:rsidR="00063880" w:rsidRDefault="00063880" w:rsidP="003259C8">
            <w:pPr>
              <w:adjustRightInd w:val="0"/>
              <w:snapToGrid w:val="0"/>
              <w:spacing w:line="300" w:lineRule="exact"/>
              <w:jc w:val="left"/>
              <w:rPr>
                <w:rFonts w:ascii="宋体" w:hAnsi="宋体"/>
                <w:sz w:val="20"/>
                <w:szCs w:val="21"/>
              </w:rPr>
            </w:pPr>
            <w:r>
              <w:rPr>
                <w:rFonts w:ascii="宋体" w:hAnsi="宋体" w:hint="eastAsia"/>
                <w:sz w:val="20"/>
                <w:szCs w:val="21"/>
              </w:rPr>
              <w:t>未制定粉尘清扫制度，作业现场积尘未及时规范清理。</w:t>
            </w:r>
          </w:p>
        </w:tc>
        <w:tc>
          <w:tcPr>
            <w:tcW w:w="5245" w:type="dxa"/>
            <w:vAlign w:val="center"/>
          </w:tcPr>
          <w:p w:rsidR="00063880" w:rsidRDefault="00063880" w:rsidP="003259C8">
            <w:pPr>
              <w:spacing w:line="300" w:lineRule="exact"/>
              <w:jc w:val="left"/>
              <w:rPr>
                <w:rFonts w:ascii="宋体" w:hAnsi="宋体"/>
                <w:sz w:val="20"/>
                <w:szCs w:val="21"/>
              </w:rPr>
            </w:pPr>
            <w:r>
              <w:rPr>
                <w:rFonts w:ascii="宋体" w:hAnsi="宋体" w:hint="eastAsia"/>
                <w:sz w:val="20"/>
                <w:szCs w:val="21"/>
              </w:rPr>
              <w:t>《工贸行业重大生产安全事故隐患判定标准（2017版）》专项类重大事故隐患（一）存在粉尘爆炸危险的行业领域第10项；《粉尘防爆安全规程》（GB15577-2018）第9条；</w:t>
            </w:r>
          </w:p>
          <w:p w:rsidR="00063880" w:rsidRDefault="00063880" w:rsidP="003259C8">
            <w:pPr>
              <w:spacing w:line="300" w:lineRule="exact"/>
              <w:jc w:val="left"/>
              <w:rPr>
                <w:rFonts w:ascii="宋体" w:hAnsi="宋体"/>
                <w:sz w:val="20"/>
                <w:szCs w:val="21"/>
              </w:rPr>
            </w:pPr>
            <w:r>
              <w:rPr>
                <w:rFonts w:ascii="宋体" w:hAnsi="宋体" w:hint="eastAsia"/>
                <w:sz w:val="20"/>
                <w:szCs w:val="21"/>
              </w:rPr>
              <w:t>《爆炸危险场所用除尘系统安全技术规范》（AQ 4273-2016）第12条。</w:t>
            </w:r>
          </w:p>
        </w:tc>
        <w:tc>
          <w:tcPr>
            <w:tcW w:w="2835"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adjustRightInd w:val="0"/>
              <w:snapToGrid w:val="0"/>
              <w:spacing w:line="220" w:lineRule="exact"/>
              <w:jc w:val="center"/>
              <w:rPr>
                <w:rFonts w:ascii="方正仿宋_GBK" w:eastAsia="方正仿宋_GBK" w:hAnsi="等线" w:hint="eastAsia"/>
                <w:sz w:val="20"/>
                <w:szCs w:val="21"/>
              </w:rPr>
            </w:pPr>
          </w:p>
        </w:tc>
      </w:tr>
      <w:tr w:rsidR="00063880" w:rsidTr="003259C8">
        <w:trPr>
          <w:trHeight w:val="795"/>
        </w:trPr>
        <w:tc>
          <w:tcPr>
            <w:tcW w:w="766"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11</w:t>
            </w:r>
          </w:p>
        </w:tc>
        <w:tc>
          <w:tcPr>
            <w:tcW w:w="2091" w:type="dxa"/>
            <w:vAlign w:val="center"/>
          </w:tcPr>
          <w:p w:rsidR="00063880" w:rsidRDefault="00063880" w:rsidP="003259C8">
            <w:pPr>
              <w:adjustRightInd w:val="0"/>
              <w:snapToGrid w:val="0"/>
              <w:spacing w:line="300" w:lineRule="exact"/>
              <w:jc w:val="left"/>
              <w:rPr>
                <w:rFonts w:ascii="宋体" w:hAnsi="宋体"/>
                <w:sz w:val="20"/>
                <w:szCs w:val="21"/>
              </w:rPr>
            </w:pPr>
            <w:r>
              <w:rPr>
                <w:rFonts w:ascii="宋体" w:hAnsi="宋体" w:hint="eastAsia"/>
                <w:sz w:val="20"/>
                <w:szCs w:val="21"/>
              </w:rPr>
              <w:t>未按照要求淘汰砖槽式通风道金属打磨工艺。</w:t>
            </w:r>
          </w:p>
        </w:tc>
        <w:tc>
          <w:tcPr>
            <w:tcW w:w="5245" w:type="dxa"/>
            <w:vAlign w:val="center"/>
          </w:tcPr>
          <w:p w:rsidR="00063880" w:rsidRDefault="00063880" w:rsidP="003259C8">
            <w:pPr>
              <w:adjustRightInd w:val="0"/>
              <w:snapToGrid w:val="0"/>
              <w:spacing w:line="300" w:lineRule="exact"/>
              <w:jc w:val="left"/>
              <w:rPr>
                <w:rFonts w:ascii="宋体" w:hAnsi="宋体"/>
                <w:sz w:val="20"/>
                <w:szCs w:val="21"/>
              </w:rPr>
            </w:pPr>
            <w:r>
              <w:rPr>
                <w:rFonts w:ascii="宋体" w:hAnsi="宋体" w:hint="eastAsia"/>
                <w:sz w:val="20"/>
                <w:szCs w:val="21"/>
              </w:rPr>
              <w:t>《淘汰落后安全技术工艺、设备目录(2016年)》第10项；</w:t>
            </w:r>
          </w:p>
          <w:p w:rsidR="00063880" w:rsidRDefault="00063880" w:rsidP="003259C8">
            <w:pPr>
              <w:adjustRightInd w:val="0"/>
              <w:snapToGrid w:val="0"/>
              <w:spacing w:line="300" w:lineRule="exact"/>
              <w:jc w:val="left"/>
              <w:rPr>
                <w:rFonts w:ascii="宋体" w:hAnsi="宋体"/>
                <w:sz w:val="20"/>
                <w:szCs w:val="21"/>
              </w:rPr>
            </w:pPr>
            <w:r>
              <w:rPr>
                <w:rFonts w:ascii="宋体" w:hAnsi="宋体" w:hint="eastAsia"/>
                <w:sz w:val="20"/>
                <w:szCs w:val="21"/>
              </w:rPr>
              <w:t>《安全生产法》第三十五条“生产经营单位不得使用应当淘汰的危及生产安全的工艺、设备。”</w:t>
            </w:r>
          </w:p>
        </w:tc>
        <w:tc>
          <w:tcPr>
            <w:tcW w:w="2835" w:type="dxa"/>
            <w:vAlign w:val="center"/>
          </w:tcPr>
          <w:p w:rsidR="00063880" w:rsidRDefault="00063880" w:rsidP="003259C8">
            <w:pPr>
              <w:adjustRightInd w:val="0"/>
              <w:snapToGrid w:val="0"/>
              <w:spacing w:line="220" w:lineRule="exact"/>
              <w:jc w:val="center"/>
              <w:rPr>
                <w:rFonts w:ascii="宋体" w:hAnsi="宋体"/>
                <w:sz w:val="20"/>
                <w:szCs w:val="21"/>
              </w:rPr>
            </w:pPr>
            <w:r>
              <w:rPr>
                <w:rFonts w:ascii="宋体" w:hAnsi="宋体" w:hint="eastAsia"/>
                <w:sz w:val="20"/>
                <w:szCs w:val="21"/>
              </w:rPr>
              <w:t>同上</w:t>
            </w:r>
          </w:p>
        </w:tc>
        <w:tc>
          <w:tcPr>
            <w:tcW w:w="2835" w:type="dxa"/>
          </w:tcPr>
          <w:p w:rsidR="00063880" w:rsidRDefault="00063880" w:rsidP="003259C8">
            <w:pPr>
              <w:adjustRightInd w:val="0"/>
              <w:snapToGrid w:val="0"/>
              <w:spacing w:line="220" w:lineRule="exact"/>
              <w:jc w:val="center"/>
              <w:rPr>
                <w:rFonts w:ascii="方正仿宋_GBK" w:eastAsia="方正仿宋_GBK" w:hAnsi="等线" w:hint="eastAsia"/>
                <w:sz w:val="20"/>
                <w:szCs w:val="21"/>
              </w:rPr>
            </w:pPr>
          </w:p>
        </w:tc>
      </w:tr>
      <w:tr w:rsidR="00063880" w:rsidTr="003259C8">
        <w:trPr>
          <w:trHeight w:val="795"/>
        </w:trPr>
        <w:tc>
          <w:tcPr>
            <w:tcW w:w="766" w:type="dxa"/>
            <w:tcBorders>
              <w:top w:val="single" w:sz="4" w:space="0" w:color="auto"/>
              <w:left w:val="single" w:sz="4" w:space="0" w:color="auto"/>
              <w:bottom w:val="single" w:sz="4" w:space="0" w:color="auto"/>
              <w:right w:val="single" w:sz="4" w:space="0" w:color="auto"/>
            </w:tcBorders>
            <w:vAlign w:val="center"/>
          </w:tcPr>
          <w:p w:rsidR="00063880" w:rsidRDefault="00063880" w:rsidP="003259C8">
            <w:pPr>
              <w:adjustRightInd w:val="0"/>
              <w:snapToGrid w:val="0"/>
              <w:spacing w:line="220" w:lineRule="exact"/>
              <w:jc w:val="center"/>
              <w:rPr>
                <w:rFonts w:ascii="宋体" w:hAnsi="宋体" w:hint="eastAsia"/>
                <w:sz w:val="20"/>
                <w:szCs w:val="21"/>
              </w:rPr>
            </w:pPr>
            <w:r>
              <w:rPr>
                <w:rFonts w:ascii="宋体" w:hAnsi="宋体" w:hint="eastAsia"/>
                <w:sz w:val="20"/>
                <w:szCs w:val="21"/>
              </w:rPr>
              <w:t>12</w:t>
            </w:r>
          </w:p>
        </w:tc>
        <w:tc>
          <w:tcPr>
            <w:tcW w:w="2091" w:type="dxa"/>
            <w:tcBorders>
              <w:top w:val="single" w:sz="4" w:space="0" w:color="auto"/>
              <w:left w:val="single" w:sz="4" w:space="0" w:color="auto"/>
              <w:bottom w:val="single" w:sz="4" w:space="0" w:color="auto"/>
              <w:right w:val="single" w:sz="4" w:space="0" w:color="auto"/>
            </w:tcBorders>
            <w:vAlign w:val="center"/>
          </w:tcPr>
          <w:p w:rsidR="00063880" w:rsidRDefault="00063880" w:rsidP="003259C8">
            <w:pPr>
              <w:adjustRightInd w:val="0"/>
              <w:snapToGrid w:val="0"/>
              <w:spacing w:line="220" w:lineRule="exact"/>
              <w:jc w:val="left"/>
              <w:rPr>
                <w:rFonts w:ascii="宋体" w:hAnsi="宋体" w:hint="eastAsia"/>
                <w:sz w:val="20"/>
                <w:szCs w:val="21"/>
              </w:rPr>
            </w:pPr>
            <w:r>
              <w:rPr>
                <w:rFonts w:ascii="宋体" w:hAnsi="宋体" w:hint="eastAsia"/>
                <w:sz w:val="20"/>
                <w:szCs w:val="21"/>
              </w:rPr>
              <w:t>其他内容</w:t>
            </w:r>
          </w:p>
        </w:tc>
        <w:tc>
          <w:tcPr>
            <w:tcW w:w="5245" w:type="dxa"/>
            <w:tcBorders>
              <w:top w:val="single" w:sz="4" w:space="0" w:color="auto"/>
              <w:left w:val="single" w:sz="4" w:space="0" w:color="auto"/>
              <w:bottom w:val="single" w:sz="4" w:space="0" w:color="auto"/>
              <w:right w:val="single" w:sz="4" w:space="0" w:color="auto"/>
            </w:tcBorders>
            <w:vAlign w:val="center"/>
          </w:tcPr>
          <w:p w:rsidR="00063880" w:rsidRDefault="00063880" w:rsidP="003259C8">
            <w:pPr>
              <w:adjustRightInd w:val="0"/>
              <w:snapToGrid w:val="0"/>
              <w:spacing w:line="220" w:lineRule="exact"/>
              <w:jc w:val="left"/>
              <w:rPr>
                <w:rFonts w:ascii="宋体" w:hAnsi="宋体" w:hint="eastAsia"/>
                <w:sz w:val="2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063880" w:rsidRDefault="00063880" w:rsidP="003259C8">
            <w:pPr>
              <w:adjustRightInd w:val="0"/>
              <w:snapToGrid w:val="0"/>
              <w:spacing w:line="220" w:lineRule="exact"/>
              <w:jc w:val="center"/>
              <w:rPr>
                <w:rFonts w:ascii="宋体" w:hAnsi="宋体" w:hint="eastAsia"/>
                <w:sz w:val="20"/>
                <w:szCs w:val="21"/>
              </w:rPr>
            </w:pPr>
          </w:p>
        </w:tc>
        <w:tc>
          <w:tcPr>
            <w:tcW w:w="2835" w:type="dxa"/>
            <w:tcBorders>
              <w:top w:val="single" w:sz="4" w:space="0" w:color="auto"/>
              <w:left w:val="single" w:sz="4" w:space="0" w:color="auto"/>
              <w:bottom w:val="single" w:sz="4" w:space="0" w:color="auto"/>
              <w:right w:val="single" w:sz="4" w:space="0" w:color="auto"/>
            </w:tcBorders>
          </w:tcPr>
          <w:p w:rsidR="00063880" w:rsidRDefault="00063880" w:rsidP="003259C8">
            <w:pPr>
              <w:adjustRightInd w:val="0"/>
              <w:snapToGrid w:val="0"/>
              <w:spacing w:line="220" w:lineRule="exact"/>
              <w:jc w:val="center"/>
              <w:rPr>
                <w:rFonts w:ascii="方正仿宋_GBK" w:eastAsia="方正仿宋_GBK" w:hAnsi="等线" w:hint="eastAsia"/>
                <w:sz w:val="20"/>
                <w:szCs w:val="21"/>
              </w:rPr>
            </w:pPr>
          </w:p>
        </w:tc>
      </w:tr>
      <w:tr w:rsidR="00063880" w:rsidTr="003259C8">
        <w:trPr>
          <w:trHeight w:val="1049"/>
        </w:trPr>
        <w:tc>
          <w:tcPr>
            <w:tcW w:w="766" w:type="dxa"/>
            <w:tcBorders>
              <w:top w:val="single" w:sz="4" w:space="0" w:color="auto"/>
              <w:left w:val="single" w:sz="4" w:space="0" w:color="auto"/>
              <w:bottom w:val="single" w:sz="4" w:space="0" w:color="auto"/>
              <w:right w:val="single" w:sz="4" w:space="0" w:color="auto"/>
            </w:tcBorders>
            <w:vAlign w:val="center"/>
          </w:tcPr>
          <w:p w:rsidR="00063880" w:rsidRDefault="00063880" w:rsidP="003259C8">
            <w:pPr>
              <w:adjustRightInd w:val="0"/>
              <w:snapToGrid w:val="0"/>
              <w:spacing w:line="400" w:lineRule="exact"/>
              <w:jc w:val="center"/>
              <w:rPr>
                <w:rFonts w:ascii="仿宋_GB2312" w:eastAsia="仿宋_GB2312" w:hAnsi="等线" w:hint="eastAsia"/>
                <w:sz w:val="20"/>
                <w:szCs w:val="21"/>
              </w:rPr>
            </w:pPr>
            <w:r>
              <w:rPr>
                <w:rFonts w:ascii="仿宋_GB2312" w:eastAsia="仿宋_GB2312" w:hint="eastAsia"/>
                <w:sz w:val="28"/>
                <w:szCs w:val="28"/>
              </w:rPr>
              <w:t>复查情况</w:t>
            </w:r>
          </w:p>
        </w:tc>
        <w:tc>
          <w:tcPr>
            <w:tcW w:w="7336" w:type="dxa"/>
            <w:gridSpan w:val="2"/>
            <w:tcBorders>
              <w:top w:val="single" w:sz="4" w:space="0" w:color="auto"/>
              <w:left w:val="single" w:sz="4" w:space="0" w:color="auto"/>
              <w:bottom w:val="single" w:sz="4" w:space="0" w:color="auto"/>
              <w:right w:val="single" w:sz="4" w:space="0" w:color="auto"/>
            </w:tcBorders>
            <w:vAlign w:val="center"/>
          </w:tcPr>
          <w:p w:rsidR="00063880" w:rsidRDefault="00063880" w:rsidP="003259C8">
            <w:pPr>
              <w:adjustRightInd w:val="0"/>
              <w:snapToGrid w:val="0"/>
              <w:spacing w:line="400" w:lineRule="exact"/>
              <w:jc w:val="left"/>
              <w:rPr>
                <w:rFonts w:ascii="仿宋_GB2312" w:eastAsia="仿宋_GB2312" w:hAnsi="等线" w:hint="eastAsia"/>
                <w:sz w:val="20"/>
                <w:szCs w:val="21"/>
              </w:rPr>
            </w:pPr>
            <w:r>
              <w:rPr>
                <w:rFonts w:ascii="仿宋_GB2312" w:eastAsia="仿宋_GB2312" w:hint="eastAsia"/>
                <w:sz w:val="28"/>
                <w:szCs w:val="28"/>
              </w:rPr>
              <w:t>县（市、区）级复查人员：</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63880" w:rsidRDefault="00063880" w:rsidP="003259C8">
            <w:pPr>
              <w:adjustRightInd w:val="0"/>
              <w:snapToGrid w:val="0"/>
              <w:spacing w:line="400" w:lineRule="exact"/>
              <w:jc w:val="left"/>
              <w:rPr>
                <w:rFonts w:ascii="仿宋_GB2312" w:eastAsia="仿宋_GB2312" w:hAnsi="等线" w:hint="eastAsia"/>
                <w:sz w:val="20"/>
                <w:szCs w:val="21"/>
              </w:rPr>
            </w:pPr>
            <w:r>
              <w:rPr>
                <w:rFonts w:ascii="仿宋_GB2312" w:eastAsia="仿宋_GB2312" w:hAnsi="等线" w:hint="eastAsia"/>
                <w:sz w:val="28"/>
                <w:szCs w:val="28"/>
              </w:rPr>
              <w:t>复查日期：</w:t>
            </w:r>
          </w:p>
        </w:tc>
      </w:tr>
    </w:tbl>
    <w:p w:rsidR="00086107" w:rsidRDefault="00086107" w:rsidP="00063880">
      <w:pPr>
        <w:spacing w:beforeLines="50"/>
        <w:rPr>
          <w:rFonts w:ascii="宋体" w:hAnsi="宋体"/>
          <w:sz w:val="24"/>
          <w:szCs w:val="24"/>
        </w:rPr>
        <w:sectPr w:rsidR="00086107" w:rsidSect="00063880">
          <w:pgSz w:w="16838" w:h="11906" w:orient="landscape"/>
          <w:pgMar w:top="1247" w:right="1418" w:bottom="1247" w:left="1418" w:header="624" w:footer="680" w:gutter="0"/>
          <w:cols w:space="425"/>
          <w:docGrid w:type="linesAndChars" w:linePitch="312"/>
        </w:sectPr>
      </w:pPr>
    </w:p>
    <w:p w:rsidR="00AA3C7B" w:rsidRPr="00086107" w:rsidRDefault="00AA3C7B" w:rsidP="00063880"/>
    <w:sectPr w:rsidR="00AA3C7B" w:rsidRPr="00086107" w:rsidSect="00AA3C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25D" w:rsidRDefault="002F525D" w:rsidP="00063880">
      <w:r>
        <w:separator/>
      </w:r>
    </w:p>
  </w:endnote>
  <w:endnote w:type="continuationSeparator" w:id="1">
    <w:p w:rsidR="002F525D" w:rsidRDefault="002F525D" w:rsidP="00063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25D" w:rsidRDefault="002F525D" w:rsidP="00063880">
      <w:r>
        <w:separator/>
      </w:r>
    </w:p>
  </w:footnote>
  <w:footnote w:type="continuationSeparator" w:id="1">
    <w:p w:rsidR="002F525D" w:rsidRDefault="002F525D" w:rsidP="000638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107"/>
    <w:rsid w:val="00063880"/>
    <w:rsid w:val="00086107"/>
    <w:rsid w:val="002F525D"/>
    <w:rsid w:val="00AA3C7B"/>
    <w:rsid w:val="00C33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107"/>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638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63880"/>
    <w:rPr>
      <w:rFonts w:ascii="Calibri" w:eastAsia="宋体" w:hAnsi="Calibri" w:cs="Times New Roman"/>
      <w:sz w:val="18"/>
      <w:szCs w:val="18"/>
    </w:rPr>
  </w:style>
  <w:style w:type="paragraph" w:styleId="a5">
    <w:name w:val="footer"/>
    <w:basedOn w:val="a"/>
    <w:link w:val="Char0"/>
    <w:uiPriority w:val="99"/>
    <w:semiHidden/>
    <w:unhideWhenUsed/>
    <w:rsid w:val="0006388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6388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2019-12-03T06:45:00Z</dcterms:created>
  <dcterms:modified xsi:type="dcterms:W3CDTF">2019-12-03T06:53:00Z</dcterms:modified>
</cp:coreProperties>
</file>