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DF161">
      <w:pPr>
        <w:keepNext w:val="0"/>
        <w:keepLines w:val="0"/>
        <w:pageBreakBefore w:val="0"/>
        <w:widowControl w:val="0"/>
        <w:kinsoku/>
        <w:wordWrap/>
        <w:overflowPunct/>
        <w:topLinePunct w:val="0"/>
        <w:autoSpaceDE w:val="0"/>
        <w:autoSpaceDN w:val="0"/>
        <w:bidi w:val="0"/>
        <w:adjustRightInd/>
        <w:snapToGrid w:val="0"/>
        <w:spacing w:line="590" w:lineRule="exact"/>
        <w:ind w:left="0" w:firstLine="0" w:firstLineChars="0"/>
        <w:jc w:val="center"/>
        <w:textAlignment w:val="auto"/>
        <w:rPr>
          <w:rFonts w:hint="eastAsia" w:ascii="方正小标宋简体" w:hAnsi="方正小标宋简体" w:eastAsia="方正小标宋简体" w:cs="方正小标宋简体"/>
          <w:snapToGrid w:val="0"/>
          <w:color w:val="auto"/>
          <w:kern w:val="0"/>
          <w:sz w:val="44"/>
          <w:szCs w:val="44"/>
          <w:lang w:eastAsia="zh-CN"/>
        </w:rPr>
      </w:pPr>
      <w:r>
        <w:rPr>
          <w:rFonts w:hint="eastAsia" w:ascii="方正小标宋简体" w:hAnsi="方正小标宋简体" w:eastAsia="方正小标宋简体" w:cs="方正小标宋简体"/>
          <w:snapToGrid w:val="0"/>
          <w:color w:val="auto"/>
          <w:kern w:val="0"/>
          <w:sz w:val="44"/>
          <w:szCs w:val="44"/>
          <w:lang w:eastAsia="zh-CN"/>
        </w:rPr>
        <w:t>海安市烟花爆竹零售经营布点规划</w:t>
      </w:r>
    </w:p>
    <w:p w14:paraId="7BF133E1">
      <w:pPr>
        <w:keepNext w:val="0"/>
        <w:keepLines w:val="0"/>
        <w:pageBreakBefore w:val="0"/>
        <w:kinsoku/>
        <w:wordWrap/>
        <w:overflowPunct/>
        <w:topLinePunct w:val="0"/>
        <w:autoSpaceDE w:val="0"/>
        <w:autoSpaceDN w:val="0"/>
        <w:bidi w:val="0"/>
        <w:adjustRightInd/>
        <w:snapToGrid w:val="0"/>
        <w:spacing w:line="590" w:lineRule="exact"/>
        <w:ind w:left="0" w:firstLine="640" w:firstLineChars="200"/>
        <w:rPr>
          <w:rFonts w:ascii="Times New Roman" w:hAnsi="Times New Roman" w:eastAsia="方正仿宋_GBK" w:cs="Times New Roman"/>
          <w:snapToGrid w:val="0"/>
          <w:color w:val="auto"/>
          <w:kern w:val="0"/>
          <w:sz w:val="32"/>
          <w:szCs w:val="20"/>
        </w:rPr>
      </w:pPr>
    </w:p>
    <w:p w14:paraId="41B9B902">
      <w:pPr>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0" w:firstLineChars="200"/>
        <w:textAlignment w:val="auto"/>
        <w:rPr>
          <w:rFonts w:hint="eastAsia" w:ascii="Times New Roman" w:hAnsi="Times New Roman" w:eastAsia="仿宋_GB2312" w:cs="仿宋_GB2312"/>
          <w:snapToGrid w:val="0"/>
          <w:color w:val="auto"/>
          <w:kern w:val="0"/>
          <w:sz w:val="32"/>
          <w:szCs w:val="20"/>
        </w:rPr>
      </w:pPr>
      <w:r>
        <w:rPr>
          <w:rFonts w:hint="eastAsia" w:ascii="仿宋_GB2312" w:hAnsi="仿宋_GB2312" w:eastAsia="仿宋_GB2312" w:cs="仿宋_GB2312"/>
          <w:snapToGrid w:val="0"/>
          <w:color w:val="auto"/>
          <w:kern w:val="0"/>
          <w:sz w:val="32"/>
          <w:szCs w:val="20"/>
        </w:rPr>
        <w:t>为了进一步规范我市烟花爆竹零售经营行为，加强烟花爆竹经营安全监督管理，保障人民群众生命和财产安全，根据《烟花爆竹安全管理条例》《烟花爆竹经营许可实施办法》《烟花爆竹零售店（点）安全技术规范》（AQ4128-2019）、《南通市烟花爆竹燃放管理条例》和《省应急管理厅关于</w:t>
      </w:r>
      <w:bookmarkStart w:id="1" w:name="_GoBack"/>
      <w:bookmarkEnd w:id="1"/>
      <w:r>
        <w:rPr>
          <w:rFonts w:hint="eastAsia" w:ascii="仿宋_GB2312" w:hAnsi="仿宋_GB2312" w:eastAsia="仿宋_GB2312" w:cs="仿宋_GB2312"/>
          <w:snapToGrid w:val="0"/>
          <w:color w:val="auto"/>
          <w:kern w:val="0"/>
          <w:sz w:val="32"/>
          <w:szCs w:val="20"/>
        </w:rPr>
        <w:t>进一步加强烟花爆竹行政许可和安全监管工作的通知》（苏应急函〔2020〕44号）等相关规定，结合我市实际，制订本规划。</w:t>
      </w:r>
    </w:p>
    <w:p w14:paraId="05A0B358">
      <w:pPr>
        <w:keepNext w:val="0"/>
        <w:keepLines w:val="0"/>
        <w:pageBreakBefore w:val="0"/>
        <w:widowControl/>
        <w:shd w:val="clear" w:color="auto" w:fill="FFFFFF"/>
        <w:kinsoku/>
        <w:wordWrap/>
        <w:overflowPunct/>
        <w:topLinePunct w:val="0"/>
        <w:autoSpaceDE w:val="0"/>
        <w:autoSpaceDN w:val="0"/>
        <w:bidi w:val="0"/>
        <w:adjustRightInd/>
        <w:snapToGrid w:val="0"/>
        <w:spacing w:before="0" w:beforeAutospacing="0" w:after="0" w:afterAutospacing="0" w:line="560" w:lineRule="exact"/>
        <w:ind w:left="0" w:firstLine="640" w:firstLineChars="200"/>
        <w:jc w:val="left"/>
        <w:textAlignment w:val="baseline"/>
        <w:rPr>
          <w:rFonts w:hint="default" w:ascii="仿宋_GB2312" w:hAnsi="仿宋_GB2312" w:eastAsia="黑体" w:cs="仿宋_GB2312"/>
          <w:snapToGrid w:val="0"/>
          <w:color w:val="auto"/>
          <w:kern w:val="0"/>
          <w:sz w:val="32"/>
          <w:szCs w:val="32"/>
          <w:lang w:val="en-US" w:eastAsia="zh-CN" w:bidi="ar-SA"/>
        </w:rPr>
      </w:pPr>
      <w:r>
        <w:rPr>
          <w:rFonts w:hint="eastAsia" w:ascii="黑体" w:hAnsi="黑体" w:eastAsia="黑体" w:cs="黑体"/>
          <w:snapToGrid w:val="0"/>
          <w:color w:val="auto"/>
          <w:kern w:val="0"/>
          <w:sz w:val="32"/>
          <w:szCs w:val="32"/>
          <w:lang w:val="en-US" w:eastAsia="zh-CN" w:bidi="ar-SA"/>
        </w:rPr>
        <w:t>一、规划布点总量</w:t>
      </w:r>
    </w:p>
    <w:p w14:paraId="75309EA2">
      <w:pPr>
        <w:keepNext w:val="0"/>
        <w:keepLines w:val="0"/>
        <w:pageBreakBefore w:val="0"/>
        <w:widowControl/>
        <w:shd w:val="clear" w:color="auto" w:fill="FFFFFF"/>
        <w:kinsoku/>
        <w:wordWrap/>
        <w:overflowPunct/>
        <w:topLinePunct w:val="0"/>
        <w:autoSpaceDE w:val="0"/>
        <w:autoSpaceDN w:val="0"/>
        <w:bidi w:val="0"/>
        <w:adjustRightInd/>
        <w:snapToGrid w:val="0"/>
        <w:spacing w:before="0" w:beforeAutospacing="0" w:after="0" w:afterAutospacing="0" w:line="560" w:lineRule="exact"/>
        <w:ind w:left="0" w:firstLine="640" w:firstLineChars="200"/>
        <w:jc w:val="left"/>
        <w:textAlignment w:val="baseline"/>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snapToGrid w:val="0"/>
          <w:color w:val="auto"/>
          <w:kern w:val="2"/>
          <w:sz w:val="32"/>
          <w:szCs w:val="32"/>
          <w:lang w:val="en-US" w:eastAsia="zh-CN" w:bidi="ar-SA"/>
        </w:rPr>
        <w:t>坚持“保障安全、统一规划、合理布局、总量控制、逐步减少”的原则</w:t>
      </w:r>
      <w:bookmarkStart w:id="0" w:name="OLE_LINK1"/>
      <w:r>
        <w:rPr>
          <w:rFonts w:hint="eastAsia" w:ascii="仿宋_GB2312" w:hAnsi="仿宋_GB2312" w:eastAsia="仿宋_GB2312" w:cs="仿宋_GB2312"/>
          <w:snapToGrid w:val="0"/>
          <w:color w:val="auto"/>
          <w:kern w:val="2"/>
          <w:sz w:val="32"/>
          <w:szCs w:val="32"/>
          <w:lang w:val="en-US" w:eastAsia="zh-CN" w:bidi="ar-SA"/>
        </w:rPr>
        <w:t>，综合考虑人口数量、历史成因、风俗习惯、安全条件等因素，</w:t>
      </w:r>
      <w:bookmarkEnd w:id="0"/>
      <w:r>
        <w:rPr>
          <w:rFonts w:hint="eastAsia" w:ascii="仿宋_GB2312" w:hAnsi="仿宋_GB2312" w:eastAsia="仿宋_GB2312" w:cs="仿宋_GB2312"/>
          <w:snapToGrid w:val="0"/>
          <w:color w:val="auto"/>
          <w:kern w:val="2"/>
          <w:sz w:val="32"/>
          <w:szCs w:val="32"/>
          <w:lang w:val="en-US" w:eastAsia="zh-CN" w:bidi="ar-SA"/>
        </w:rPr>
        <w:t>自本规划施行之日起，以全国烟花爆竹流向管理信息系统中烟花爆竹零售经营许可证时点保有数量，确定全市及各区镇街道零售经营布点的规划控制总数，布点规划总量只减不增。</w:t>
      </w:r>
    </w:p>
    <w:p w14:paraId="4DFAFFFB">
      <w:pPr>
        <w:keepNext w:val="0"/>
        <w:keepLines w:val="0"/>
        <w:pageBreakBefore w:val="0"/>
        <w:kinsoku/>
        <w:wordWrap/>
        <w:overflowPunct/>
        <w:topLinePunct w:val="0"/>
        <w:autoSpaceDE w:val="0"/>
        <w:autoSpaceDN w:val="0"/>
        <w:bidi w:val="0"/>
        <w:adjustRightInd/>
        <w:snapToGrid w:val="0"/>
        <w:spacing w:line="560" w:lineRule="exact"/>
        <w:ind w:left="0" w:firstLine="640" w:firstLineChars="200"/>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snapToGrid w:val="0"/>
          <w:color w:val="auto"/>
          <w:kern w:val="2"/>
          <w:sz w:val="32"/>
          <w:szCs w:val="32"/>
          <w:lang w:val="en-US" w:eastAsia="zh-CN" w:bidi="ar-SA"/>
        </w:rPr>
        <w:t>全市规划布点批发企业零售连锁经营店不超过20家（含已许可的7家）。在已有7家批发企业零售连锁经营店的基础上，全市范围内每减少4家烟花爆竹零售经营店，可布点1家批发企业零售连锁经营店。</w:t>
      </w:r>
    </w:p>
    <w:p w14:paraId="2D9120A2">
      <w:pPr>
        <w:keepNext w:val="0"/>
        <w:keepLines w:val="0"/>
        <w:pageBreakBefore w:val="0"/>
        <w:kinsoku/>
        <w:wordWrap/>
        <w:overflowPunct/>
        <w:topLinePunct w:val="0"/>
        <w:autoSpaceDE w:val="0"/>
        <w:autoSpaceDN w:val="0"/>
        <w:bidi w:val="0"/>
        <w:adjustRightInd/>
        <w:snapToGrid w:val="0"/>
        <w:spacing w:line="560" w:lineRule="exact"/>
        <w:ind w:left="0" w:firstLine="640" w:firstLineChars="200"/>
        <w:rPr>
          <w:rFonts w:hint="default" w:ascii="黑体" w:hAnsi="黑体" w:eastAsia="黑体" w:cs="黑体"/>
          <w:snapToGrid/>
          <w:color w:val="auto"/>
          <w:kern w:val="0"/>
          <w:sz w:val="32"/>
          <w:szCs w:val="32"/>
          <w:lang w:val="en-US" w:eastAsia="zh-CN" w:bidi="ar-SA"/>
        </w:rPr>
      </w:pPr>
      <w:r>
        <w:rPr>
          <w:rFonts w:hint="eastAsia" w:ascii="黑体" w:hAnsi="黑体" w:eastAsia="黑体" w:cs="黑体"/>
          <w:snapToGrid/>
          <w:color w:val="auto"/>
          <w:kern w:val="0"/>
          <w:sz w:val="32"/>
          <w:szCs w:val="32"/>
          <w:lang w:val="en-US" w:eastAsia="zh-CN" w:bidi="ar-SA"/>
        </w:rPr>
        <w:t>二、规划布点条件</w:t>
      </w:r>
    </w:p>
    <w:p w14:paraId="3041FC21">
      <w:pPr>
        <w:keepNext w:val="0"/>
        <w:keepLines w:val="0"/>
        <w:pageBreakBefore w:val="0"/>
        <w:kinsoku/>
        <w:wordWrap/>
        <w:overflowPunct/>
        <w:topLinePunct w:val="0"/>
        <w:autoSpaceDE w:val="0"/>
        <w:autoSpaceDN w:val="0"/>
        <w:bidi w:val="0"/>
        <w:adjustRightInd/>
        <w:snapToGrid w:val="0"/>
        <w:spacing w:line="560" w:lineRule="exact"/>
        <w:ind w:left="0" w:firstLine="640" w:firstLineChars="200"/>
        <w:rPr>
          <w:rFonts w:hint="eastAsia" w:ascii="仿宋_GB2312" w:hAnsi="仿宋_GB2312" w:eastAsia="仿宋_GB2312" w:cs="仿宋_GB2312"/>
          <w:b w:val="0"/>
          <w:bCs w:val="0"/>
          <w:snapToGrid w:val="0"/>
          <w:color w:val="auto"/>
          <w:kern w:val="2"/>
          <w:sz w:val="32"/>
          <w:szCs w:val="32"/>
          <w:lang w:val="en-US" w:eastAsia="zh-CN" w:bidi="ar-SA"/>
        </w:rPr>
      </w:pPr>
      <w:r>
        <w:rPr>
          <w:rFonts w:hint="eastAsia" w:ascii="仿宋_GB2312" w:hAnsi="仿宋_GB2312" w:eastAsia="仿宋_GB2312" w:cs="仿宋_GB2312"/>
          <w:b w:val="0"/>
          <w:bCs w:val="0"/>
          <w:snapToGrid w:val="0"/>
          <w:color w:val="auto"/>
          <w:kern w:val="2"/>
          <w:sz w:val="32"/>
          <w:szCs w:val="32"/>
          <w:lang w:val="en-US" w:eastAsia="zh-CN" w:bidi="ar-SA"/>
        </w:rPr>
        <w:t>1.全市烟花爆竹禁放区域范围内不设烟花爆竹零售店，其他区域烟花爆竹零售店许可须符合本布点规划。</w:t>
      </w:r>
    </w:p>
    <w:p w14:paraId="090236B9">
      <w:pPr>
        <w:keepNext w:val="0"/>
        <w:keepLines w:val="0"/>
        <w:pageBreakBefore w:val="0"/>
        <w:kinsoku/>
        <w:wordWrap/>
        <w:overflowPunct/>
        <w:topLinePunct w:val="0"/>
        <w:autoSpaceDE w:val="0"/>
        <w:autoSpaceDN w:val="0"/>
        <w:bidi w:val="0"/>
        <w:adjustRightInd/>
        <w:snapToGrid w:val="0"/>
        <w:spacing w:line="560" w:lineRule="exact"/>
        <w:ind w:left="0" w:firstLine="640" w:firstLineChars="200"/>
        <w:rPr>
          <w:rFonts w:hint="eastAsia" w:ascii="仿宋_GB2312" w:hAnsi="仿宋_GB2312" w:eastAsia="仿宋_GB2312" w:cs="仿宋_GB2312"/>
          <w:b w:val="0"/>
          <w:bCs w:val="0"/>
          <w:snapToGrid w:val="0"/>
          <w:color w:val="auto"/>
          <w:kern w:val="2"/>
          <w:sz w:val="32"/>
          <w:szCs w:val="32"/>
          <w:lang w:val="en-US" w:eastAsia="zh-CN" w:bidi="ar-SA"/>
        </w:rPr>
      </w:pPr>
      <w:r>
        <w:rPr>
          <w:rFonts w:hint="eastAsia" w:ascii="仿宋_GB2312" w:hAnsi="仿宋_GB2312" w:eastAsia="仿宋_GB2312" w:cs="仿宋_GB2312"/>
          <w:b w:val="0"/>
          <w:bCs w:val="0"/>
          <w:snapToGrid w:val="0"/>
          <w:color w:val="auto"/>
          <w:kern w:val="2"/>
          <w:sz w:val="32"/>
          <w:szCs w:val="32"/>
          <w:lang w:val="en-US" w:eastAsia="zh-CN" w:bidi="ar-SA"/>
        </w:rPr>
        <w:t>2.烟花爆竹零售店的选址及外部距离、面积和存放限量、平面布置、建筑结构、消防和电气、经营行为及安全管理应符合《烟花爆竹零售店（点）安全技术规范》（AQ 4128-2019）的要求。</w:t>
      </w:r>
    </w:p>
    <w:p w14:paraId="03681349">
      <w:pPr>
        <w:keepNext w:val="0"/>
        <w:keepLines w:val="0"/>
        <w:pageBreakBefore w:val="0"/>
        <w:kinsoku/>
        <w:wordWrap/>
        <w:overflowPunct/>
        <w:topLinePunct w:val="0"/>
        <w:autoSpaceDE w:val="0"/>
        <w:autoSpaceDN w:val="0"/>
        <w:bidi w:val="0"/>
        <w:adjustRightInd/>
        <w:snapToGrid w:val="0"/>
        <w:spacing w:line="560" w:lineRule="exact"/>
        <w:ind w:left="0" w:firstLine="640" w:firstLineChars="200"/>
        <w:rPr>
          <w:rFonts w:hint="eastAsia" w:ascii="仿宋_GB2312" w:hAnsi="仿宋_GB2312" w:eastAsia="仿宋_GB2312" w:cs="仿宋_GB2312"/>
          <w:b w:val="0"/>
          <w:bCs w:val="0"/>
          <w:snapToGrid w:val="0"/>
          <w:color w:val="auto"/>
          <w:kern w:val="2"/>
          <w:sz w:val="32"/>
          <w:szCs w:val="32"/>
          <w:lang w:val="en-US" w:eastAsia="zh-CN" w:bidi="ar-SA"/>
        </w:rPr>
      </w:pPr>
      <w:r>
        <w:rPr>
          <w:rFonts w:hint="eastAsia" w:ascii="仿宋_GB2312" w:hAnsi="仿宋_GB2312" w:eastAsia="仿宋_GB2312" w:cs="仿宋_GB2312"/>
          <w:b w:val="0"/>
          <w:bCs w:val="0"/>
          <w:snapToGrid w:val="0"/>
          <w:color w:val="auto"/>
          <w:kern w:val="2"/>
          <w:sz w:val="32"/>
          <w:szCs w:val="32"/>
          <w:lang w:val="en-US" w:eastAsia="zh-CN" w:bidi="ar-SA"/>
        </w:rPr>
        <w:t>3.烟花爆竹零售店主要负责人经过安全培训合格，销售人员经过安全知识教育。</w:t>
      </w:r>
    </w:p>
    <w:p w14:paraId="47615755">
      <w:pPr>
        <w:keepNext w:val="0"/>
        <w:keepLines w:val="0"/>
        <w:pageBreakBefore w:val="0"/>
        <w:kinsoku/>
        <w:wordWrap/>
        <w:overflowPunct/>
        <w:topLinePunct w:val="0"/>
        <w:autoSpaceDE w:val="0"/>
        <w:autoSpaceDN w:val="0"/>
        <w:bidi w:val="0"/>
        <w:adjustRightInd/>
        <w:snapToGrid w:val="0"/>
        <w:spacing w:line="560" w:lineRule="exact"/>
        <w:ind w:left="0" w:firstLine="640" w:firstLineChars="200"/>
        <w:rPr>
          <w:rFonts w:hint="eastAsia" w:ascii="黑体" w:hAnsi="黑体" w:eastAsia="黑体" w:cs="黑体"/>
          <w:snapToGrid w:val="0"/>
          <w:color w:val="auto"/>
          <w:kern w:val="0"/>
          <w:sz w:val="32"/>
          <w:szCs w:val="32"/>
          <w:lang w:val="en-US" w:eastAsia="zh-CN" w:bidi="ar-SA"/>
        </w:rPr>
      </w:pPr>
      <w:r>
        <w:rPr>
          <w:rFonts w:hint="eastAsia" w:ascii="仿宋_GB2312" w:hAnsi="仿宋_GB2312" w:eastAsia="仿宋_GB2312" w:cs="仿宋_GB2312"/>
          <w:b w:val="0"/>
          <w:bCs w:val="0"/>
          <w:snapToGrid w:val="0"/>
          <w:color w:val="auto"/>
          <w:kern w:val="2"/>
          <w:sz w:val="32"/>
          <w:szCs w:val="32"/>
          <w:lang w:val="en-US" w:eastAsia="zh-CN" w:bidi="ar-SA"/>
        </w:rPr>
        <w:t>4.烟花爆竹零售店的经营场所，应当符合《个体工商户登记管理规定》中从事经营活动的营业场所要求。</w:t>
      </w:r>
    </w:p>
    <w:p w14:paraId="66F4642C">
      <w:pPr>
        <w:keepNext w:val="0"/>
        <w:keepLines w:val="0"/>
        <w:pageBreakBefore w:val="0"/>
        <w:widowControl/>
        <w:kinsoku/>
        <w:wordWrap/>
        <w:overflowPunct/>
        <w:topLinePunct w:val="0"/>
        <w:autoSpaceDE w:val="0"/>
        <w:autoSpaceDN w:val="0"/>
        <w:bidi w:val="0"/>
        <w:adjustRightInd/>
        <w:snapToGrid w:val="0"/>
        <w:spacing w:before="0" w:beforeAutospacing="0" w:after="0" w:afterAutospacing="0" w:line="560" w:lineRule="exact"/>
        <w:ind w:left="0" w:firstLine="640" w:firstLineChars="200"/>
        <w:jc w:val="left"/>
        <w:textAlignment w:val="baseline"/>
        <w:rPr>
          <w:rFonts w:hint="default" w:ascii="黑体" w:hAnsi="黑体" w:eastAsia="黑体" w:cs="黑体"/>
          <w:snapToGrid w:val="0"/>
          <w:color w:val="auto"/>
          <w:kern w:val="0"/>
          <w:sz w:val="32"/>
          <w:szCs w:val="32"/>
          <w:lang w:val="en-US" w:eastAsia="zh-CN" w:bidi="ar-SA"/>
        </w:rPr>
      </w:pPr>
      <w:r>
        <w:rPr>
          <w:rFonts w:hint="eastAsia" w:ascii="黑体" w:hAnsi="黑体" w:eastAsia="黑体" w:cs="黑体"/>
          <w:snapToGrid w:val="0"/>
          <w:color w:val="auto"/>
          <w:kern w:val="0"/>
          <w:sz w:val="32"/>
          <w:szCs w:val="32"/>
          <w:lang w:val="en-US" w:eastAsia="zh-CN" w:bidi="ar-SA"/>
        </w:rPr>
        <w:t>三、规划实施时间</w:t>
      </w:r>
    </w:p>
    <w:p w14:paraId="53ECD7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b w:val="0"/>
          <w:bCs w:val="0"/>
          <w:snapToGrid w:val="0"/>
          <w:color w:val="auto"/>
          <w:kern w:val="2"/>
          <w:sz w:val="32"/>
          <w:szCs w:val="32"/>
          <w:lang w:val="en-US" w:eastAsia="zh-CN" w:bidi="ar-SA"/>
        </w:rPr>
        <w:t>本规划自2026年2月7日起施行，有效期至2031年2月6日。</w:t>
      </w: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A7201"/>
    <w:rsid w:val="6F1A7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Body Text Indent 2"/>
    <w:qFormat/>
    <w:uiPriority w:val="99"/>
    <w:pPr>
      <w:widowControl w:val="0"/>
      <w:autoSpaceDE w:val="0"/>
      <w:autoSpaceDN w:val="0"/>
      <w:snapToGrid w:val="0"/>
      <w:spacing w:after="120" w:line="480" w:lineRule="auto"/>
      <w:ind w:left="420" w:leftChars="200" w:firstLine="624"/>
      <w:jc w:val="both"/>
    </w:pPr>
    <w:rPr>
      <w:rFonts w:ascii="Times New Roman" w:hAnsi="Times New Roman" w:eastAsia="方正仿宋_GBK" w:cs="Times New Roman"/>
      <w:snapToGrid w:val="0"/>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2026-01-19T06:30:00Z</dcterms:created>
  <dc:creator>Chief丶chen</dc:creator>
  <cp:lastModifiedBy>Chief丶chen</cp:lastModifiedBy>
  <dcterms:modified xsi:type="dcterms:W3CDTF">2026-01-19T06:32:31Z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3D6906B837674410B938B5D6F29DF31F_11</vt:lpwstr>
  </property>
  <property fmtid="{D5CDD505-2E9C-101B-9397-08002B2CF9AE}" pid="4" name="KSOTemplateDocerSaveRecord">
    <vt:lpwstr>eyJoZGlkIjoiODEzM2VlYWQ1MzBhZGJkYTM1MmRmZTk5YmUyOGY2OWYiLCJ1c2VySWQiOiI0MzI4MjMyMzEifQ==</vt:lpwstr>
  </property>
</Properties>
</file>